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b/>
          <w:bCs/>
          <w:color w:val="000000" w:themeColor="text1"/>
          <w:sz w:val="32"/>
          <w:szCs w:val="32"/>
          <w14:textFill>
            <w14:solidFill>
              <w14:schemeClr w14:val="tx1"/>
            </w14:solidFill>
          </w14:textFill>
        </w:rPr>
      </w:pPr>
      <w:bookmarkStart w:id="0" w:name="_Toc419377672"/>
      <w:bookmarkStart w:id="1" w:name="_Toc451175986"/>
      <w:bookmarkStart w:id="2" w:name="_Toc443400391"/>
      <w:r>
        <w:rPr>
          <w:rFonts w:hint="eastAsia"/>
          <w:b/>
          <w:bCs/>
          <w:color w:val="000000" w:themeColor="text1"/>
          <w:sz w:val="32"/>
          <w:szCs w:val="32"/>
          <w14:textFill>
            <w14:solidFill>
              <w14:schemeClr w14:val="tx1"/>
            </w14:solidFill>
          </w14:textFill>
        </w:rPr>
        <w:t>前   言</w:t>
      </w:r>
      <w:bookmarkEnd w:id="0"/>
      <w:bookmarkEnd w:id="1"/>
      <w:bookmarkEnd w:id="2"/>
    </w:p>
    <w:p>
      <w:pPr>
        <w:keepNext w:val="0"/>
        <w:keepLines w:val="0"/>
        <w:pageBreakBefore w:val="0"/>
        <w:kinsoku/>
        <w:wordWrap/>
        <w:overflowPunct/>
        <w:topLinePunct w:val="0"/>
        <w:autoSpaceDE/>
        <w:autoSpaceDN/>
        <w:bidi w:val="0"/>
        <w:snapToGrid/>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为了贯彻落实以人为本，坚持安全发展，坚持“安全第一、预防为主、综合治理”的方针，</w:t>
      </w:r>
      <w:r>
        <w:rPr>
          <w:color w:val="000000" w:themeColor="text1"/>
          <w14:textFill>
            <w14:solidFill>
              <w14:schemeClr w14:val="tx1"/>
            </w14:solidFill>
          </w14:textFill>
        </w:rPr>
        <w:t>加强对危险化学品的安全管理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保证安全生产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保障人民生命财产的安全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保护环境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根据《</w:t>
      </w:r>
      <w:r>
        <w:rPr>
          <w:rFonts w:hint="eastAsia"/>
          <w:color w:val="000000" w:themeColor="text1"/>
          <w14:textFill>
            <w14:solidFill>
              <w14:schemeClr w14:val="tx1"/>
            </w14:solidFill>
          </w14:textFill>
        </w:rPr>
        <w:t>中华人民共和国安全生产法》、《</w:t>
      </w:r>
      <w:r>
        <w:rPr>
          <w:color w:val="000000" w:themeColor="text1"/>
          <w14:textFill>
            <w14:solidFill>
              <w14:schemeClr w14:val="tx1"/>
            </w14:solidFill>
          </w14:textFill>
        </w:rPr>
        <w:t>危险化学品安全管理条例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危险化学品经营许可证管理办法》</w:t>
      </w:r>
      <w:r>
        <w:rPr>
          <w:rFonts w:hint="eastAsia"/>
          <w:color w:val="000000" w:themeColor="text1"/>
          <w14:textFill>
            <w14:solidFill>
              <w14:schemeClr w14:val="tx1"/>
            </w14:solidFill>
          </w14:textFill>
        </w:rPr>
        <w:t>及《</w:t>
      </w:r>
      <w:r>
        <w:rPr>
          <w:rFonts w:hint="eastAsia"/>
          <w:color w:val="000000" w:themeColor="text1"/>
          <w:szCs w:val="28"/>
          <w14:textFill>
            <w14:solidFill>
              <w14:schemeClr w14:val="tx1"/>
            </w14:solidFill>
          </w14:textFill>
        </w:rPr>
        <w:t>汽车加油加气加氢站技术标准》</w:t>
      </w:r>
      <w:r>
        <w:rPr>
          <w:rFonts w:hint="eastAsia"/>
          <w:color w:val="000000" w:themeColor="text1"/>
          <w14:textFill>
            <w14:solidFill>
              <w14:schemeClr w14:val="tx1"/>
            </w14:solidFill>
          </w14:textFill>
        </w:rPr>
        <w:t>的有关规定。受</w:t>
      </w:r>
      <w:r>
        <w:rPr>
          <w:rFonts w:hint="eastAsia"/>
          <w:color w:val="000000" w:themeColor="text1"/>
          <w:szCs w:val="44"/>
          <w:lang w:eastAsia="zh-CN"/>
          <w14:textFill>
            <w14:solidFill>
              <w14:schemeClr w14:val="tx1"/>
            </w14:solidFill>
          </w14:textFill>
        </w:rPr>
        <w:t>丘北天星正才加油站</w:t>
      </w:r>
      <w:r>
        <w:rPr>
          <w:rFonts w:hint="eastAsia"/>
          <w:bCs/>
          <w:color w:val="000000" w:themeColor="text1"/>
          <w14:textFill>
            <w14:solidFill>
              <w14:schemeClr w14:val="tx1"/>
            </w14:solidFill>
          </w14:textFill>
        </w:rPr>
        <w:t>的</w:t>
      </w:r>
      <w:r>
        <w:rPr>
          <w:rFonts w:hint="eastAsia"/>
          <w:color w:val="000000" w:themeColor="text1"/>
          <w14:textFill>
            <w14:solidFill>
              <w14:schemeClr w14:val="tx1"/>
            </w14:solidFill>
          </w14:textFill>
        </w:rPr>
        <w:t>委托，</w:t>
      </w:r>
      <w:bookmarkStart w:id="3" w:name="_Hlk162335947"/>
      <w:r>
        <w:rPr>
          <w:rFonts w:hint="eastAsia"/>
          <w:color w:val="000000" w:themeColor="text1"/>
          <w14:textFill>
            <w14:solidFill>
              <w14:schemeClr w14:val="tx1"/>
            </w14:solidFill>
          </w14:textFill>
        </w:rPr>
        <w:t>昭通市鼎安科技有限公司</w:t>
      </w:r>
      <w:bookmarkEnd w:id="3"/>
      <w:r>
        <w:rPr>
          <w:rFonts w:hint="eastAsia"/>
          <w:color w:val="000000" w:themeColor="text1"/>
          <w14:textFill>
            <w14:solidFill>
              <w14:schemeClr w14:val="tx1"/>
            </w14:solidFill>
          </w14:textFill>
        </w:rPr>
        <w:t>对</w:t>
      </w:r>
      <w:r>
        <w:rPr>
          <w:rFonts w:hint="eastAsia"/>
          <w:color w:val="000000" w:themeColor="text1"/>
          <w:szCs w:val="44"/>
          <w:lang w:eastAsia="zh-CN"/>
          <w14:textFill>
            <w14:solidFill>
              <w14:schemeClr w14:val="tx1"/>
            </w14:solidFill>
          </w14:textFill>
        </w:rPr>
        <w:t>丘北天星正才加油站</w:t>
      </w:r>
      <w:r>
        <w:rPr>
          <w:rFonts w:hint="eastAsia"/>
          <w:color w:val="000000" w:themeColor="text1"/>
          <w14:textFill>
            <w14:solidFill>
              <w14:schemeClr w14:val="tx1"/>
            </w14:solidFill>
          </w14:textFill>
        </w:rPr>
        <w:t>进行安全现状评价。</w:t>
      </w:r>
    </w:p>
    <w:p>
      <w:pPr>
        <w:keepNext w:val="0"/>
        <w:keepLines w:val="0"/>
        <w:pageBreakBefore w:val="0"/>
        <w:widowControl/>
        <w:kinsoku/>
        <w:wordWrap/>
        <w:overflowPunct/>
        <w:topLinePunct w:val="0"/>
        <w:autoSpaceDE/>
        <w:autoSpaceDN/>
        <w:bidi w:val="0"/>
        <w:adjustRightInd w:val="0"/>
        <w:snapToGrid/>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自接受委托后，公司成立了项目安全评价组，通过对相关法律、法规、规程和行业标准的收集以及对同类企业的调研后，于2024年</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28</w:t>
      </w:r>
      <w:r>
        <w:rPr>
          <w:rFonts w:hint="eastAsia"/>
          <w:color w:val="000000" w:themeColor="text1"/>
          <w14:textFill>
            <w14:solidFill>
              <w14:schemeClr w14:val="tx1"/>
            </w14:solidFill>
          </w14:textFill>
        </w:rPr>
        <w:t>日组织有关评价人员到该企业进行现场勘查、调研和资料收集，通过对该加油站安全经营条件和安全管理进行全面的调查、分析，运用安全系统工程的方法，进行危险、有害因素的识别及其危险度评价，查找该系统中存在的事故隐患并判定其危害程度，并提出相应的安全对策措施和建议，运用科学的评价方法，得出客观、公正的评价结论，最后参照《安全评价通则》（</w:t>
      </w:r>
      <w:r>
        <w:rPr>
          <w:color w:val="000000" w:themeColor="text1"/>
          <w14:textFill>
            <w14:solidFill>
              <w14:schemeClr w14:val="tx1"/>
            </w14:solidFill>
          </w14:textFill>
        </w:rPr>
        <w:t>AQ8001-2007</w:t>
      </w:r>
      <w:r>
        <w:rPr>
          <w:rFonts w:hint="eastAsia"/>
          <w:color w:val="000000" w:themeColor="text1"/>
          <w14:textFill>
            <w14:solidFill>
              <w14:schemeClr w14:val="tx1"/>
            </w14:solidFill>
          </w14:textFill>
        </w:rPr>
        <w:t>）的要求编制完成安全现状评价报告。</w:t>
      </w:r>
    </w:p>
    <w:p>
      <w:pPr>
        <w:keepNext w:val="0"/>
        <w:keepLines w:val="0"/>
        <w:pageBreakBefore w:val="0"/>
        <w:widowControl/>
        <w:kinsoku/>
        <w:wordWrap/>
        <w:overflowPunct/>
        <w:topLinePunct w:val="0"/>
        <w:autoSpaceDE/>
        <w:autoSpaceDN/>
        <w:bidi w:val="0"/>
        <w:adjustRightInd w:val="0"/>
        <w:snapToGrid/>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通过安全评价，可为企业事故隐患治理提供依据；可为企业的安全投入与资金使用提供参考；可促进经营单位的安全管理。通过发现、整改和减少事故隐患，提高企业经营的本质安全度。</w:t>
      </w:r>
    </w:p>
    <w:p>
      <w:pPr>
        <w:keepNext w:val="0"/>
        <w:keepLines w:val="0"/>
        <w:pageBreakBefore w:val="0"/>
        <w:widowControl/>
        <w:kinsoku/>
        <w:wordWrap/>
        <w:overflowPunct/>
        <w:topLinePunct w:val="0"/>
        <w:autoSpaceDE/>
        <w:autoSpaceDN/>
        <w:bidi w:val="0"/>
        <w:adjustRightInd w:val="0"/>
        <w:snapToGrid/>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在评价的过程中得到了业主的积极配合，同时引用了前人的一些研究成果和技术资料，在此一并表示感谢。</w:t>
      </w: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ind w:left="560" w:firstLine="0" w:firstLineChars="0"/>
        <w:rPr>
          <w:color w:val="000000" w:themeColor="text1"/>
          <w14:textFill>
            <w14:solidFill>
              <w14:schemeClr w14:val="tx1"/>
            </w14:solidFill>
          </w14:textFill>
        </w:rPr>
      </w:pPr>
    </w:p>
    <w:p>
      <w:pPr>
        <w:pageBreakBefore/>
        <w:snapToGrid/>
        <w:spacing w:line="240" w:lineRule="atLeast"/>
        <w:ind w:firstLine="643"/>
        <w:jc w:val="center"/>
        <w:rPr>
          <w:color w:val="000000" w:themeColor="text1"/>
          <w14:textFill>
            <w14:solidFill>
              <w14:schemeClr w14:val="tx1"/>
            </w14:solidFill>
          </w14:textFill>
        </w:rPr>
      </w:pPr>
      <w:r>
        <w:rPr>
          <w:rFonts w:hint="eastAsia"/>
          <w:b/>
          <w:bCs/>
          <w:color w:val="000000" w:themeColor="text1"/>
          <w:sz w:val="32"/>
          <w:szCs w:val="32"/>
          <w14:textFill>
            <w14:solidFill>
              <w14:schemeClr w14:val="tx1"/>
            </w14:solidFill>
          </w14:textFill>
        </w:rPr>
        <w:t>企业现场照片</w:t>
      </w:r>
    </w:p>
    <w:tbl>
      <w:tblPr>
        <w:tblStyle w:val="33"/>
        <w:tblW w:w="0" w:type="auto"/>
        <w:jc w:val="center"/>
        <w:tblLayout w:type="fixed"/>
        <w:tblCellMar>
          <w:top w:w="0" w:type="dxa"/>
          <w:left w:w="108" w:type="dxa"/>
          <w:bottom w:w="0" w:type="dxa"/>
          <w:right w:w="108" w:type="dxa"/>
        </w:tblCellMar>
      </w:tblPr>
      <w:tblGrid>
        <w:gridCol w:w="4518"/>
        <w:gridCol w:w="4518"/>
      </w:tblGrid>
      <w:tr>
        <w:tblPrEx>
          <w:tblCellMar>
            <w:top w:w="0" w:type="dxa"/>
            <w:left w:w="108" w:type="dxa"/>
            <w:bottom w:w="0" w:type="dxa"/>
            <w:right w:w="108" w:type="dxa"/>
          </w:tblCellMar>
        </w:tblPrEx>
        <w:trPr>
          <w:jc w:val="center"/>
        </w:trPr>
        <w:tc>
          <w:tcPr>
            <w:tcW w:w="9036" w:type="dxa"/>
            <w:gridSpan w:val="2"/>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568950" cy="4176395"/>
                  <wp:effectExtent l="0" t="0" r="12700" b="14605"/>
                  <wp:docPr id="3" name="图片 3" descr="20240628-1426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0628-142654(76)"/>
                          <pic:cNvPicPr>
                            <a:picLocks noChangeAspect="1"/>
                          </pic:cNvPicPr>
                        </pic:nvPicPr>
                        <pic:blipFill>
                          <a:blip r:embed="rId14">
                            <a:lum bright="6000"/>
                          </a:blip>
                          <a:stretch>
                            <a:fillRect/>
                          </a:stretch>
                        </pic:blipFill>
                        <pic:spPr>
                          <a:xfrm>
                            <a:off x="0" y="0"/>
                            <a:ext cx="5568950" cy="417639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9036" w:type="dxa"/>
            <w:gridSpan w:val="2"/>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照片1评价人员现场勘验照片</w:t>
            </w:r>
          </w:p>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左：评价师-黄义敏；中：加油站安全员-</w:t>
            </w:r>
            <w:r>
              <w:rPr>
                <w:rFonts w:hint="eastAsia"/>
                <w:color w:val="000000" w:themeColor="text1"/>
                <w:lang w:eastAsia="zh-CN"/>
                <w14:textFill>
                  <w14:solidFill>
                    <w14:schemeClr w14:val="tx1"/>
                  </w14:solidFill>
                </w14:textFill>
              </w:rPr>
              <w:t>高鹏</w:t>
            </w:r>
            <w:r>
              <w:rPr>
                <w:rFonts w:hint="eastAsia"/>
                <w:color w:val="000000" w:themeColor="text1"/>
                <w14:textFill>
                  <w14:solidFill>
                    <w14:schemeClr w14:val="tx1"/>
                  </w14:solidFill>
                </w14:textFill>
              </w:rPr>
              <w:t>；右：评价师-季凯光</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6" name="图片 6" descr="20240628-1426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40628-142654(67)"/>
                          <pic:cNvPicPr>
                            <a:picLocks noChangeAspect="1"/>
                          </pic:cNvPicPr>
                        </pic:nvPicPr>
                        <pic:blipFill>
                          <a:blip r:embed="rId15">
                            <a:lum bright="6000"/>
                          </a:blip>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1" name="图片 11" descr="20240628-1426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40628-142654(73)"/>
                          <pic:cNvPicPr>
                            <a:picLocks noChangeAspect="1"/>
                          </pic:cNvPicPr>
                        </pic:nvPicPr>
                        <pic:blipFill>
                          <a:blip r:embed="rId16"/>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加油站全景</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照片3加油区</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2" name="图片 12" descr="20240628-1426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40628-142654(60)"/>
                          <pic:cNvPicPr>
                            <a:picLocks noChangeAspect="1"/>
                          </pic:cNvPicPr>
                        </pic:nvPicPr>
                        <pic:blipFill>
                          <a:blip r:embed="rId17">
                            <a:lum bright="6000"/>
                          </a:blip>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5" name="图片 15" descr="20240628-1426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40628-142654(46)"/>
                          <pic:cNvPicPr>
                            <a:picLocks noChangeAspect="1"/>
                          </pic:cNvPicPr>
                        </pic:nvPicPr>
                        <pic:blipFill>
                          <a:blip r:embed="rId18">
                            <a:lum bright="6000"/>
                          </a:blip>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汽油加油机</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汽油加油机内部</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3" name="图片 13" descr="20240628-1426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40628-142654(62)"/>
                          <pic:cNvPicPr>
                            <a:picLocks noChangeAspect="1"/>
                          </pic:cNvPicPr>
                        </pic:nvPicPr>
                        <pic:blipFill>
                          <a:blip r:embed="rId19">
                            <a:lum bright="6000"/>
                          </a:blip>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6" name="图片 16" descr="20240628-1426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40628-142654(47)"/>
                          <pic:cNvPicPr>
                            <a:picLocks noChangeAspect="1"/>
                          </pic:cNvPicPr>
                        </pic:nvPicPr>
                        <pic:blipFill>
                          <a:blip r:embed="rId20">
                            <a:lum bright="6000"/>
                          </a:blip>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柴油加油机</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柴油加油机内部</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40560"/>
                  <wp:effectExtent l="0" t="0" r="16510" b="2540"/>
                  <wp:docPr id="21" name="图片 21" descr="20240628-1426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40628-142654(29)"/>
                          <pic:cNvPicPr>
                            <a:picLocks noChangeAspect="1"/>
                          </pic:cNvPicPr>
                        </pic:nvPicPr>
                        <pic:blipFill>
                          <a:blip r:embed="rId21">
                            <a:lum bright="6000"/>
                          </a:blip>
                          <a:stretch>
                            <a:fillRect/>
                          </a:stretch>
                        </pic:blipFill>
                        <pic:spPr>
                          <a:xfrm>
                            <a:off x="0" y="0"/>
                            <a:ext cx="2726690" cy="194056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31670"/>
                  <wp:effectExtent l="0" t="0" r="16510" b="11430"/>
                  <wp:docPr id="1" name="图片 1" descr="20240628-1426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40628-142654(23)"/>
                          <pic:cNvPicPr>
                            <a:picLocks noChangeAspect="1"/>
                          </pic:cNvPicPr>
                        </pic:nvPicPr>
                        <pic:blipFill>
                          <a:blip r:embed="rId22"/>
                          <a:stretch>
                            <a:fillRect/>
                          </a:stretch>
                        </pic:blipFill>
                        <pic:spPr>
                          <a:xfrm>
                            <a:off x="0" y="0"/>
                            <a:ext cx="2726690" cy="1931670"/>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油罐区</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卸油口</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5" name="图片 5" descr="20240628-1426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40628-142654(25)"/>
                          <pic:cNvPicPr>
                            <a:picLocks noChangeAspect="1"/>
                          </pic:cNvPicPr>
                        </pic:nvPicPr>
                        <pic:blipFill>
                          <a:blip r:embed="rId23"/>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4" name="图片 14" descr="20240628-1426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40628-142654(28)"/>
                          <pic:cNvPicPr>
                            <a:picLocks noChangeAspect="1"/>
                          </pic:cNvPicPr>
                        </pic:nvPicPr>
                        <pic:blipFill>
                          <a:blip r:embed="rId24"/>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w:t>
            </w: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消防沙</w:t>
            </w:r>
            <w:r>
              <w:rPr>
                <w:rFonts w:hint="eastAsia"/>
                <w:color w:val="000000" w:themeColor="text1"/>
                <w:lang w:val="en-US" w:eastAsia="zh-CN"/>
                <w14:textFill>
                  <w14:solidFill>
                    <w14:schemeClr w14:val="tx1"/>
                  </w14:solidFill>
                </w14:textFill>
              </w:rPr>
              <w:t>池</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照片1</w:t>
            </w:r>
            <w:r>
              <w:rPr>
                <w:rFonts w:hint="eastAsia"/>
                <w:color w:val="000000" w:themeColor="text1"/>
                <w:lang w:val="en-US" w:eastAsia="zh-CN"/>
                <w14:textFill>
                  <w14:solidFill>
                    <w14:schemeClr w14:val="tx1"/>
                  </w14:solidFill>
                </w14:textFill>
              </w:rPr>
              <w:t>1人体静电导出桩</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19" name="图片 19" descr="20240628-1426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40628-142654(18)"/>
                          <pic:cNvPicPr>
                            <a:picLocks noChangeAspect="1"/>
                          </pic:cNvPicPr>
                        </pic:nvPicPr>
                        <pic:blipFill>
                          <a:blip r:embed="rId25"/>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27" name="图片 27" descr="20240628-1426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0240628-142654(21)"/>
                          <pic:cNvPicPr>
                            <a:picLocks noChangeAspect="1"/>
                          </pic:cNvPicPr>
                        </pic:nvPicPr>
                        <pic:blipFill>
                          <a:blip r:embed="rId26"/>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汽油人孔操作井</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13</w:t>
            </w:r>
            <w:r>
              <w:rPr>
                <w:rFonts w:hint="eastAsia"/>
                <w:color w:val="000000" w:themeColor="text1"/>
                <w14:textFill>
                  <w14:solidFill>
                    <w14:schemeClr w14:val="tx1"/>
                  </w14:solidFill>
                </w14:textFill>
              </w:rPr>
              <w:t>柴油人孔操作井</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69770"/>
                  <wp:effectExtent l="0" t="0" r="16510" b="11430"/>
                  <wp:docPr id="25" name="图片 25" descr="20240628-1426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0240628-142654(30)"/>
                          <pic:cNvPicPr>
                            <a:picLocks noChangeAspect="1"/>
                          </pic:cNvPicPr>
                        </pic:nvPicPr>
                        <pic:blipFill>
                          <a:blip r:embed="rId27">
                            <a:lum bright="12000"/>
                          </a:blip>
                          <a:stretch>
                            <a:fillRect/>
                          </a:stretch>
                        </pic:blipFill>
                        <pic:spPr>
                          <a:xfrm>
                            <a:off x="0" y="0"/>
                            <a:ext cx="2726690" cy="196977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50720"/>
                  <wp:effectExtent l="0" t="0" r="16510" b="11430"/>
                  <wp:docPr id="23" name="图片 23" descr="20240628-1426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0240628-142654(19)"/>
                          <pic:cNvPicPr>
                            <a:picLocks noChangeAspect="1"/>
                          </pic:cNvPicPr>
                        </pic:nvPicPr>
                        <pic:blipFill>
                          <a:blip r:embed="rId28"/>
                          <a:stretch>
                            <a:fillRect/>
                          </a:stretch>
                        </pic:blipFill>
                        <pic:spPr>
                          <a:xfrm>
                            <a:off x="0" y="0"/>
                            <a:ext cx="2726690" cy="1950720"/>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通气管</w:t>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15集液器</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78660"/>
                  <wp:effectExtent l="0" t="0" r="16510" b="2540"/>
                  <wp:docPr id="24" name="图片 24" descr="20240628-1426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0240628-142654(24)"/>
                          <pic:cNvPicPr>
                            <a:picLocks noChangeAspect="1"/>
                          </pic:cNvPicPr>
                        </pic:nvPicPr>
                        <pic:blipFill>
                          <a:blip r:embed="rId29"/>
                          <a:stretch>
                            <a:fillRect/>
                          </a:stretch>
                        </pic:blipFill>
                        <pic:spPr>
                          <a:xfrm>
                            <a:off x="0" y="0"/>
                            <a:ext cx="2726690" cy="197866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58975"/>
                  <wp:effectExtent l="0" t="0" r="16510" b="3175"/>
                  <wp:docPr id="28" name="图片 28" descr="20240628-1426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0240628-142654(35)"/>
                          <pic:cNvPicPr>
                            <a:picLocks noChangeAspect="1"/>
                          </pic:cNvPicPr>
                        </pic:nvPicPr>
                        <pic:blipFill>
                          <a:blip r:embed="rId30"/>
                          <a:stretch>
                            <a:fillRect/>
                          </a:stretch>
                        </pic:blipFill>
                        <pic:spPr>
                          <a:xfrm>
                            <a:off x="0" y="0"/>
                            <a:ext cx="2726690" cy="195897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16水位观察井</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17配电柜</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29" name="图片 29" descr="20240628-1426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0240628-142654(36)"/>
                          <pic:cNvPicPr>
                            <a:picLocks noChangeAspect="1"/>
                          </pic:cNvPicPr>
                        </pic:nvPicPr>
                        <pic:blipFill>
                          <a:blip r:embed="rId31">
                            <a:lum bright="6000"/>
                          </a:blip>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45" name="图片 45" descr="20240628-1426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0240628-142654(57)"/>
                          <pic:cNvPicPr>
                            <a:picLocks noChangeAspect="1"/>
                          </pic:cNvPicPr>
                        </pic:nvPicPr>
                        <pic:blipFill>
                          <a:blip r:embed="rId32">
                            <a:lum bright="12000"/>
                          </a:blip>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18</w:t>
            </w:r>
            <w:r>
              <w:rPr>
                <w:rFonts w:hint="eastAsia"/>
                <w:color w:val="000000" w:themeColor="text1"/>
                <w14:textFill>
                  <w14:solidFill>
                    <w14:schemeClr w14:val="tx1"/>
                  </w14:solidFill>
                </w14:textFill>
              </w:rPr>
              <w:t>柴油发电机</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19防爆应急灯</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88820"/>
                  <wp:effectExtent l="0" t="0" r="16510" b="11430"/>
                  <wp:docPr id="30" name="图片 30" descr="20240628-1426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0240628-142654(54)"/>
                          <pic:cNvPicPr>
                            <a:picLocks noChangeAspect="1"/>
                          </pic:cNvPicPr>
                        </pic:nvPicPr>
                        <pic:blipFill>
                          <a:blip r:embed="rId33">
                            <a:lum bright="12000"/>
                          </a:blip>
                          <a:stretch>
                            <a:fillRect/>
                          </a:stretch>
                        </pic:blipFill>
                        <pic:spPr>
                          <a:xfrm>
                            <a:off x="0" y="0"/>
                            <a:ext cx="2726690" cy="198882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88820"/>
                  <wp:effectExtent l="0" t="0" r="16510" b="11430"/>
                  <wp:docPr id="31" name="图片 31" descr="20240628-1426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0240628-142654(55)"/>
                          <pic:cNvPicPr>
                            <a:picLocks noChangeAspect="1"/>
                          </pic:cNvPicPr>
                        </pic:nvPicPr>
                        <pic:blipFill>
                          <a:blip r:embed="rId34">
                            <a:lum bright="12000"/>
                          </a:blip>
                          <a:stretch>
                            <a:fillRect/>
                          </a:stretch>
                        </pic:blipFill>
                        <pic:spPr>
                          <a:xfrm>
                            <a:off x="0" y="0"/>
                            <a:ext cx="2726690" cy="1988820"/>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照片2</w:t>
            </w:r>
            <w:r>
              <w:rPr>
                <w:rFonts w:hint="eastAsia"/>
                <w:color w:val="000000" w:themeColor="text1"/>
                <w:lang w:val="en-US" w:eastAsia="zh-CN"/>
                <w14:textFill>
                  <w14:solidFill>
                    <w14:schemeClr w14:val="tx1"/>
                  </w14:solidFill>
                </w14:textFill>
              </w:rPr>
              <w:t>0急停按钮</w:t>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照片2</w:t>
            </w:r>
            <w:r>
              <w:rPr>
                <w:rFonts w:hint="eastAsia"/>
                <w:color w:val="000000" w:themeColor="text1"/>
                <w:lang w:val="en-US" w:eastAsia="zh-CN"/>
                <w14:textFill>
                  <w14:solidFill>
                    <w14:schemeClr w14:val="tx1"/>
                  </w14:solidFill>
                </w14:textFill>
              </w:rPr>
              <w:t>1液位仪</w:t>
            </w:r>
          </w:p>
        </w:tc>
      </w:tr>
      <w:tr>
        <w:tblPrEx>
          <w:tblCellMar>
            <w:top w:w="0" w:type="dxa"/>
            <w:left w:w="108" w:type="dxa"/>
            <w:bottom w:w="0" w:type="dxa"/>
            <w:right w:w="108" w:type="dxa"/>
          </w:tblCellMar>
        </w:tblPrEx>
        <w:trPr>
          <w:trHeight w:val="90" w:hRule="atLeast"/>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69770"/>
                  <wp:effectExtent l="0" t="0" r="16510" b="11430"/>
                  <wp:docPr id="32" name="图片 32" descr="20240628-1426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0240628-142654(56)"/>
                          <pic:cNvPicPr>
                            <a:picLocks noChangeAspect="1"/>
                          </pic:cNvPicPr>
                        </pic:nvPicPr>
                        <pic:blipFill>
                          <a:blip r:embed="rId35">
                            <a:lum bright="12000"/>
                          </a:blip>
                          <a:stretch>
                            <a:fillRect/>
                          </a:stretch>
                        </pic:blipFill>
                        <pic:spPr>
                          <a:xfrm>
                            <a:off x="0" y="0"/>
                            <a:ext cx="2726690" cy="196977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58975"/>
                  <wp:effectExtent l="0" t="0" r="16510" b="3175"/>
                  <wp:docPr id="36" name="图片 36" descr="20240628-1426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40628-142654(72)"/>
                          <pic:cNvPicPr>
                            <a:picLocks noChangeAspect="1"/>
                          </pic:cNvPicPr>
                        </pic:nvPicPr>
                        <pic:blipFill>
                          <a:blip r:embed="rId36">
                            <a:lum bright="12000"/>
                          </a:blip>
                          <a:stretch>
                            <a:fillRect/>
                          </a:stretch>
                        </pic:blipFill>
                        <pic:spPr>
                          <a:xfrm>
                            <a:off x="0" y="0"/>
                            <a:ext cx="2726690" cy="195897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22泄漏检测仪</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23视频监控画面</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37" name="图片 37" descr="20240628-1426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40628-142654(70)"/>
                          <pic:cNvPicPr>
                            <a:picLocks noChangeAspect="1"/>
                          </pic:cNvPicPr>
                        </pic:nvPicPr>
                        <pic:blipFill>
                          <a:blip r:embed="rId37">
                            <a:lum bright="12000"/>
                          </a:blip>
                          <a:stretch>
                            <a:fillRect/>
                          </a:stretch>
                        </pic:blipFill>
                        <pic:spPr>
                          <a:xfrm>
                            <a:off x="0" y="0"/>
                            <a:ext cx="2726690" cy="204533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38" name="图片 38" descr="20240628-1426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0240628-142654(71)"/>
                          <pic:cNvPicPr>
                            <a:picLocks noChangeAspect="1"/>
                          </pic:cNvPicPr>
                        </pic:nvPicPr>
                        <pic:blipFill>
                          <a:blip r:embed="rId38">
                            <a:lum bright="12000"/>
                          </a:blip>
                          <a:stretch>
                            <a:fillRect/>
                          </a:stretch>
                        </pic:blipFill>
                        <pic:spPr>
                          <a:xfrm>
                            <a:off x="0" y="0"/>
                            <a:ext cx="2726690" cy="20453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照片2</w:t>
            </w:r>
            <w:r>
              <w:rPr>
                <w:rFonts w:hint="eastAsia"/>
                <w:color w:val="000000" w:themeColor="text1"/>
                <w:lang w:val="en-US" w:eastAsia="zh-CN"/>
                <w14:textFill>
                  <w14:solidFill>
                    <w14:schemeClr w14:val="tx1"/>
                  </w14:solidFill>
                </w14:textFill>
              </w:rPr>
              <w:t>4出口标识</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照片2</w:t>
            </w:r>
            <w:r>
              <w:rPr>
                <w:rFonts w:hint="eastAsia"/>
                <w:color w:val="000000" w:themeColor="text1"/>
                <w:lang w:val="en-US" w:eastAsia="zh-CN"/>
                <w14:textFill>
                  <w14:solidFill>
                    <w14:schemeClr w14:val="tx1"/>
                  </w14:solidFill>
                </w14:textFill>
              </w:rPr>
              <w:t>5安全职责</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88820"/>
                  <wp:effectExtent l="0" t="0" r="16510" b="11430"/>
                  <wp:docPr id="39" name="图片 39" descr="20240628-1426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0240628-142654(53)"/>
                          <pic:cNvPicPr>
                            <a:picLocks noChangeAspect="1"/>
                          </pic:cNvPicPr>
                        </pic:nvPicPr>
                        <pic:blipFill>
                          <a:blip r:embed="rId39">
                            <a:lum bright="6000"/>
                          </a:blip>
                          <a:stretch>
                            <a:fillRect/>
                          </a:stretch>
                        </pic:blipFill>
                        <pic:spPr>
                          <a:xfrm>
                            <a:off x="0" y="0"/>
                            <a:ext cx="2726690" cy="198882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969135"/>
                  <wp:effectExtent l="0" t="0" r="16510" b="12065"/>
                  <wp:docPr id="43" name="图片 43" descr="20240628-1426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20240628-142654(39)"/>
                          <pic:cNvPicPr>
                            <a:picLocks noChangeAspect="1"/>
                          </pic:cNvPicPr>
                        </pic:nvPicPr>
                        <pic:blipFill>
                          <a:blip r:embed="rId40">
                            <a:lum bright="6000"/>
                          </a:blip>
                          <a:stretch>
                            <a:fillRect/>
                          </a:stretch>
                        </pic:blipFill>
                        <pic:spPr>
                          <a:xfrm>
                            <a:off x="0" y="0"/>
                            <a:ext cx="2726690" cy="19691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照片2</w:t>
            </w:r>
            <w:r>
              <w:rPr>
                <w:rFonts w:hint="eastAsia"/>
                <w:color w:val="000000" w:themeColor="text1"/>
                <w:lang w:val="en-US" w:eastAsia="zh-CN"/>
                <w14:textFill>
                  <w14:solidFill>
                    <w14:schemeClr w14:val="tx1"/>
                  </w14:solidFill>
                </w14:textFill>
              </w:rPr>
              <w:t>6安全告知卡</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照2</w:t>
            </w:r>
            <w:r>
              <w:rPr>
                <w:rFonts w:hint="eastAsia"/>
                <w:color w:val="000000" w:themeColor="text1"/>
                <w:lang w:val="en-US" w:eastAsia="zh-CN"/>
                <w14:textFill>
                  <w14:solidFill>
                    <w14:schemeClr w14:val="tx1"/>
                  </w14:solidFill>
                </w14:textFill>
              </w:rPr>
              <w:t>7</w:t>
            </w:r>
            <w:r>
              <w:rPr>
                <w:rFonts w:hint="eastAsia"/>
                <w:color w:val="000000" w:themeColor="text1"/>
                <w:szCs w:val="28"/>
                <w:lang w:val="en-US" w:eastAsia="zh-CN"/>
                <w14:textFill>
                  <w14:solidFill>
                    <w14:schemeClr w14:val="tx1"/>
                  </w14:solidFill>
                </w14:textFill>
              </w:rPr>
              <w:t>配电室、发电机操作规程</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746885"/>
                  <wp:effectExtent l="0" t="0" r="0" b="0"/>
                  <wp:docPr id="44" name="图片 44" descr="20240628-1426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0240628-142654(49)"/>
                          <pic:cNvPicPr>
                            <a:picLocks noChangeAspect="1"/>
                          </pic:cNvPicPr>
                        </pic:nvPicPr>
                        <pic:blipFill>
                          <a:blip r:embed="rId41">
                            <a:lum bright="18000"/>
                          </a:blip>
                          <a:srcRect b="8208"/>
                          <a:stretch>
                            <a:fillRect/>
                          </a:stretch>
                        </pic:blipFill>
                        <pic:spPr>
                          <a:xfrm>
                            <a:off x="0" y="0"/>
                            <a:ext cx="2726690" cy="174688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756410"/>
                  <wp:effectExtent l="0" t="0" r="0" b="0"/>
                  <wp:docPr id="50" name="图片 50" descr="20240628-1426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0240628-142654(58)"/>
                          <pic:cNvPicPr>
                            <a:picLocks noChangeAspect="1"/>
                          </pic:cNvPicPr>
                        </pic:nvPicPr>
                        <pic:blipFill>
                          <a:blip r:embed="rId42">
                            <a:lum bright="12000"/>
                          </a:blip>
                          <a:srcRect b="8137"/>
                          <a:stretch>
                            <a:fillRect/>
                          </a:stretch>
                        </pic:blipFill>
                        <pic:spPr>
                          <a:xfrm>
                            <a:off x="0" y="0"/>
                            <a:ext cx="2726690" cy="1756410"/>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28加油区安全标识</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w:t>
            </w:r>
            <w:r>
              <w:rPr>
                <w:rFonts w:hint="eastAsia"/>
                <w:color w:val="000000" w:themeColor="text1"/>
                <w:lang w:val="en-US" w:eastAsia="zh-CN"/>
                <w14:textFill>
                  <w14:solidFill>
                    <w14:schemeClr w14:val="tx1"/>
                  </w14:solidFill>
                </w14:textFill>
              </w:rPr>
              <w:t>29安全管理台账资料</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845310"/>
                  <wp:effectExtent l="0" t="0" r="16510" b="2540"/>
                  <wp:docPr id="53" name="图片 53" descr="20240628-142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0240628-142654(2)"/>
                          <pic:cNvPicPr>
                            <a:picLocks noChangeAspect="1"/>
                          </pic:cNvPicPr>
                        </pic:nvPicPr>
                        <pic:blipFill>
                          <a:blip r:embed="rId43">
                            <a:lum bright="18000"/>
                          </a:blip>
                          <a:stretch>
                            <a:fillRect/>
                          </a:stretch>
                        </pic:blipFill>
                        <pic:spPr>
                          <a:xfrm>
                            <a:off x="0" y="0"/>
                            <a:ext cx="2726690" cy="1845310"/>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819910"/>
                  <wp:effectExtent l="0" t="0" r="0" b="0"/>
                  <wp:docPr id="55" name="图片 55" descr="20240628-142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0240628-142654(6)"/>
                          <pic:cNvPicPr>
                            <a:picLocks noChangeAspect="1"/>
                          </pic:cNvPicPr>
                        </pic:nvPicPr>
                        <pic:blipFill>
                          <a:blip r:embed="rId44">
                            <a:lum bright="24000" contrast="12000"/>
                          </a:blip>
                          <a:srcRect b="3890"/>
                          <a:stretch>
                            <a:fillRect/>
                          </a:stretch>
                        </pic:blipFill>
                        <pic:spPr>
                          <a:xfrm>
                            <a:off x="0" y="0"/>
                            <a:ext cx="2726690" cy="1819910"/>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北面</w:t>
            </w:r>
            <w:r>
              <w:rPr>
                <w:rFonts w:hint="eastAsia"/>
                <w:color w:val="000000" w:themeColor="text1"/>
                <w:szCs w:val="28"/>
                <w:lang w:val="en-US" w:eastAsia="zh-CN"/>
                <w14:textFill>
                  <w14:solidFill>
                    <w14:schemeClr w14:val="tx1"/>
                  </w14:solidFill>
                </w14:textFill>
              </w:rPr>
              <w:t>高压电力线</w:t>
            </w:r>
          </w:p>
        </w:tc>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1东北面</w:t>
            </w:r>
            <w:r>
              <w:rPr>
                <w:rFonts w:hint="eastAsia"/>
                <w:color w:val="000000" w:themeColor="text1"/>
                <w14:textFill>
                  <w14:solidFill>
                    <w14:schemeClr w14:val="tx1"/>
                  </w14:solidFill>
                </w14:textFill>
              </w:rPr>
              <w:t>中铁二十四局项目部</w:t>
            </w:r>
            <w:r>
              <w:rPr>
                <w:rFonts w:hint="eastAsia"/>
                <w:color w:val="000000" w:themeColor="text1"/>
                <w:lang w:val="en-US" w:eastAsia="zh-CN"/>
                <w14:textFill>
                  <w14:solidFill>
                    <w14:schemeClr w14:val="tx1"/>
                  </w14:solidFill>
                </w14:textFill>
              </w:rPr>
              <w:t>建筑</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851025"/>
                  <wp:effectExtent l="0" t="0" r="0" b="0"/>
                  <wp:docPr id="56" name="图片 56" descr="20240628-142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0240628-142654(7)"/>
                          <pic:cNvPicPr>
                            <a:picLocks noChangeAspect="1"/>
                          </pic:cNvPicPr>
                        </pic:nvPicPr>
                        <pic:blipFill>
                          <a:blip r:embed="rId45">
                            <a:lum bright="18000" contrast="6000"/>
                          </a:blip>
                          <a:srcRect t="9500"/>
                          <a:stretch>
                            <a:fillRect/>
                          </a:stretch>
                        </pic:blipFill>
                        <pic:spPr>
                          <a:xfrm>
                            <a:off x="0" y="0"/>
                            <a:ext cx="2726690" cy="1851025"/>
                          </a:xfrm>
                          <a:prstGeom prst="rect">
                            <a:avLst/>
                          </a:prstGeom>
                        </pic:spPr>
                      </pic:pic>
                    </a:graphicData>
                  </a:graphic>
                </wp:inline>
              </w:drawing>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1842135"/>
                  <wp:effectExtent l="0" t="0" r="0" b="0"/>
                  <wp:docPr id="57" name="图片 57" descr="20240628-1426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20240628-142654(12)"/>
                          <pic:cNvPicPr>
                            <a:picLocks noChangeAspect="1"/>
                          </pic:cNvPicPr>
                        </pic:nvPicPr>
                        <pic:blipFill>
                          <a:blip r:embed="rId46">
                            <a:lum bright="12000"/>
                          </a:blip>
                          <a:srcRect b="9935"/>
                          <a:stretch>
                            <a:fillRect/>
                          </a:stretch>
                        </pic:blipFill>
                        <pic:spPr>
                          <a:xfrm>
                            <a:off x="0" y="0"/>
                            <a:ext cx="2726690" cy="1842135"/>
                          </a:xfrm>
                          <a:prstGeom prst="rect">
                            <a:avLst/>
                          </a:prstGeom>
                        </pic:spPr>
                      </pic:pic>
                    </a:graphicData>
                  </a:graphic>
                </wp:inline>
              </w:drawing>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2东面</w:t>
            </w:r>
            <w:r>
              <w:rPr>
                <w:rFonts w:hint="eastAsia"/>
                <w:color w:val="000000" w:themeColor="text1"/>
                <w14:textFill>
                  <w14:solidFill>
                    <w14:schemeClr w14:val="tx1"/>
                  </w14:solidFill>
                </w14:textFill>
              </w:rPr>
              <w:t>中铁二十四局项目部</w:t>
            </w:r>
            <w:r>
              <w:rPr>
                <w:rFonts w:hint="eastAsia"/>
                <w:color w:val="000000" w:themeColor="text1"/>
                <w:lang w:val="en-US" w:eastAsia="zh-CN"/>
                <w14:textFill>
                  <w14:solidFill>
                    <w14:schemeClr w14:val="tx1"/>
                  </w14:solidFill>
                </w14:textFill>
              </w:rPr>
              <w:t>建筑</w:t>
            </w:r>
          </w:p>
        </w:tc>
        <w:tc>
          <w:tcPr>
            <w:tcW w:w="4518" w:type="dxa"/>
          </w:tcPr>
          <w:p>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3南面架空电力线</w:t>
            </w:r>
          </w:p>
        </w:tc>
      </w:tr>
      <w:tr>
        <w:tblPrEx>
          <w:tblCellMar>
            <w:top w:w="0" w:type="dxa"/>
            <w:left w:w="108" w:type="dxa"/>
            <w:bottom w:w="0" w:type="dxa"/>
            <w:right w:w="108" w:type="dxa"/>
          </w:tblCellMar>
        </w:tblPrEx>
        <w:trPr>
          <w:jc w:val="center"/>
        </w:trPr>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58" name="图片 58" descr="20240628-1426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20240628-142654(65)"/>
                          <pic:cNvPicPr>
                            <a:picLocks noChangeAspect="1"/>
                          </pic:cNvPicPr>
                        </pic:nvPicPr>
                        <pic:blipFill>
                          <a:blip r:embed="rId47">
                            <a:lum bright="12000" contrast="6000"/>
                          </a:blip>
                          <a:stretch>
                            <a:fillRect/>
                          </a:stretch>
                        </pic:blipFill>
                        <pic:spPr>
                          <a:xfrm>
                            <a:off x="0" y="0"/>
                            <a:ext cx="2726690" cy="2045335"/>
                          </a:xfrm>
                          <a:prstGeom prst="rect">
                            <a:avLst/>
                          </a:prstGeom>
                        </pic:spPr>
                      </pic:pic>
                    </a:graphicData>
                  </a:graphic>
                </wp:inline>
              </w:drawing>
            </w:r>
          </w:p>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4西南面架空电力线</w:t>
            </w:r>
          </w:p>
        </w:tc>
        <w:tc>
          <w:tcPr>
            <w:tcW w:w="4518" w:type="dxa"/>
          </w:tcPr>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2726690" cy="2045335"/>
                  <wp:effectExtent l="0" t="0" r="16510" b="12065"/>
                  <wp:docPr id="59" name="图片 59" descr="20240628-1426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0240628-142654(66)"/>
                          <pic:cNvPicPr>
                            <a:picLocks noChangeAspect="1"/>
                          </pic:cNvPicPr>
                        </pic:nvPicPr>
                        <pic:blipFill>
                          <a:blip r:embed="rId48">
                            <a:lum bright="12000"/>
                          </a:blip>
                          <a:stretch>
                            <a:fillRect/>
                          </a:stretch>
                        </pic:blipFill>
                        <pic:spPr>
                          <a:xfrm>
                            <a:off x="0" y="0"/>
                            <a:ext cx="2726690" cy="2045335"/>
                          </a:xfrm>
                          <a:prstGeom prst="rect">
                            <a:avLst/>
                          </a:prstGeom>
                        </pic:spPr>
                      </pic:pic>
                    </a:graphicData>
                  </a:graphic>
                </wp:inline>
              </w:drawing>
            </w:r>
          </w:p>
          <w:p>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照片3</w:t>
            </w:r>
            <w:r>
              <w:rPr>
                <w:rFonts w:hint="eastAsia"/>
                <w:color w:val="000000" w:themeColor="text1"/>
                <w:lang w:val="en-US" w:eastAsia="zh-CN"/>
                <w14:textFill>
                  <w14:solidFill>
                    <w14:schemeClr w14:val="tx1"/>
                  </w14:solidFill>
                </w14:textFill>
              </w:rPr>
              <w:t>5西南面民房</w:t>
            </w:r>
          </w:p>
        </w:tc>
      </w:tr>
    </w:tbl>
    <w:p>
      <w:pPr>
        <w:pStyle w:val="42"/>
        <w:ind w:firstLine="0" w:firstLineChars="0"/>
        <w:rPr>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5" w:h="16838"/>
          <w:pgMar w:top="1417" w:right="1134" w:bottom="1134" w:left="1587" w:header="850" w:footer="850" w:gutter="0"/>
          <w:pgNumType w:start="1"/>
          <w:cols w:space="0" w:num="1"/>
          <w:docGrid w:type="linesAndChars" w:linePitch="386" w:charSpace="0"/>
        </w:sectPr>
      </w:pPr>
    </w:p>
    <w:p>
      <w:pPr>
        <w:pStyle w:val="59"/>
        <w:spacing w:line="276" w:lineRule="auto"/>
        <w:ind w:firstLine="643"/>
        <w:rPr>
          <w:rFonts w:eastAsia="宋体"/>
          <w:bCs/>
          <w:color w:val="000000" w:themeColor="text1"/>
          <w:szCs w:val="32"/>
          <w14:textFill>
            <w14:solidFill>
              <w14:schemeClr w14:val="tx1"/>
            </w14:solidFill>
          </w14:textFill>
        </w:rPr>
      </w:pPr>
      <w:r>
        <w:rPr>
          <w:rFonts w:hint="eastAsia" w:eastAsia="宋体"/>
          <w:bCs/>
          <w:color w:val="000000" w:themeColor="text1"/>
          <w:szCs w:val="32"/>
          <w14:textFill>
            <w14:solidFill>
              <w14:schemeClr w14:val="tx1"/>
            </w14:solidFill>
          </w14:textFill>
        </w:rPr>
        <w:t>目 录</w:t>
      </w:r>
    </w:p>
    <w:p>
      <w:pPr>
        <w:pStyle w:val="25"/>
        <w:tabs>
          <w:tab w:val="right" w:leader="dot" w:pos="9184"/>
        </w:tabs>
        <w:rPr>
          <w:rFonts w:hint="eastAsia" w:ascii="宋体" w:hAnsi="宋体" w:eastAsia="宋体" w:cs="宋体"/>
        </w:rPr>
      </w:pPr>
      <w:r>
        <w:rPr>
          <w:rFonts w:hint="eastAsia" w:ascii="宋体" w:hAnsi="宋体" w:eastAsia="宋体" w:cs="宋体"/>
          <w:bCs w:val="0"/>
          <w:color w:val="000000" w:themeColor="text1"/>
          <w:szCs w:val="24"/>
          <w14:textFill>
            <w14:solidFill>
              <w14:schemeClr w14:val="tx1"/>
            </w14:solidFill>
          </w14:textFill>
        </w:rPr>
        <w:fldChar w:fldCharType="begin"/>
      </w:r>
      <w:r>
        <w:rPr>
          <w:rFonts w:hint="eastAsia" w:ascii="宋体" w:hAnsi="宋体" w:eastAsia="宋体" w:cs="宋体"/>
          <w:bCs w:val="0"/>
          <w:color w:val="000000" w:themeColor="text1"/>
          <w:szCs w:val="24"/>
          <w14:textFill>
            <w14:solidFill>
              <w14:schemeClr w14:val="tx1"/>
            </w14:solidFill>
          </w14:textFill>
        </w:rPr>
        <w:instrText xml:space="preserve"> TOC \o "1-3" \h \z \u </w:instrText>
      </w:r>
      <w:r>
        <w:rPr>
          <w:rFonts w:hint="eastAsia" w:ascii="宋体" w:hAnsi="宋体" w:eastAsia="宋体" w:cs="宋体"/>
          <w:bCs w:val="0"/>
          <w:color w:val="000000" w:themeColor="text1"/>
          <w:szCs w:val="24"/>
          <w14:textFill>
            <w14:solidFill>
              <w14:schemeClr w14:val="tx1"/>
            </w14:solidFill>
          </w14:textFill>
        </w:rPr>
        <w:fldChar w:fldCharType="separate"/>
      </w:r>
      <w:r>
        <w:rPr>
          <w:rFonts w:hint="eastAsia" w:ascii="宋体" w:hAnsi="宋体" w:eastAsia="宋体" w:cs="宋体"/>
          <w:bCs w:val="0"/>
          <w:color w:val="000000" w:themeColor="text1"/>
          <w:szCs w:val="24"/>
          <w14:textFill>
            <w14:solidFill>
              <w14:schemeClr w14:val="tx1"/>
            </w14:solidFill>
          </w14:textFill>
        </w:rPr>
        <w:fldChar w:fldCharType="begin"/>
      </w:r>
      <w:r>
        <w:rPr>
          <w:rFonts w:hint="eastAsia" w:ascii="宋体" w:hAnsi="宋体" w:eastAsia="宋体" w:cs="宋体"/>
          <w:bCs w:val="0"/>
          <w:szCs w:val="24"/>
        </w:rPr>
        <w:instrText xml:space="preserve"> HYPERLINK \l _Toc23334 </w:instrText>
      </w:r>
      <w:r>
        <w:rPr>
          <w:rFonts w:hint="eastAsia" w:ascii="宋体" w:hAnsi="宋体" w:eastAsia="宋体" w:cs="宋体"/>
          <w:bCs w:val="0"/>
          <w:szCs w:val="24"/>
        </w:rPr>
        <w:fldChar w:fldCharType="separate"/>
      </w:r>
      <w:r>
        <w:rPr>
          <w:rFonts w:hint="eastAsia" w:ascii="宋体" w:hAnsi="宋体" w:eastAsia="宋体" w:cs="宋体"/>
        </w:rPr>
        <w:t>第1章 安全评价工作经过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_Toc23334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val="0"/>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_Toc1493 </w:instrText>
      </w:r>
      <w:r>
        <w:rPr>
          <w:rFonts w:hint="eastAsia" w:ascii="宋体" w:hAnsi="宋体" w:eastAsia="宋体" w:cs="宋体"/>
          <w:bCs/>
          <w:szCs w:val="24"/>
        </w:rPr>
        <w:fldChar w:fldCharType="separate"/>
      </w:r>
      <w:r>
        <w:rPr>
          <w:rFonts w:hint="eastAsia" w:ascii="宋体" w:hAnsi="宋体" w:eastAsia="宋体" w:cs="宋体"/>
        </w:rPr>
        <w:t>1.1 前期准备情况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_Toc25093 </w:instrText>
      </w:r>
      <w:r>
        <w:rPr>
          <w:rFonts w:hint="eastAsia" w:ascii="宋体" w:hAnsi="宋体" w:eastAsia="宋体" w:cs="宋体"/>
          <w:bCs/>
          <w:szCs w:val="24"/>
        </w:rPr>
        <w:fldChar w:fldCharType="separate"/>
      </w:r>
      <w:r>
        <w:rPr>
          <w:rFonts w:hint="eastAsia" w:ascii="宋体" w:hAnsi="宋体" w:eastAsia="宋体" w:cs="宋体"/>
        </w:rPr>
        <w:t>1.1.1 任务来源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_Toc25093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_Toc31154 </w:instrText>
      </w:r>
      <w:r>
        <w:rPr>
          <w:rFonts w:hint="eastAsia" w:ascii="宋体" w:hAnsi="宋体" w:eastAsia="宋体" w:cs="宋体"/>
          <w:bCs/>
          <w:szCs w:val="24"/>
        </w:rPr>
        <w:fldChar w:fldCharType="separate"/>
      </w:r>
      <w:r>
        <w:rPr>
          <w:rFonts w:hint="eastAsia" w:ascii="宋体" w:hAnsi="宋体" w:eastAsia="宋体" w:cs="宋体"/>
        </w:rPr>
        <w:t>1.1.2 收集资料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_Toc31154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_Toc11041 </w:instrText>
      </w:r>
      <w:r>
        <w:rPr>
          <w:rFonts w:hint="eastAsia" w:ascii="宋体" w:hAnsi="宋体" w:eastAsia="宋体" w:cs="宋体"/>
          <w:bCs/>
          <w:szCs w:val="24"/>
        </w:rPr>
        <w:fldChar w:fldCharType="separate"/>
      </w:r>
      <w:r>
        <w:rPr>
          <w:rFonts w:hint="eastAsia" w:ascii="宋体" w:hAnsi="宋体" w:eastAsia="宋体" w:cs="宋体"/>
        </w:rPr>
        <w:t>1.1.3 评价目的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_Toc11041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_Toc30175 </w:instrText>
      </w:r>
      <w:r>
        <w:rPr>
          <w:rFonts w:hint="eastAsia" w:ascii="宋体" w:hAnsi="宋体" w:eastAsia="宋体" w:cs="宋体"/>
          <w:bCs/>
          <w:szCs w:val="24"/>
        </w:rPr>
        <w:fldChar w:fldCharType="separate"/>
      </w:r>
      <w:r>
        <w:rPr>
          <w:rFonts w:hint="eastAsia" w:ascii="宋体" w:hAnsi="宋体" w:eastAsia="宋体" w:cs="宋体"/>
        </w:rPr>
        <w:t>1.1.4 评价原则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_Toc30175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_Toc24374 </w:instrText>
      </w:r>
      <w:r>
        <w:rPr>
          <w:rFonts w:hint="eastAsia" w:ascii="宋体" w:hAnsi="宋体" w:eastAsia="宋体" w:cs="宋体"/>
          <w:bCs/>
          <w:szCs w:val="24"/>
        </w:rPr>
        <w:fldChar w:fldCharType="separate"/>
      </w:r>
      <w:r>
        <w:rPr>
          <w:rFonts w:hint="eastAsia" w:ascii="宋体" w:hAnsi="宋体" w:eastAsia="宋体" w:cs="宋体"/>
        </w:rPr>
        <w:t>1.2 评价对象及范围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_Toc24374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_Toc21098 </w:instrText>
      </w:r>
      <w:r>
        <w:rPr>
          <w:rFonts w:hint="eastAsia" w:ascii="宋体" w:hAnsi="宋体" w:eastAsia="宋体" w:cs="宋体"/>
          <w:bCs/>
          <w:szCs w:val="24"/>
        </w:rPr>
        <w:fldChar w:fldCharType="separate"/>
      </w:r>
      <w:r>
        <w:rPr>
          <w:rFonts w:hint="eastAsia" w:ascii="宋体" w:hAnsi="宋体" w:eastAsia="宋体" w:cs="宋体"/>
        </w:rPr>
        <w:t>1.3 评价依据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_Toc21098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_Toc1874 </w:instrText>
      </w:r>
      <w:r>
        <w:rPr>
          <w:rFonts w:hint="eastAsia" w:ascii="宋体" w:hAnsi="宋体" w:eastAsia="宋体" w:cs="宋体"/>
          <w:bCs/>
          <w:szCs w:val="24"/>
        </w:rPr>
        <w:fldChar w:fldCharType="separate"/>
      </w:r>
      <w:r>
        <w:rPr>
          <w:rFonts w:hint="eastAsia" w:ascii="宋体" w:hAnsi="宋体" w:eastAsia="宋体" w:cs="宋体"/>
        </w:rPr>
        <w:t>1.3.1 国家法律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_Toc1874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_Toc10367 </w:instrText>
      </w:r>
      <w:r>
        <w:rPr>
          <w:rFonts w:hint="eastAsia" w:ascii="宋体" w:hAnsi="宋体" w:eastAsia="宋体" w:cs="宋体"/>
          <w:bCs/>
          <w:szCs w:val="24"/>
        </w:rPr>
        <w:fldChar w:fldCharType="separate"/>
      </w:r>
      <w:r>
        <w:rPr>
          <w:rFonts w:hint="eastAsia" w:ascii="宋体" w:hAnsi="宋体" w:eastAsia="宋体" w:cs="宋体"/>
        </w:rPr>
        <w:t>1.3.2 行政法规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_Toc10367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_Toc764 </w:instrText>
      </w:r>
      <w:r>
        <w:rPr>
          <w:rFonts w:hint="eastAsia" w:ascii="宋体" w:hAnsi="宋体" w:eastAsia="宋体" w:cs="宋体"/>
          <w:bCs/>
          <w:szCs w:val="24"/>
        </w:rPr>
        <w:fldChar w:fldCharType="separate"/>
      </w:r>
      <w:r>
        <w:rPr>
          <w:rFonts w:hint="eastAsia" w:ascii="宋体" w:hAnsi="宋体" w:eastAsia="宋体" w:cs="宋体"/>
        </w:rPr>
        <w:t>1.3.3 部门规章及规范性文件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_Toc103 </w:instrText>
      </w:r>
      <w:r>
        <w:rPr>
          <w:rFonts w:hint="eastAsia" w:ascii="宋体" w:hAnsi="宋体" w:eastAsia="宋体" w:cs="宋体"/>
          <w:bCs/>
          <w:szCs w:val="24"/>
        </w:rPr>
        <w:fldChar w:fldCharType="separate"/>
      </w:r>
      <w:r>
        <w:rPr>
          <w:rFonts w:hint="eastAsia" w:ascii="宋体" w:hAnsi="宋体" w:eastAsia="宋体" w:cs="宋体"/>
        </w:rPr>
        <w:t>1.3.4 地方性法规及规定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_Toc19636 </w:instrText>
      </w:r>
      <w:r>
        <w:rPr>
          <w:rFonts w:hint="eastAsia" w:ascii="宋体" w:hAnsi="宋体" w:eastAsia="宋体" w:cs="宋体"/>
          <w:bCs/>
          <w:szCs w:val="24"/>
        </w:rPr>
        <w:fldChar w:fldCharType="separate"/>
      </w:r>
      <w:r>
        <w:rPr>
          <w:rFonts w:hint="eastAsia" w:ascii="宋体" w:hAnsi="宋体" w:eastAsia="宋体" w:cs="宋体"/>
        </w:rPr>
        <w:t>1.3.5 国家标准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_Toc19636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_Toc6294 </w:instrText>
      </w:r>
      <w:r>
        <w:rPr>
          <w:rFonts w:hint="eastAsia" w:ascii="宋体" w:hAnsi="宋体" w:eastAsia="宋体" w:cs="宋体"/>
          <w:bCs/>
          <w:szCs w:val="24"/>
        </w:rPr>
        <w:fldChar w:fldCharType="separate"/>
      </w:r>
      <w:r>
        <w:rPr>
          <w:rFonts w:hint="eastAsia" w:ascii="宋体" w:hAnsi="宋体" w:eastAsia="宋体" w:cs="宋体"/>
        </w:rPr>
        <w:t>1.3.6 安全标准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_Toc6294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_Toc26434 </w:instrText>
      </w:r>
      <w:r>
        <w:rPr>
          <w:rFonts w:hint="eastAsia" w:ascii="宋体" w:hAnsi="宋体" w:eastAsia="宋体" w:cs="宋体"/>
          <w:bCs/>
          <w:szCs w:val="24"/>
        </w:rPr>
        <w:fldChar w:fldCharType="separate"/>
      </w:r>
      <w:r>
        <w:rPr>
          <w:rFonts w:hint="eastAsia" w:ascii="宋体" w:hAnsi="宋体" w:eastAsia="宋体" w:cs="宋体"/>
        </w:rPr>
        <w:t>1.3.7 行业标准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_Toc26434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_Toc22068 </w:instrText>
      </w:r>
      <w:r>
        <w:rPr>
          <w:rFonts w:hint="eastAsia" w:ascii="宋体" w:hAnsi="宋体" w:eastAsia="宋体" w:cs="宋体"/>
          <w:bCs/>
          <w:szCs w:val="24"/>
        </w:rPr>
        <w:fldChar w:fldCharType="separate"/>
      </w:r>
      <w:r>
        <w:rPr>
          <w:rFonts w:hint="eastAsia" w:ascii="宋体" w:hAnsi="宋体" w:eastAsia="宋体" w:cs="宋体"/>
        </w:rPr>
        <w:t>1.4 工作经过和程序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_Toc22068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_Toc25264 </w:instrText>
      </w:r>
      <w:r>
        <w:rPr>
          <w:rFonts w:hint="eastAsia" w:ascii="宋体" w:hAnsi="宋体" w:eastAsia="宋体" w:cs="宋体"/>
          <w:bCs/>
          <w:szCs w:val="24"/>
        </w:rPr>
        <w:fldChar w:fldCharType="separate"/>
      </w:r>
      <w:r>
        <w:rPr>
          <w:rFonts w:hint="eastAsia" w:ascii="宋体" w:hAnsi="宋体" w:eastAsia="宋体" w:cs="宋体"/>
        </w:rPr>
        <w:t>1.5 评价基准日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_Toc25264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_Toc12981 </w:instrText>
      </w:r>
      <w:r>
        <w:rPr>
          <w:rFonts w:hint="eastAsia" w:ascii="宋体" w:hAnsi="宋体" w:eastAsia="宋体" w:cs="宋体"/>
          <w:bCs/>
          <w:szCs w:val="24"/>
        </w:rPr>
        <w:fldChar w:fldCharType="separate"/>
      </w:r>
      <w:r>
        <w:rPr>
          <w:rFonts w:hint="eastAsia" w:ascii="宋体" w:hAnsi="宋体" w:eastAsia="宋体" w:cs="宋体"/>
        </w:rPr>
        <w:t>第2章 加油站概况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_Toc12981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_Toc7654 </w:instrText>
      </w:r>
      <w:r>
        <w:rPr>
          <w:rFonts w:hint="eastAsia" w:ascii="宋体" w:hAnsi="宋体" w:eastAsia="宋体" w:cs="宋体"/>
          <w:bCs/>
          <w:szCs w:val="24"/>
        </w:rPr>
        <w:fldChar w:fldCharType="separate"/>
      </w:r>
      <w:r>
        <w:rPr>
          <w:rFonts w:hint="eastAsia" w:ascii="宋体" w:hAnsi="宋体" w:eastAsia="宋体" w:cs="宋体"/>
        </w:rPr>
        <w:t>2.1 加油站基本概况简介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_Toc7654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_Toc22407 </w:instrText>
      </w:r>
      <w:r>
        <w:rPr>
          <w:rFonts w:hint="eastAsia" w:ascii="宋体" w:hAnsi="宋体" w:eastAsia="宋体" w:cs="宋体"/>
          <w:bCs/>
          <w:szCs w:val="24"/>
        </w:rPr>
        <w:fldChar w:fldCharType="separate"/>
      </w:r>
      <w:r>
        <w:rPr>
          <w:rFonts w:hint="eastAsia" w:ascii="宋体" w:hAnsi="宋体" w:eastAsia="宋体" w:cs="宋体"/>
        </w:rPr>
        <w:t>2.2 地理位置及交通条件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_Toc22407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_Toc21047 </w:instrText>
      </w:r>
      <w:r>
        <w:rPr>
          <w:rFonts w:hint="eastAsia" w:ascii="宋体" w:hAnsi="宋体" w:eastAsia="宋体" w:cs="宋体"/>
          <w:bCs/>
          <w:szCs w:val="24"/>
        </w:rPr>
        <w:fldChar w:fldCharType="separate"/>
      </w:r>
      <w:r>
        <w:rPr>
          <w:rFonts w:hint="eastAsia" w:ascii="宋体" w:hAnsi="宋体" w:eastAsia="宋体" w:cs="宋体"/>
        </w:rPr>
        <w:t>2.3 自然条件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_Toc21047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_Toc24543 </w:instrText>
      </w:r>
      <w:r>
        <w:rPr>
          <w:rFonts w:hint="eastAsia" w:ascii="宋体" w:hAnsi="宋体" w:eastAsia="宋体" w:cs="宋体"/>
          <w:bCs/>
          <w:szCs w:val="24"/>
        </w:rPr>
        <w:fldChar w:fldCharType="separate"/>
      </w:r>
      <w:r>
        <w:rPr>
          <w:rFonts w:hint="eastAsia" w:ascii="宋体" w:hAnsi="宋体" w:eastAsia="宋体" w:cs="宋体"/>
        </w:rPr>
        <w:t>2.3.1 地质地貌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_Toc24543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_Toc8301 </w:instrText>
      </w:r>
      <w:r>
        <w:rPr>
          <w:rFonts w:hint="eastAsia" w:ascii="宋体" w:hAnsi="宋体" w:eastAsia="宋体" w:cs="宋体"/>
          <w:bCs/>
          <w:szCs w:val="24"/>
        </w:rPr>
        <w:fldChar w:fldCharType="separate"/>
      </w:r>
      <w:r>
        <w:rPr>
          <w:rFonts w:hint="eastAsia" w:ascii="宋体" w:hAnsi="宋体" w:eastAsia="宋体" w:cs="宋体"/>
        </w:rPr>
        <w:t>2.3.2 气象条件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_Toc8301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_Toc14883 </w:instrText>
      </w:r>
      <w:r>
        <w:rPr>
          <w:rFonts w:hint="eastAsia" w:ascii="宋体" w:hAnsi="宋体" w:eastAsia="宋体" w:cs="宋体"/>
          <w:bCs/>
          <w:szCs w:val="24"/>
        </w:rPr>
        <w:fldChar w:fldCharType="separate"/>
      </w:r>
      <w:r>
        <w:rPr>
          <w:rFonts w:hint="eastAsia" w:ascii="宋体" w:hAnsi="宋体" w:eastAsia="宋体" w:cs="宋体"/>
        </w:rPr>
        <w:t>2.3.3 地震条件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_Toc14883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_Toc21263 </w:instrText>
      </w:r>
      <w:r>
        <w:rPr>
          <w:rFonts w:hint="eastAsia" w:ascii="宋体" w:hAnsi="宋体" w:eastAsia="宋体" w:cs="宋体"/>
          <w:bCs/>
          <w:szCs w:val="24"/>
        </w:rPr>
        <w:fldChar w:fldCharType="separate"/>
      </w:r>
      <w:r>
        <w:rPr>
          <w:rFonts w:hint="eastAsia" w:ascii="宋体" w:hAnsi="宋体" w:eastAsia="宋体" w:cs="宋体"/>
        </w:rPr>
        <w:t>2.4 加油站周边情况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_Toc21263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_Toc11664 </w:instrText>
      </w:r>
      <w:r>
        <w:rPr>
          <w:rFonts w:hint="eastAsia" w:ascii="宋体" w:hAnsi="宋体" w:eastAsia="宋体" w:cs="宋体"/>
          <w:bCs/>
          <w:szCs w:val="24"/>
        </w:rPr>
        <w:fldChar w:fldCharType="separate"/>
      </w:r>
      <w:r>
        <w:rPr>
          <w:rFonts w:hint="eastAsia" w:ascii="宋体" w:hAnsi="宋体" w:eastAsia="宋体" w:cs="宋体"/>
        </w:rPr>
        <w:t>2.5 平面布置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_Toc11664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_Toc26613 </w:instrText>
      </w:r>
      <w:r>
        <w:rPr>
          <w:rFonts w:hint="eastAsia" w:ascii="宋体" w:hAnsi="宋体" w:eastAsia="宋体" w:cs="宋体"/>
          <w:bCs/>
          <w:szCs w:val="24"/>
        </w:rPr>
        <w:fldChar w:fldCharType="separate"/>
      </w:r>
      <w:r>
        <w:rPr>
          <w:rFonts w:hint="eastAsia" w:ascii="宋体" w:hAnsi="宋体" w:eastAsia="宋体" w:cs="宋体"/>
        </w:rPr>
        <w:t>2.6 加油站工艺流程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_Toc26613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_Toc28158 </w:instrText>
      </w:r>
      <w:r>
        <w:rPr>
          <w:rFonts w:hint="eastAsia" w:ascii="宋体" w:hAnsi="宋体" w:eastAsia="宋体" w:cs="宋体"/>
          <w:bCs/>
          <w:szCs w:val="24"/>
        </w:rPr>
        <w:fldChar w:fldCharType="separate"/>
      </w:r>
      <w:r>
        <w:rPr>
          <w:rFonts w:hint="eastAsia" w:ascii="宋体" w:hAnsi="宋体" w:eastAsia="宋体" w:cs="宋体"/>
        </w:rPr>
        <w:t>2.7 主要设施、设备及建构筑物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_Toc28158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_Toc17258 </w:instrText>
      </w:r>
      <w:r>
        <w:rPr>
          <w:rFonts w:hint="eastAsia" w:ascii="宋体" w:hAnsi="宋体" w:eastAsia="宋体" w:cs="宋体"/>
          <w:bCs/>
          <w:szCs w:val="24"/>
        </w:rPr>
        <w:fldChar w:fldCharType="separate"/>
      </w:r>
      <w:r>
        <w:rPr>
          <w:rFonts w:hint="eastAsia" w:ascii="宋体" w:hAnsi="宋体" w:eastAsia="宋体" w:cs="宋体"/>
        </w:rPr>
        <w:t>2.7.1 建、构筑物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_Toc17258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_Toc14077 </w:instrText>
      </w:r>
      <w:r>
        <w:rPr>
          <w:rFonts w:hint="eastAsia" w:ascii="宋体" w:hAnsi="宋体" w:eastAsia="宋体" w:cs="宋体"/>
          <w:bCs/>
          <w:szCs w:val="24"/>
        </w:rPr>
        <w:fldChar w:fldCharType="separate"/>
      </w:r>
      <w:r>
        <w:rPr>
          <w:rFonts w:hint="eastAsia" w:ascii="宋体" w:hAnsi="宋体" w:eastAsia="宋体" w:cs="宋体"/>
        </w:rPr>
        <w:t>2.7.2 主要设备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_Toc14077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_Toc16746 </w:instrText>
      </w:r>
      <w:r>
        <w:rPr>
          <w:rFonts w:hint="eastAsia" w:ascii="宋体" w:hAnsi="宋体" w:eastAsia="宋体" w:cs="宋体"/>
          <w:bCs/>
          <w:szCs w:val="24"/>
        </w:rPr>
        <w:fldChar w:fldCharType="separate"/>
      </w:r>
      <w:r>
        <w:rPr>
          <w:rFonts w:hint="eastAsia" w:ascii="宋体" w:hAnsi="宋体" w:eastAsia="宋体" w:cs="宋体"/>
        </w:rPr>
        <w:t>2.8 公用工程及辅助设施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_Toc16746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_Toc28831 </w:instrText>
      </w:r>
      <w:r>
        <w:rPr>
          <w:rFonts w:hint="eastAsia" w:ascii="宋体" w:hAnsi="宋体" w:eastAsia="宋体" w:cs="宋体"/>
          <w:bCs/>
          <w:szCs w:val="24"/>
        </w:rPr>
        <w:fldChar w:fldCharType="separate"/>
      </w:r>
      <w:r>
        <w:rPr>
          <w:rFonts w:hint="eastAsia" w:ascii="宋体" w:hAnsi="宋体" w:eastAsia="宋体" w:cs="宋体"/>
        </w:rPr>
        <w:t>2.8.1 供配电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_Toc28831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_Toc15805 </w:instrText>
      </w:r>
      <w:r>
        <w:rPr>
          <w:rFonts w:hint="eastAsia" w:ascii="宋体" w:hAnsi="宋体" w:eastAsia="宋体" w:cs="宋体"/>
          <w:bCs/>
          <w:szCs w:val="24"/>
        </w:rPr>
        <w:fldChar w:fldCharType="separate"/>
      </w:r>
      <w:r>
        <w:rPr>
          <w:rFonts w:hint="eastAsia" w:ascii="宋体" w:hAnsi="宋体" w:eastAsia="宋体" w:cs="宋体"/>
        </w:rPr>
        <w:t>2.8.2 给排水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_Toc15805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_Toc13214 </w:instrText>
      </w:r>
      <w:r>
        <w:rPr>
          <w:rFonts w:hint="eastAsia" w:ascii="宋体" w:hAnsi="宋体" w:eastAsia="宋体" w:cs="宋体"/>
          <w:bCs/>
          <w:szCs w:val="24"/>
        </w:rPr>
        <w:fldChar w:fldCharType="separate"/>
      </w:r>
      <w:r>
        <w:rPr>
          <w:rFonts w:hint="eastAsia" w:ascii="宋体" w:hAnsi="宋体" w:eastAsia="宋体" w:cs="宋体"/>
        </w:rPr>
        <w:t>2.9 安全设施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_Toc13214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_Toc12797 </w:instrText>
      </w:r>
      <w:r>
        <w:rPr>
          <w:rFonts w:hint="eastAsia" w:ascii="宋体" w:hAnsi="宋体" w:eastAsia="宋体" w:cs="宋体"/>
          <w:bCs/>
          <w:szCs w:val="24"/>
        </w:rPr>
        <w:fldChar w:fldCharType="separate"/>
      </w:r>
      <w:r>
        <w:rPr>
          <w:rFonts w:hint="eastAsia" w:ascii="宋体" w:hAnsi="宋体" w:eastAsia="宋体" w:cs="宋体"/>
        </w:rPr>
        <w:t>2.9.1 预防事故设施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_Toc12797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_Toc28619 </w:instrText>
      </w:r>
      <w:r>
        <w:rPr>
          <w:rFonts w:hint="eastAsia" w:ascii="宋体" w:hAnsi="宋体" w:eastAsia="宋体" w:cs="宋体"/>
          <w:bCs/>
          <w:szCs w:val="24"/>
        </w:rPr>
        <w:fldChar w:fldCharType="separate"/>
      </w:r>
      <w:r>
        <w:rPr>
          <w:rFonts w:hint="eastAsia" w:ascii="宋体" w:hAnsi="宋体" w:eastAsia="宋体" w:cs="宋体"/>
        </w:rPr>
        <w:t>2.9.2 控制事故设施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_Toc28619 \h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_Toc16591 </w:instrText>
      </w:r>
      <w:r>
        <w:rPr>
          <w:rFonts w:hint="eastAsia" w:ascii="宋体" w:hAnsi="宋体" w:eastAsia="宋体" w:cs="宋体"/>
          <w:bCs/>
          <w:szCs w:val="24"/>
        </w:rPr>
        <w:fldChar w:fldCharType="separate"/>
      </w:r>
      <w:r>
        <w:rPr>
          <w:rFonts w:hint="eastAsia" w:ascii="宋体" w:hAnsi="宋体" w:eastAsia="宋体" w:cs="宋体"/>
        </w:rPr>
        <w:t>2.9.3 减少与消除影响事故设施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_Toc16591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_Toc20202 </w:instrText>
      </w:r>
      <w:r>
        <w:rPr>
          <w:rFonts w:hint="eastAsia" w:ascii="宋体" w:hAnsi="宋体" w:eastAsia="宋体" w:cs="宋体"/>
          <w:bCs/>
          <w:szCs w:val="24"/>
        </w:rPr>
        <w:fldChar w:fldCharType="separate"/>
      </w:r>
      <w:r>
        <w:rPr>
          <w:rFonts w:hint="eastAsia" w:ascii="宋体" w:hAnsi="宋体" w:eastAsia="宋体" w:cs="宋体"/>
        </w:rPr>
        <w:t>2.10 安全管理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_Toc20202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_Toc32722 </w:instrText>
      </w:r>
      <w:r>
        <w:rPr>
          <w:rFonts w:hint="eastAsia" w:ascii="宋体" w:hAnsi="宋体" w:eastAsia="宋体" w:cs="宋体"/>
          <w:bCs/>
          <w:szCs w:val="24"/>
        </w:rPr>
        <w:fldChar w:fldCharType="separate"/>
      </w:r>
      <w:r>
        <w:rPr>
          <w:rFonts w:hint="eastAsia" w:ascii="宋体" w:hAnsi="宋体" w:eastAsia="宋体" w:cs="宋体"/>
        </w:rPr>
        <w:t>2.10.1 组织机构及人员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_Toc32722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_Toc32608 </w:instrText>
      </w:r>
      <w:r>
        <w:rPr>
          <w:rFonts w:hint="eastAsia" w:ascii="宋体" w:hAnsi="宋体" w:eastAsia="宋体" w:cs="宋体"/>
          <w:bCs/>
          <w:szCs w:val="24"/>
        </w:rPr>
        <w:fldChar w:fldCharType="separate"/>
      </w:r>
      <w:r>
        <w:rPr>
          <w:rFonts w:hint="eastAsia" w:ascii="宋体" w:hAnsi="宋体" w:eastAsia="宋体" w:cs="宋体"/>
        </w:rPr>
        <w:t>2.10.2 安全生产责任制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_Toc32608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_Toc7697 </w:instrText>
      </w:r>
      <w:r>
        <w:rPr>
          <w:rFonts w:hint="eastAsia" w:ascii="宋体" w:hAnsi="宋体" w:eastAsia="宋体" w:cs="宋体"/>
          <w:bCs/>
          <w:szCs w:val="24"/>
        </w:rPr>
        <w:fldChar w:fldCharType="separate"/>
      </w:r>
      <w:r>
        <w:rPr>
          <w:rFonts w:hint="eastAsia" w:ascii="宋体" w:hAnsi="宋体" w:eastAsia="宋体" w:cs="宋体"/>
        </w:rPr>
        <w:t>2.10.3 安全管理制度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_Toc7697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_Toc11618 </w:instrText>
      </w:r>
      <w:r>
        <w:rPr>
          <w:rFonts w:hint="eastAsia" w:ascii="宋体" w:hAnsi="宋体" w:eastAsia="宋体" w:cs="宋体"/>
          <w:bCs/>
          <w:szCs w:val="24"/>
        </w:rPr>
        <w:fldChar w:fldCharType="separate"/>
      </w:r>
      <w:r>
        <w:rPr>
          <w:rFonts w:hint="eastAsia" w:ascii="宋体" w:hAnsi="宋体" w:eastAsia="宋体" w:cs="宋体"/>
        </w:rPr>
        <w:t>2.10.4 安全操作规程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_Toc11618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_Toc13049 </w:instrText>
      </w:r>
      <w:r>
        <w:rPr>
          <w:rFonts w:hint="eastAsia" w:ascii="宋体" w:hAnsi="宋体" w:eastAsia="宋体" w:cs="宋体"/>
          <w:bCs/>
          <w:szCs w:val="24"/>
        </w:rPr>
        <w:fldChar w:fldCharType="separate"/>
      </w:r>
      <w:r>
        <w:rPr>
          <w:rFonts w:hint="eastAsia" w:ascii="宋体" w:hAnsi="宋体" w:eastAsia="宋体" w:cs="宋体"/>
        </w:rPr>
        <w:t>2.10.5 工作制度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_Toc13049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_Toc26241 </w:instrText>
      </w:r>
      <w:r>
        <w:rPr>
          <w:rFonts w:hint="eastAsia" w:ascii="宋体" w:hAnsi="宋体" w:eastAsia="宋体" w:cs="宋体"/>
          <w:bCs/>
          <w:szCs w:val="24"/>
        </w:rPr>
        <w:fldChar w:fldCharType="separate"/>
      </w:r>
      <w:r>
        <w:rPr>
          <w:rFonts w:hint="eastAsia" w:ascii="宋体" w:hAnsi="宋体" w:eastAsia="宋体" w:cs="宋体"/>
        </w:rPr>
        <w:t>2.10.6 安全管理台账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_Toc26241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_Toc8749 </w:instrText>
      </w:r>
      <w:r>
        <w:rPr>
          <w:rFonts w:hint="eastAsia" w:ascii="宋体" w:hAnsi="宋体" w:eastAsia="宋体" w:cs="宋体"/>
          <w:bCs/>
          <w:szCs w:val="24"/>
        </w:rPr>
        <w:fldChar w:fldCharType="separate"/>
      </w:r>
      <w:r>
        <w:rPr>
          <w:rFonts w:hint="eastAsia" w:ascii="宋体" w:hAnsi="宋体" w:eastAsia="宋体" w:cs="宋体"/>
        </w:rPr>
        <w:t>2.10.7 人员培训情况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_Toc8749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_Toc17104 </w:instrText>
      </w:r>
      <w:r>
        <w:rPr>
          <w:rFonts w:hint="eastAsia" w:ascii="宋体" w:hAnsi="宋体" w:eastAsia="宋体" w:cs="宋体"/>
          <w:bCs/>
          <w:szCs w:val="24"/>
        </w:rPr>
        <w:fldChar w:fldCharType="separate"/>
      </w:r>
      <w:r>
        <w:rPr>
          <w:rFonts w:hint="eastAsia" w:ascii="宋体" w:hAnsi="宋体" w:eastAsia="宋体" w:cs="宋体"/>
        </w:rPr>
        <w:t>2.10.8 从业人员保险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_Toc17104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_Toc8864 </w:instrText>
      </w:r>
      <w:r>
        <w:rPr>
          <w:rFonts w:hint="eastAsia" w:ascii="宋体" w:hAnsi="宋体" w:eastAsia="宋体" w:cs="宋体"/>
          <w:bCs/>
          <w:szCs w:val="24"/>
        </w:rPr>
        <w:fldChar w:fldCharType="separate"/>
      </w:r>
      <w:r>
        <w:rPr>
          <w:rFonts w:hint="eastAsia" w:ascii="宋体" w:hAnsi="宋体" w:eastAsia="宋体" w:cs="宋体"/>
        </w:rPr>
        <w:t>2.10.9 安全投入情况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_Toc8864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_Toc18419 </w:instrText>
      </w:r>
      <w:r>
        <w:rPr>
          <w:rFonts w:hint="eastAsia" w:ascii="宋体" w:hAnsi="宋体" w:eastAsia="宋体" w:cs="宋体"/>
          <w:bCs/>
          <w:szCs w:val="24"/>
        </w:rPr>
        <w:fldChar w:fldCharType="separate"/>
      </w:r>
      <w:r>
        <w:rPr>
          <w:rFonts w:hint="eastAsia" w:ascii="宋体" w:hAnsi="宋体" w:eastAsia="宋体" w:cs="宋体"/>
        </w:rPr>
        <w:t>2.11 应急管理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_Toc18419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_Toc11233 </w:instrText>
      </w:r>
      <w:r>
        <w:rPr>
          <w:rFonts w:hint="eastAsia" w:ascii="宋体" w:hAnsi="宋体" w:eastAsia="宋体" w:cs="宋体"/>
          <w:bCs/>
          <w:szCs w:val="24"/>
        </w:rPr>
        <w:fldChar w:fldCharType="separate"/>
      </w:r>
      <w:r>
        <w:rPr>
          <w:rFonts w:hint="eastAsia" w:ascii="宋体" w:hAnsi="宋体" w:eastAsia="宋体" w:cs="宋体"/>
        </w:rPr>
        <w:t>2.11.1 应急预案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_Toc11233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_Toc24017 </w:instrText>
      </w:r>
      <w:r>
        <w:rPr>
          <w:rFonts w:hint="eastAsia" w:ascii="宋体" w:hAnsi="宋体" w:eastAsia="宋体" w:cs="宋体"/>
          <w:bCs/>
          <w:szCs w:val="24"/>
        </w:rPr>
        <w:fldChar w:fldCharType="separate"/>
      </w:r>
      <w:r>
        <w:rPr>
          <w:rFonts w:hint="eastAsia" w:ascii="宋体" w:hAnsi="宋体" w:eastAsia="宋体" w:cs="宋体"/>
        </w:rPr>
        <w:t>2.11.2 应急救援组织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_Toc24017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_Toc25223 </w:instrText>
      </w:r>
      <w:r>
        <w:rPr>
          <w:rFonts w:hint="eastAsia" w:ascii="宋体" w:hAnsi="宋体" w:eastAsia="宋体" w:cs="宋体"/>
          <w:bCs/>
          <w:szCs w:val="24"/>
        </w:rPr>
        <w:fldChar w:fldCharType="separate"/>
      </w:r>
      <w:r>
        <w:rPr>
          <w:rFonts w:hint="eastAsia" w:ascii="宋体" w:hAnsi="宋体" w:eastAsia="宋体" w:cs="宋体"/>
        </w:rPr>
        <w:t>2.11.3 器材配备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_Toc25223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_Toc10695 </w:instrText>
      </w:r>
      <w:r>
        <w:rPr>
          <w:rFonts w:hint="eastAsia" w:ascii="宋体" w:hAnsi="宋体" w:eastAsia="宋体" w:cs="宋体"/>
          <w:bCs/>
          <w:szCs w:val="24"/>
        </w:rPr>
        <w:fldChar w:fldCharType="separate"/>
      </w:r>
      <w:r>
        <w:rPr>
          <w:rFonts w:hint="eastAsia" w:ascii="宋体" w:hAnsi="宋体" w:eastAsia="宋体" w:cs="宋体"/>
        </w:rPr>
        <w:t>2.11.4 演练情况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_Toc10695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_Toc9486 </w:instrText>
      </w:r>
      <w:r>
        <w:rPr>
          <w:rFonts w:hint="eastAsia" w:ascii="宋体" w:hAnsi="宋体" w:eastAsia="宋体" w:cs="宋体"/>
          <w:bCs/>
          <w:szCs w:val="24"/>
        </w:rPr>
        <w:fldChar w:fldCharType="separate"/>
      </w:r>
      <w:r>
        <w:rPr>
          <w:rFonts w:hint="eastAsia" w:ascii="宋体" w:hAnsi="宋体" w:eastAsia="宋体" w:cs="宋体"/>
        </w:rPr>
        <w:t>2.12 安全生产标准化情况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_Toc9486 \h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_Toc3217 </w:instrText>
      </w:r>
      <w:r>
        <w:rPr>
          <w:rFonts w:hint="eastAsia" w:ascii="宋体" w:hAnsi="宋体" w:eastAsia="宋体" w:cs="宋体"/>
          <w:bCs/>
          <w:szCs w:val="24"/>
        </w:rPr>
        <w:fldChar w:fldCharType="separate"/>
      </w:r>
      <w:r>
        <w:rPr>
          <w:rFonts w:hint="eastAsia" w:ascii="宋体" w:hAnsi="宋体" w:eastAsia="宋体" w:cs="宋体"/>
        </w:rPr>
        <w:t>2.13 取证以来的情况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_Toc3217 \h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_Toc9396 </w:instrText>
      </w:r>
      <w:r>
        <w:rPr>
          <w:rFonts w:hint="eastAsia" w:ascii="宋体" w:hAnsi="宋体" w:eastAsia="宋体" w:cs="宋体"/>
          <w:bCs/>
          <w:szCs w:val="24"/>
        </w:rPr>
        <w:fldChar w:fldCharType="separate"/>
      </w:r>
      <w:r>
        <w:rPr>
          <w:rFonts w:hint="eastAsia" w:ascii="宋体" w:hAnsi="宋体" w:eastAsia="宋体" w:cs="宋体"/>
        </w:rPr>
        <w:t>第3章 危险、有害因素的辨识结果及依据说明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_Toc9396 \h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_Toc8250 </w:instrText>
      </w:r>
      <w:r>
        <w:rPr>
          <w:rFonts w:hint="eastAsia" w:ascii="宋体" w:hAnsi="宋体" w:eastAsia="宋体" w:cs="宋体"/>
          <w:bCs/>
          <w:szCs w:val="24"/>
        </w:rPr>
        <w:fldChar w:fldCharType="separate"/>
      </w:r>
      <w:r>
        <w:rPr>
          <w:rFonts w:hint="eastAsia" w:ascii="宋体" w:hAnsi="宋体" w:eastAsia="宋体" w:cs="宋体"/>
        </w:rPr>
        <w:t>3.1 危险、有害因素辨识与分析的依据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_Toc8250 \h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_Toc4620 </w:instrText>
      </w:r>
      <w:r>
        <w:rPr>
          <w:rFonts w:hint="eastAsia" w:ascii="宋体" w:hAnsi="宋体" w:eastAsia="宋体" w:cs="宋体"/>
          <w:bCs/>
          <w:szCs w:val="24"/>
        </w:rPr>
        <w:fldChar w:fldCharType="separate"/>
      </w:r>
      <w:r>
        <w:rPr>
          <w:rFonts w:hint="eastAsia" w:ascii="宋体" w:hAnsi="宋体" w:eastAsia="宋体" w:cs="宋体"/>
        </w:rPr>
        <w:t>3.2 危险化学品特性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_Toc4620 \h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_Toc16086 </w:instrText>
      </w:r>
      <w:r>
        <w:rPr>
          <w:rFonts w:hint="eastAsia" w:ascii="宋体" w:hAnsi="宋体" w:eastAsia="宋体" w:cs="宋体"/>
          <w:bCs/>
          <w:szCs w:val="24"/>
        </w:rPr>
        <w:fldChar w:fldCharType="separate"/>
      </w:r>
      <w:r>
        <w:rPr>
          <w:rFonts w:hint="eastAsia" w:ascii="宋体" w:hAnsi="宋体" w:eastAsia="宋体" w:cs="宋体"/>
        </w:rPr>
        <w:t>3.2.1 汽油危险特性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_Toc16086 \h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_Toc25447 </w:instrText>
      </w:r>
      <w:r>
        <w:rPr>
          <w:rFonts w:hint="eastAsia" w:ascii="宋体" w:hAnsi="宋体" w:eastAsia="宋体" w:cs="宋体"/>
          <w:bCs/>
          <w:szCs w:val="24"/>
        </w:rPr>
        <w:fldChar w:fldCharType="separate"/>
      </w:r>
      <w:r>
        <w:rPr>
          <w:rFonts w:hint="eastAsia" w:ascii="宋体" w:hAnsi="宋体" w:eastAsia="宋体" w:cs="宋体"/>
        </w:rPr>
        <w:t>3.2.2 柴油的危险特性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_Toc25447 \h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_Toc8153 </w:instrText>
      </w:r>
      <w:r>
        <w:rPr>
          <w:rFonts w:hint="eastAsia" w:ascii="宋体" w:hAnsi="宋体" w:eastAsia="宋体" w:cs="宋体"/>
          <w:bCs/>
          <w:szCs w:val="24"/>
        </w:rPr>
        <w:fldChar w:fldCharType="separate"/>
      </w:r>
      <w:r>
        <w:rPr>
          <w:rFonts w:hint="eastAsia" w:ascii="宋体" w:hAnsi="宋体" w:eastAsia="宋体" w:cs="宋体"/>
        </w:rPr>
        <w:t>3.3 危险、有害因素分析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_Toc8153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_Toc11073 </w:instrText>
      </w:r>
      <w:r>
        <w:rPr>
          <w:rFonts w:hint="eastAsia" w:ascii="宋体" w:hAnsi="宋体" w:eastAsia="宋体" w:cs="宋体"/>
          <w:bCs/>
          <w:szCs w:val="24"/>
        </w:rPr>
        <w:fldChar w:fldCharType="separate"/>
      </w:r>
      <w:r>
        <w:rPr>
          <w:rFonts w:hint="eastAsia" w:ascii="宋体" w:hAnsi="宋体" w:eastAsia="宋体" w:cs="宋体"/>
        </w:rPr>
        <w:t>3.3.1 危险产生的原因</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_Toc11073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_Toc18752 </w:instrText>
      </w:r>
      <w:r>
        <w:rPr>
          <w:rFonts w:hint="eastAsia" w:ascii="宋体" w:hAnsi="宋体" w:eastAsia="宋体" w:cs="宋体"/>
          <w:bCs/>
          <w:szCs w:val="24"/>
        </w:rPr>
        <w:fldChar w:fldCharType="separate"/>
      </w:r>
      <w:r>
        <w:rPr>
          <w:rFonts w:hint="eastAsia" w:ascii="宋体" w:hAnsi="宋体" w:eastAsia="宋体" w:cs="宋体"/>
        </w:rPr>
        <w:t>3.3.2 加油站运行过程中危险、有害因素分析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_Toc18752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_Toc26448 </w:instrText>
      </w:r>
      <w:r>
        <w:rPr>
          <w:rFonts w:hint="eastAsia" w:ascii="宋体" w:hAnsi="宋体" w:eastAsia="宋体" w:cs="宋体"/>
          <w:bCs/>
          <w:szCs w:val="24"/>
        </w:rPr>
        <w:fldChar w:fldCharType="separate"/>
      </w:r>
      <w:r>
        <w:rPr>
          <w:rFonts w:hint="eastAsia" w:ascii="宋体" w:hAnsi="宋体" w:eastAsia="宋体" w:cs="宋体"/>
        </w:rPr>
        <w:t>3.4 危险、有害因素的辨识结果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_Toc26448 \h </w:instrText>
      </w:r>
      <w:r>
        <w:rPr>
          <w:rFonts w:hint="eastAsia" w:ascii="宋体" w:hAnsi="宋体" w:eastAsia="宋体" w:cs="宋体"/>
        </w:rPr>
        <w:fldChar w:fldCharType="separate"/>
      </w:r>
      <w:r>
        <w:rPr>
          <w:rFonts w:hint="eastAsia" w:ascii="宋体" w:hAnsi="宋体" w:eastAsia="宋体" w:cs="宋体"/>
        </w:rPr>
        <w:t>44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_Toc15081 </w:instrText>
      </w:r>
      <w:r>
        <w:rPr>
          <w:rFonts w:hint="eastAsia" w:ascii="宋体" w:hAnsi="宋体" w:eastAsia="宋体" w:cs="宋体"/>
          <w:bCs/>
          <w:szCs w:val="24"/>
        </w:rPr>
        <w:fldChar w:fldCharType="separate"/>
      </w:r>
      <w:r>
        <w:rPr>
          <w:rFonts w:hint="eastAsia" w:ascii="宋体" w:hAnsi="宋体" w:eastAsia="宋体" w:cs="宋体"/>
        </w:rPr>
        <w:t>3.5 重大危险源辨识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_Toc15081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_Toc13554 </w:instrText>
      </w:r>
      <w:r>
        <w:rPr>
          <w:rFonts w:hint="eastAsia" w:ascii="宋体" w:hAnsi="宋体" w:eastAsia="宋体" w:cs="宋体"/>
          <w:bCs/>
          <w:szCs w:val="24"/>
        </w:rPr>
        <w:fldChar w:fldCharType="separate"/>
      </w:r>
      <w:r>
        <w:rPr>
          <w:rFonts w:hint="eastAsia" w:ascii="宋体" w:hAnsi="宋体" w:eastAsia="宋体" w:cs="宋体"/>
        </w:rPr>
        <w:t>3.5.1 方法介绍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_Toc13554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_Toc11727 </w:instrText>
      </w:r>
      <w:r>
        <w:rPr>
          <w:rFonts w:hint="eastAsia" w:ascii="宋体" w:hAnsi="宋体" w:eastAsia="宋体" w:cs="宋体"/>
          <w:bCs/>
          <w:szCs w:val="24"/>
        </w:rPr>
        <w:fldChar w:fldCharType="separate"/>
      </w:r>
      <w:r>
        <w:rPr>
          <w:rFonts w:hint="eastAsia" w:ascii="宋体" w:hAnsi="宋体" w:eastAsia="宋体" w:cs="宋体"/>
        </w:rPr>
        <w:t>3.5.2 物质的临界量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_Toc11727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_Toc32256 </w:instrText>
      </w:r>
      <w:r>
        <w:rPr>
          <w:rFonts w:hint="eastAsia" w:ascii="宋体" w:hAnsi="宋体" w:eastAsia="宋体" w:cs="宋体"/>
          <w:bCs/>
          <w:szCs w:val="24"/>
        </w:rPr>
        <w:fldChar w:fldCharType="separate"/>
      </w:r>
      <w:r>
        <w:rPr>
          <w:rFonts w:hint="eastAsia" w:ascii="宋体" w:hAnsi="宋体" w:eastAsia="宋体" w:cs="宋体"/>
        </w:rPr>
        <w:t>3.5.3 重大危险源辨识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_Toc32256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_Toc19973 </w:instrText>
      </w:r>
      <w:r>
        <w:rPr>
          <w:rFonts w:hint="eastAsia" w:ascii="宋体" w:hAnsi="宋体" w:eastAsia="宋体" w:cs="宋体"/>
          <w:bCs/>
          <w:szCs w:val="24"/>
        </w:rPr>
        <w:fldChar w:fldCharType="separate"/>
      </w:r>
      <w:r>
        <w:rPr>
          <w:rFonts w:hint="eastAsia" w:ascii="宋体" w:hAnsi="宋体" w:eastAsia="宋体" w:cs="宋体"/>
        </w:rPr>
        <w:t>3.6 重点监管的危险化学品辨识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_Toc19973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_Toc2392 </w:instrText>
      </w:r>
      <w:r>
        <w:rPr>
          <w:rFonts w:hint="eastAsia" w:ascii="宋体" w:hAnsi="宋体" w:eastAsia="宋体" w:cs="宋体"/>
          <w:bCs/>
          <w:szCs w:val="24"/>
        </w:rPr>
        <w:fldChar w:fldCharType="separate"/>
      </w:r>
      <w:r>
        <w:rPr>
          <w:rFonts w:hint="eastAsia" w:ascii="宋体" w:hAnsi="宋体" w:eastAsia="宋体" w:cs="宋体"/>
        </w:rPr>
        <w:t>3.7 特别管控危险化学品辨识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_Toc2392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_Toc19877 </w:instrText>
      </w:r>
      <w:r>
        <w:rPr>
          <w:rFonts w:hint="eastAsia" w:ascii="宋体" w:hAnsi="宋体" w:eastAsia="宋体" w:cs="宋体"/>
          <w:bCs/>
          <w:szCs w:val="24"/>
        </w:rPr>
        <w:fldChar w:fldCharType="separate"/>
      </w:r>
      <w:r>
        <w:rPr>
          <w:rFonts w:hint="eastAsia" w:ascii="宋体" w:hAnsi="宋体" w:eastAsia="宋体" w:cs="宋体"/>
        </w:rPr>
        <w:t>3.8 易制毒化学品辨识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_Toc19877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_Toc29854 </w:instrText>
      </w:r>
      <w:r>
        <w:rPr>
          <w:rFonts w:hint="eastAsia" w:ascii="宋体" w:hAnsi="宋体" w:eastAsia="宋体" w:cs="宋体"/>
          <w:bCs/>
          <w:szCs w:val="24"/>
        </w:rPr>
        <w:fldChar w:fldCharType="separate"/>
      </w:r>
      <w:r>
        <w:rPr>
          <w:rFonts w:hint="eastAsia" w:ascii="宋体" w:hAnsi="宋体" w:eastAsia="宋体" w:cs="宋体"/>
        </w:rPr>
        <w:t>3.9 易制爆危险化学品辨识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_Toc29854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_Toc24585 </w:instrText>
      </w:r>
      <w:r>
        <w:rPr>
          <w:rFonts w:hint="eastAsia" w:ascii="宋体" w:hAnsi="宋体" w:eastAsia="宋体" w:cs="宋体"/>
          <w:bCs/>
          <w:szCs w:val="24"/>
        </w:rPr>
        <w:fldChar w:fldCharType="separate"/>
      </w:r>
      <w:r>
        <w:rPr>
          <w:rFonts w:hint="eastAsia" w:ascii="宋体" w:hAnsi="宋体" w:eastAsia="宋体" w:cs="宋体"/>
        </w:rPr>
        <w:t>3.10 剧毒化学品辨识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_Toc24585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_Toc2295 </w:instrText>
      </w:r>
      <w:r>
        <w:rPr>
          <w:rFonts w:hint="eastAsia" w:ascii="宋体" w:hAnsi="宋体" w:eastAsia="宋体" w:cs="宋体"/>
          <w:bCs/>
          <w:szCs w:val="24"/>
        </w:rPr>
        <w:fldChar w:fldCharType="separate"/>
      </w:r>
      <w:r>
        <w:rPr>
          <w:rFonts w:hint="eastAsia" w:ascii="宋体" w:hAnsi="宋体" w:eastAsia="宋体" w:cs="宋体"/>
        </w:rPr>
        <w:t>3.11 淘汰落后工艺、设备辨识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_Toc2295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_Toc26637 </w:instrText>
      </w:r>
      <w:r>
        <w:rPr>
          <w:rFonts w:hint="eastAsia" w:ascii="宋体" w:hAnsi="宋体" w:eastAsia="宋体" w:cs="宋体"/>
          <w:bCs/>
          <w:szCs w:val="24"/>
        </w:rPr>
        <w:fldChar w:fldCharType="separate"/>
      </w:r>
      <w:r>
        <w:rPr>
          <w:rFonts w:hint="eastAsia" w:ascii="宋体" w:hAnsi="宋体" w:eastAsia="宋体" w:cs="宋体"/>
        </w:rPr>
        <w:t>3.12 本章小结</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_Toc26637 \h </w:instrText>
      </w:r>
      <w:r>
        <w:rPr>
          <w:rFonts w:hint="eastAsia" w:ascii="宋体" w:hAnsi="宋体" w:eastAsia="宋体" w:cs="宋体"/>
        </w:rPr>
        <w:fldChar w:fldCharType="separate"/>
      </w:r>
      <w:r>
        <w:rPr>
          <w:rFonts w:hint="eastAsia" w:ascii="宋体" w:hAnsi="宋体" w:eastAsia="宋体" w:cs="宋体"/>
        </w:rPr>
        <w:t>48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_Toc10971 </w:instrText>
      </w:r>
      <w:r>
        <w:rPr>
          <w:rFonts w:hint="eastAsia" w:ascii="宋体" w:hAnsi="宋体" w:eastAsia="宋体" w:cs="宋体"/>
          <w:bCs/>
          <w:szCs w:val="24"/>
        </w:rPr>
        <w:fldChar w:fldCharType="separate"/>
      </w:r>
      <w:r>
        <w:rPr>
          <w:rFonts w:hint="eastAsia" w:ascii="宋体" w:hAnsi="宋体" w:eastAsia="宋体" w:cs="宋体"/>
        </w:rPr>
        <w:t>第4章 安全评价单元的划分及评价方法介绍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_Toc10971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_Toc14639 </w:instrText>
      </w:r>
      <w:r>
        <w:rPr>
          <w:rFonts w:hint="eastAsia" w:ascii="宋体" w:hAnsi="宋体" w:eastAsia="宋体" w:cs="宋体"/>
          <w:bCs/>
          <w:szCs w:val="24"/>
        </w:rPr>
        <w:fldChar w:fldCharType="separate"/>
      </w:r>
      <w:r>
        <w:rPr>
          <w:rFonts w:hint="eastAsia" w:ascii="宋体" w:hAnsi="宋体" w:eastAsia="宋体" w:cs="宋体"/>
        </w:rPr>
        <w:t>4.1 安全评价单元划分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_Toc14639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_Toc25899 </w:instrText>
      </w:r>
      <w:r>
        <w:rPr>
          <w:rFonts w:hint="eastAsia" w:ascii="宋体" w:hAnsi="宋体" w:eastAsia="宋体" w:cs="宋体"/>
          <w:bCs/>
          <w:szCs w:val="24"/>
        </w:rPr>
        <w:fldChar w:fldCharType="separate"/>
      </w:r>
      <w:r>
        <w:rPr>
          <w:rFonts w:hint="eastAsia" w:ascii="宋体" w:hAnsi="宋体" w:eastAsia="宋体" w:cs="宋体"/>
        </w:rPr>
        <w:t>4.1.1 安全评价单元的划分结果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_Toc25899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_Toc2749 </w:instrText>
      </w:r>
      <w:r>
        <w:rPr>
          <w:rFonts w:hint="eastAsia" w:ascii="宋体" w:hAnsi="宋体" w:eastAsia="宋体" w:cs="宋体"/>
          <w:bCs/>
          <w:szCs w:val="24"/>
        </w:rPr>
        <w:fldChar w:fldCharType="separate"/>
      </w:r>
      <w:r>
        <w:rPr>
          <w:rFonts w:hint="eastAsia" w:ascii="宋体" w:hAnsi="宋体" w:eastAsia="宋体" w:cs="宋体"/>
        </w:rPr>
        <w:t>4.1.2 安全评价单元划分说明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_Toc2749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_Toc21031 </w:instrText>
      </w:r>
      <w:r>
        <w:rPr>
          <w:rFonts w:hint="eastAsia" w:ascii="宋体" w:hAnsi="宋体" w:eastAsia="宋体" w:cs="宋体"/>
          <w:bCs/>
          <w:szCs w:val="24"/>
        </w:rPr>
        <w:fldChar w:fldCharType="separate"/>
      </w:r>
      <w:r>
        <w:rPr>
          <w:rFonts w:hint="eastAsia" w:ascii="宋体" w:hAnsi="宋体" w:eastAsia="宋体" w:cs="宋体"/>
        </w:rPr>
        <w:t>4.2 评价方法选用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_Toc21031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_Toc30072 </w:instrText>
      </w:r>
      <w:r>
        <w:rPr>
          <w:rFonts w:hint="eastAsia" w:ascii="宋体" w:hAnsi="宋体" w:eastAsia="宋体" w:cs="宋体"/>
          <w:bCs/>
          <w:szCs w:val="24"/>
        </w:rPr>
        <w:fldChar w:fldCharType="separate"/>
      </w:r>
      <w:r>
        <w:rPr>
          <w:rFonts w:hint="eastAsia" w:ascii="宋体" w:hAnsi="宋体" w:eastAsia="宋体" w:cs="宋体"/>
        </w:rPr>
        <w:t>4.2.1 评价方法选用结果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_Toc30072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_Toc30980 </w:instrText>
      </w:r>
      <w:r>
        <w:rPr>
          <w:rFonts w:hint="eastAsia" w:ascii="宋体" w:hAnsi="宋体" w:eastAsia="宋体" w:cs="宋体"/>
          <w:bCs/>
          <w:szCs w:val="24"/>
        </w:rPr>
        <w:fldChar w:fldCharType="separate"/>
      </w:r>
      <w:r>
        <w:rPr>
          <w:rFonts w:hint="eastAsia" w:ascii="宋体" w:hAnsi="宋体" w:eastAsia="宋体" w:cs="宋体"/>
        </w:rPr>
        <w:t>4.2.2 评价方法选用说明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_Toc30980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_Toc22360 </w:instrText>
      </w:r>
      <w:r>
        <w:rPr>
          <w:rFonts w:hint="eastAsia" w:ascii="宋体" w:hAnsi="宋体" w:eastAsia="宋体" w:cs="宋体"/>
          <w:bCs/>
          <w:szCs w:val="24"/>
        </w:rPr>
        <w:fldChar w:fldCharType="separate"/>
      </w:r>
      <w:r>
        <w:rPr>
          <w:rFonts w:hint="eastAsia" w:ascii="宋体" w:hAnsi="宋体" w:eastAsia="宋体" w:cs="宋体"/>
        </w:rPr>
        <w:t>4.3 各评价单元采用的评价方法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_Toc22360 \h </w:instrText>
      </w:r>
      <w:r>
        <w:rPr>
          <w:rFonts w:hint="eastAsia" w:ascii="宋体" w:hAnsi="宋体" w:eastAsia="宋体" w:cs="宋体"/>
        </w:rPr>
        <w:fldChar w:fldCharType="separate"/>
      </w:r>
      <w:r>
        <w:rPr>
          <w:rFonts w:hint="eastAsia" w:ascii="宋体" w:hAnsi="宋体" w:eastAsia="宋体" w:cs="宋体"/>
        </w:rPr>
        <w:t>51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_Toc11558 </w:instrText>
      </w:r>
      <w:r>
        <w:rPr>
          <w:rFonts w:hint="eastAsia" w:ascii="宋体" w:hAnsi="宋体" w:eastAsia="宋体" w:cs="宋体"/>
          <w:bCs/>
          <w:szCs w:val="24"/>
        </w:rPr>
        <w:fldChar w:fldCharType="separate"/>
      </w:r>
      <w:r>
        <w:rPr>
          <w:rFonts w:hint="eastAsia" w:ascii="宋体" w:hAnsi="宋体" w:eastAsia="宋体" w:cs="宋体"/>
        </w:rPr>
        <w:t>第5章 定性分析评价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_Toc11558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_Toc5710 </w:instrText>
      </w:r>
      <w:r>
        <w:rPr>
          <w:rFonts w:hint="eastAsia" w:ascii="宋体" w:hAnsi="宋体" w:eastAsia="宋体" w:cs="宋体"/>
          <w:bCs/>
          <w:szCs w:val="24"/>
        </w:rPr>
        <w:fldChar w:fldCharType="separate"/>
      </w:r>
      <w:r>
        <w:rPr>
          <w:rFonts w:hint="eastAsia" w:ascii="宋体" w:hAnsi="宋体" w:eastAsia="宋体" w:cs="宋体"/>
        </w:rPr>
        <w:t>5.1 定性分析危险、有害程度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_Toc5710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_Toc9299 </w:instrText>
      </w:r>
      <w:r>
        <w:rPr>
          <w:rFonts w:hint="eastAsia" w:ascii="宋体" w:hAnsi="宋体" w:eastAsia="宋体" w:cs="宋体"/>
          <w:bCs/>
          <w:szCs w:val="24"/>
        </w:rPr>
        <w:fldChar w:fldCharType="separate"/>
      </w:r>
      <w:r>
        <w:rPr>
          <w:rFonts w:hint="eastAsia" w:ascii="宋体" w:hAnsi="宋体" w:eastAsia="宋体" w:cs="宋体"/>
        </w:rPr>
        <w:t>5.2 事故案例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_Toc9299 \h </w:instrText>
      </w:r>
      <w:r>
        <w:rPr>
          <w:rFonts w:hint="eastAsia" w:ascii="宋体" w:hAnsi="宋体" w:eastAsia="宋体" w:cs="宋体"/>
        </w:rPr>
        <w:fldChar w:fldCharType="separate"/>
      </w:r>
      <w:r>
        <w:rPr>
          <w:rFonts w:hint="eastAsia" w:ascii="宋体" w:hAnsi="宋体" w:eastAsia="宋体" w:cs="宋体"/>
        </w:rPr>
        <w:t>55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_Toc16951 </w:instrText>
      </w:r>
      <w:r>
        <w:rPr>
          <w:rFonts w:hint="eastAsia" w:ascii="宋体" w:hAnsi="宋体" w:eastAsia="宋体" w:cs="宋体"/>
          <w:bCs/>
          <w:szCs w:val="24"/>
        </w:rPr>
        <w:fldChar w:fldCharType="separate"/>
      </w:r>
      <w:r>
        <w:rPr>
          <w:rFonts w:hint="eastAsia" w:ascii="宋体" w:hAnsi="宋体" w:eastAsia="宋体" w:cs="宋体"/>
        </w:rPr>
        <w:t>5.3 本章小结</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_Toc16951 \h </w:instrText>
      </w:r>
      <w:r>
        <w:rPr>
          <w:rFonts w:hint="eastAsia" w:ascii="宋体" w:hAnsi="宋体" w:eastAsia="宋体" w:cs="宋体"/>
        </w:rPr>
        <w:fldChar w:fldCharType="separate"/>
      </w:r>
      <w:r>
        <w:rPr>
          <w:rFonts w:hint="eastAsia" w:ascii="宋体" w:hAnsi="宋体" w:eastAsia="宋体" w:cs="宋体"/>
        </w:rPr>
        <w:t>55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_Toc25437 </w:instrText>
      </w:r>
      <w:r>
        <w:rPr>
          <w:rFonts w:hint="eastAsia" w:ascii="宋体" w:hAnsi="宋体" w:eastAsia="宋体" w:cs="宋体"/>
          <w:bCs/>
          <w:szCs w:val="24"/>
        </w:rPr>
        <w:fldChar w:fldCharType="separate"/>
      </w:r>
      <w:r>
        <w:rPr>
          <w:rFonts w:hint="eastAsia" w:ascii="宋体" w:hAnsi="宋体" w:eastAsia="宋体" w:cs="宋体"/>
        </w:rPr>
        <w:t>第6章 各单元分析评价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_Toc25437 \h </w:instrText>
      </w:r>
      <w:r>
        <w:rPr>
          <w:rFonts w:hint="eastAsia" w:ascii="宋体" w:hAnsi="宋体" w:eastAsia="宋体" w:cs="宋体"/>
        </w:rPr>
        <w:fldChar w:fldCharType="separate"/>
      </w:r>
      <w:r>
        <w:rPr>
          <w:rFonts w:hint="eastAsia" w:ascii="宋体" w:hAnsi="宋体" w:eastAsia="宋体" w:cs="宋体"/>
        </w:rPr>
        <w:t>57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_Toc22375 </w:instrText>
      </w:r>
      <w:r>
        <w:rPr>
          <w:rFonts w:hint="eastAsia" w:ascii="宋体" w:hAnsi="宋体" w:eastAsia="宋体" w:cs="宋体"/>
          <w:bCs/>
          <w:szCs w:val="24"/>
        </w:rPr>
        <w:fldChar w:fldCharType="separate"/>
      </w:r>
      <w:r>
        <w:rPr>
          <w:rFonts w:hint="eastAsia" w:ascii="宋体" w:hAnsi="宋体" w:eastAsia="宋体" w:cs="宋体"/>
        </w:rPr>
        <w:t>6.1 外部安全条件分析评价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_Toc22375 \h </w:instrText>
      </w:r>
      <w:r>
        <w:rPr>
          <w:rFonts w:hint="eastAsia" w:ascii="宋体" w:hAnsi="宋体" w:eastAsia="宋体" w:cs="宋体"/>
        </w:rPr>
        <w:fldChar w:fldCharType="separate"/>
      </w:r>
      <w:r>
        <w:rPr>
          <w:rFonts w:hint="eastAsia" w:ascii="宋体" w:hAnsi="宋体" w:eastAsia="宋体" w:cs="宋体"/>
        </w:rPr>
        <w:t>57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_Toc23813 </w:instrText>
      </w:r>
      <w:r>
        <w:rPr>
          <w:rFonts w:hint="eastAsia" w:ascii="宋体" w:hAnsi="宋体" w:eastAsia="宋体" w:cs="宋体"/>
          <w:bCs/>
          <w:szCs w:val="24"/>
        </w:rPr>
        <w:fldChar w:fldCharType="separate"/>
      </w:r>
      <w:r>
        <w:rPr>
          <w:rFonts w:hint="eastAsia" w:ascii="宋体" w:hAnsi="宋体" w:eastAsia="宋体" w:cs="宋体"/>
        </w:rPr>
        <w:t>6.1.1 站址选择分析评价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_Toc23813 \h </w:instrText>
      </w:r>
      <w:r>
        <w:rPr>
          <w:rFonts w:hint="eastAsia" w:ascii="宋体" w:hAnsi="宋体" w:eastAsia="宋体" w:cs="宋体"/>
        </w:rPr>
        <w:fldChar w:fldCharType="separate"/>
      </w:r>
      <w:r>
        <w:rPr>
          <w:rFonts w:hint="eastAsia" w:ascii="宋体" w:hAnsi="宋体" w:eastAsia="宋体" w:cs="宋体"/>
        </w:rPr>
        <w:t>57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_Toc11881 </w:instrText>
      </w:r>
      <w:r>
        <w:rPr>
          <w:rFonts w:hint="eastAsia" w:ascii="宋体" w:hAnsi="宋体" w:eastAsia="宋体" w:cs="宋体"/>
          <w:bCs/>
          <w:szCs w:val="24"/>
        </w:rPr>
        <w:fldChar w:fldCharType="separate"/>
      </w:r>
      <w:r>
        <w:rPr>
          <w:rFonts w:hint="eastAsia" w:ascii="宋体" w:hAnsi="宋体" w:eastAsia="宋体" w:cs="宋体"/>
        </w:rPr>
        <w:t>6.1.2 加油站对周边环境的影响分析评价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_Toc11881 \h </w:instrText>
      </w:r>
      <w:r>
        <w:rPr>
          <w:rFonts w:hint="eastAsia" w:ascii="宋体" w:hAnsi="宋体" w:eastAsia="宋体" w:cs="宋体"/>
        </w:rPr>
        <w:fldChar w:fldCharType="separate"/>
      </w:r>
      <w:r>
        <w:rPr>
          <w:rFonts w:hint="eastAsia" w:ascii="宋体" w:hAnsi="宋体" w:eastAsia="宋体" w:cs="宋体"/>
        </w:rPr>
        <w:t>57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_Toc15666 </w:instrText>
      </w:r>
      <w:r>
        <w:rPr>
          <w:rFonts w:hint="eastAsia" w:ascii="宋体" w:hAnsi="宋体" w:eastAsia="宋体" w:cs="宋体"/>
          <w:bCs/>
          <w:szCs w:val="24"/>
        </w:rPr>
        <w:fldChar w:fldCharType="separate"/>
      </w:r>
      <w:r>
        <w:rPr>
          <w:rFonts w:hint="eastAsia" w:ascii="宋体" w:hAnsi="宋体" w:eastAsia="宋体" w:cs="宋体"/>
        </w:rPr>
        <w:t>6.1.3 加油站周边环境对加油站运行的影响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_Toc15666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_Toc19180 </w:instrText>
      </w:r>
      <w:r>
        <w:rPr>
          <w:rFonts w:hint="eastAsia" w:ascii="宋体" w:hAnsi="宋体" w:eastAsia="宋体" w:cs="宋体"/>
          <w:bCs/>
          <w:szCs w:val="24"/>
        </w:rPr>
        <w:fldChar w:fldCharType="separate"/>
      </w:r>
      <w:r>
        <w:rPr>
          <w:rFonts w:hint="eastAsia" w:ascii="宋体" w:hAnsi="宋体" w:eastAsia="宋体" w:cs="宋体"/>
        </w:rPr>
        <w:t>6.1.4 所在地自然条件对加油站运行的影响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_Toc19180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_Toc27312 </w:instrText>
      </w:r>
      <w:r>
        <w:rPr>
          <w:rFonts w:hint="eastAsia" w:ascii="宋体" w:hAnsi="宋体" w:eastAsia="宋体" w:cs="宋体"/>
          <w:bCs/>
          <w:szCs w:val="24"/>
        </w:rPr>
        <w:fldChar w:fldCharType="separate"/>
      </w:r>
      <w:r>
        <w:rPr>
          <w:rFonts w:hint="eastAsia" w:ascii="宋体" w:hAnsi="宋体" w:eastAsia="宋体" w:cs="宋体"/>
        </w:rPr>
        <w:t>6.2 平面布置分析评价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_Toc27312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_Toc2808 </w:instrText>
      </w:r>
      <w:r>
        <w:rPr>
          <w:rFonts w:hint="eastAsia" w:ascii="宋体" w:hAnsi="宋体" w:eastAsia="宋体" w:cs="宋体"/>
          <w:bCs/>
          <w:szCs w:val="24"/>
        </w:rPr>
        <w:fldChar w:fldCharType="separate"/>
      </w:r>
      <w:r>
        <w:rPr>
          <w:rFonts w:hint="eastAsia" w:ascii="宋体" w:hAnsi="宋体" w:eastAsia="宋体" w:cs="宋体"/>
        </w:rPr>
        <w:t>6.3 工艺及设施分析评价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_Toc2808 \h </w:instrText>
      </w:r>
      <w:r>
        <w:rPr>
          <w:rFonts w:hint="eastAsia" w:ascii="宋体" w:hAnsi="宋体" w:eastAsia="宋体" w:cs="宋体"/>
        </w:rPr>
        <w:fldChar w:fldCharType="separate"/>
      </w:r>
      <w:r>
        <w:rPr>
          <w:rFonts w:hint="eastAsia" w:ascii="宋体" w:hAnsi="宋体" w:eastAsia="宋体" w:cs="宋体"/>
        </w:rPr>
        <w:t>60</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_Toc23571 </w:instrText>
      </w:r>
      <w:r>
        <w:rPr>
          <w:rFonts w:hint="eastAsia" w:ascii="宋体" w:hAnsi="宋体" w:eastAsia="宋体" w:cs="宋体"/>
          <w:bCs/>
          <w:szCs w:val="24"/>
        </w:rPr>
        <w:fldChar w:fldCharType="separate"/>
      </w:r>
      <w:r>
        <w:rPr>
          <w:rFonts w:hint="eastAsia" w:ascii="宋体" w:hAnsi="宋体" w:eastAsia="宋体" w:cs="宋体"/>
        </w:rPr>
        <w:t>6.4 公用工程分析评价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_Toc23571 \h </w:instrText>
      </w:r>
      <w:r>
        <w:rPr>
          <w:rFonts w:hint="eastAsia" w:ascii="宋体" w:hAnsi="宋体" w:eastAsia="宋体" w:cs="宋体"/>
        </w:rPr>
        <w:fldChar w:fldCharType="separate"/>
      </w:r>
      <w:r>
        <w:rPr>
          <w:rFonts w:hint="eastAsia" w:ascii="宋体" w:hAnsi="宋体" w:eastAsia="宋体" w:cs="宋体"/>
        </w:rPr>
        <w:t>64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_Toc219 </w:instrText>
      </w:r>
      <w:r>
        <w:rPr>
          <w:rFonts w:hint="eastAsia" w:ascii="宋体" w:hAnsi="宋体" w:eastAsia="宋体" w:cs="宋体"/>
          <w:bCs/>
          <w:szCs w:val="24"/>
        </w:rPr>
        <w:fldChar w:fldCharType="separate"/>
      </w:r>
      <w:r>
        <w:rPr>
          <w:rFonts w:hint="eastAsia" w:ascii="宋体" w:hAnsi="宋体" w:eastAsia="宋体" w:cs="宋体"/>
        </w:rPr>
        <w:t>6.5 安全设施分析评价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 \h </w:instrText>
      </w:r>
      <w:r>
        <w:rPr>
          <w:rFonts w:hint="eastAsia" w:ascii="宋体" w:hAnsi="宋体" w:eastAsia="宋体" w:cs="宋体"/>
        </w:rPr>
        <w:fldChar w:fldCharType="separate"/>
      </w:r>
      <w:r>
        <w:rPr>
          <w:rFonts w:hint="eastAsia" w:ascii="宋体" w:hAnsi="宋体" w:eastAsia="宋体" w:cs="宋体"/>
        </w:rPr>
        <w:t>66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_Toc108 </w:instrText>
      </w:r>
      <w:r>
        <w:rPr>
          <w:rFonts w:hint="eastAsia" w:ascii="宋体" w:hAnsi="宋体" w:eastAsia="宋体" w:cs="宋体"/>
          <w:bCs/>
          <w:szCs w:val="24"/>
        </w:rPr>
        <w:fldChar w:fldCharType="separate"/>
      </w:r>
      <w:r>
        <w:rPr>
          <w:rFonts w:hint="eastAsia" w:ascii="宋体" w:hAnsi="宋体" w:eastAsia="宋体" w:cs="宋体"/>
        </w:rPr>
        <w:t>6.6 安全管理分析评价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_Toc108 \h </w:instrText>
      </w:r>
      <w:r>
        <w:rPr>
          <w:rFonts w:hint="eastAsia" w:ascii="宋体" w:hAnsi="宋体" w:eastAsia="宋体" w:cs="宋体"/>
        </w:rPr>
        <w:fldChar w:fldCharType="separate"/>
      </w:r>
      <w:r>
        <w:rPr>
          <w:rFonts w:hint="eastAsia" w:ascii="宋体" w:hAnsi="宋体" w:eastAsia="宋体" w:cs="宋体"/>
        </w:rPr>
        <w:t>67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_Toc21870 </w:instrText>
      </w:r>
      <w:r>
        <w:rPr>
          <w:rFonts w:hint="eastAsia" w:ascii="宋体" w:hAnsi="宋体" w:eastAsia="宋体" w:cs="宋体"/>
          <w:bCs/>
          <w:szCs w:val="24"/>
        </w:rPr>
        <w:fldChar w:fldCharType="separate"/>
      </w:r>
      <w:r>
        <w:rPr>
          <w:rFonts w:hint="eastAsia" w:ascii="宋体" w:hAnsi="宋体" w:eastAsia="宋体" w:cs="宋体"/>
        </w:rPr>
        <w:t>6.7 重大事故隐患分析评价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_Toc21870 \h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_Toc17141 </w:instrText>
      </w:r>
      <w:r>
        <w:rPr>
          <w:rFonts w:hint="eastAsia" w:ascii="宋体" w:hAnsi="宋体" w:eastAsia="宋体" w:cs="宋体"/>
          <w:bCs/>
          <w:szCs w:val="24"/>
        </w:rPr>
        <w:fldChar w:fldCharType="separate"/>
      </w:r>
      <w:r>
        <w:rPr>
          <w:rFonts w:hint="eastAsia" w:ascii="宋体" w:hAnsi="宋体" w:eastAsia="宋体" w:cs="宋体"/>
        </w:rPr>
        <w:t>6.8 各单元评价小结</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_Toc17141 \h </w:instrText>
      </w:r>
      <w:r>
        <w:rPr>
          <w:rFonts w:hint="eastAsia" w:ascii="宋体" w:hAnsi="宋体" w:eastAsia="宋体" w:cs="宋体"/>
        </w:rPr>
        <w:fldChar w:fldCharType="separate"/>
      </w:r>
      <w:r>
        <w:rPr>
          <w:rFonts w:hint="eastAsia" w:ascii="宋体" w:hAnsi="宋体" w:eastAsia="宋体" w:cs="宋体"/>
        </w:rPr>
        <w:t>72</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_Toc15786 </w:instrText>
      </w:r>
      <w:r>
        <w:rPr>
          <w:rFonts w:hint="eastAsia" w:ascii="宋体" w:hAnsi="宋体" w:eastAsia="宋体" w:cs="宋体"/>
          <w:bCs/>
          <w:szCs w:val="24"/>
        </w:rPr>
        <w:fldChar w:fldCharType="separate"/>
      </w:r>
      <w:r>
        <w:rPr>
          <w:rFonts w:hint="eastAsia" w:ascii="宋体" w:hAnsi="宋体" w:eastAsia="宋体" w:cs="宋体"/>
        </w:rPr>
        <w:t>第7章 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_Toc15786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_Toc10468 </w:instrText>
      </w:r>
      <w:r>
        <w:rPr>
          <w:rFonts w:hint="eastAsia" w:ascii="宋体" w:hAnsi="宋体" w:eastAsia="宋体" w:cs="宋体"/>
          <w:bCs/>
          <w:szCs w:val="24"/>
        </w:rPr>
        <w:fldChar w:fldCharType="separate"/>
      </w:r>
      <w:r>
        <w:rPr>
          <w:rFonts w:hint="eastAsia" w:ascii="宋体" w:hAnsi="宋体" w:eastAsia="宋体" w:cs="宋体"/>
        </w:rPr>
        <w:t>7.1 存在问题及整改建议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_Toc10468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_Toc9624 </w:instrText>
      </w:r>
      <w:r>
        <w:rPr>
          <w:rFonts w:hint="eastAsia" w:ascii="宋体" w:hAnsi="宋体" w:eastAsia="宋体" w:cs="宋体"/>
          <w:bCs/>
          <w:szCs w:val="24"/>
        </w:rPr>
        <w:fldChar w:fldCharType="separate"/>
      </w:r>
      <w:r>
        <w:rPr>
          <w:rFonts w:hint="eastAsia" w:ascii="宋体" w:hAnsi="宋体" w:eastAsia="宋体" w:cs="宋体"/>
        </w:rPr>
        <w:t>7.1.1 存在问题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_Toc9624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_Toc17152 </w:instrText>
      </w:r>
      <w:r>
        <w:rPr>
          <w:rFonts w:hint="eastAsia" w:ascii="宋体" w:hAnsi="宋体" w:eastAsia="宋体" w:cs="宋体"/>
          <w:bCs/>
          <w:szCs w:val="24"/>
        </w:rPr>
        <w:fldChar w:fldCharType="separate"/>
      </w:r>
      <w:r>
        <w:rPr>
          <w:rFonts w:hint="eastAsia" w:ascii="宋体" w:hAnsi="宋体" w:eastAsia="宋体" w:cs="宋体"/>
        </w:rPr>
        <w:t>7.1.2 存在问题的整改建议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_Toc17152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_Toc1069 </w:instrText>
      </w:r>
      <w:r>
        <w:rPr>
          <w:rFonts w:hint="eastAsia" w:ascii="宋体" w:hAnsi="宋体" w:eastAsia="宋体" w:cs="宋体"/>
          <w:bCs/>
          <w:szCs w:val="24"/>
        </w:rPr>
        <w:fldChar w:fldCharType="separate"/>
      </w:r>
      <w:r>
        <w:rPr>
          <w:rFonts w:hint="eastAsia" w:ascii="宋体" w:hAnsi="宋体" w:eastAsia="宋体" w:cs="宋体"/>
        </w:rPr>
        <w:t>7.1.3 存在问题整改情况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_Toc1069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_Toc14509 </w:instrText>
      </w:r>
      <w:r>
        <w:rPr>
          <w:rFonts w:hint="eastAsia" w:ascii="宋体" w:hAnsi="宋体" w:eastAsia="宋体" w:cs="宋体"/>
          <w:bCs/>
          <w:szCs w:val="24"/>
        </w:rPr>
        <w:fldChar w:fldCharType="separate"/>
      </w:r>
      <w:r>
        <w:rPr>
          <w:rFonts w:hint="eastAsia" w:ascii="宋体" w:hAnsi="宋体" w:eastAsia="宋体" w:cs="宋体"/>
        </w:rPr>
        <w:t>7.2 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_Toc14509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_Toc9866 </w:instrText>
      </w:r>
      <w:r>
        <w:rPr>
          <w:rFonts w:hint="eastAsia" w:ascii="宋体" w:hAnsi="宋体" w:eastAsia="宋体" w:cs="宋体"/>
          <w:bCs/>
          <w:szCs w:val="24"/>
        </w:rPr>
        <w:fldChar w:fldCharType="separate"/>
      </w:r>
      <w:r>
        <w:rPr>
          <w:rFonts w:hint="eastAsia" w:ascii="宋体" w:hAnsi="宋体" w:eastAsia="宋体" w:cs="宋体"/>
        </w:rPr>
        <w:t>7.2.1 防火、防爆安全对策措施及建议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_Toc9866 \h </w:instrText>
      </w:r>
      <w:r>
        <w:rPr>
          <w:rFonts w:hint="eastAsia" w:ascii="宋体" w:hAnsi="宋体" w:eastAsia="宋体" w:cs="宋体"/>
        </w:rPr>
        <w:fldChar w:fldCharType="separate"/>
      </w:r>
      <w:r>
        <w:rPr>
          <w:rFonts w:hint="eastAsia" w:ascii="宋体" w:hAnsi="宋体" w:eastAsia="宋体" w:cs="宋体"/>
        </w:rPr>
        <w:t>74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_Toc8328 </w:instrText>
      </w:r>
      <w:r>
        <w:rPr>
          <w:rFonts w:hint="eastAsia" w:ascii="宋体" w:hAnsi="宋体" w:eastAsia="宋体" w:cs="宋体"/>
          <w:bCs/>
          <w:szCs w:val="24"/>
        </w:rPr>
        <w:fldChar w:fldCharType="separate"/>
      </w:r>
      <w:r>
        <w:rPr>
          <w:rFonts w:hint="eastAsia" w:ascii="宋体" w:hAnsi="宋体" w:eastAsia="宋体" w:cs="宋体"/>
        </w:rPr>
        <w:t>7.2.2 电气系统安全对策措施及建议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_Toc8328 \h </w:instrText>
      </w:r>
      <w:r>
        <w:rPr>
          <w:rFonts w:hint="eastAsia" w:ascii="宋体" w:hAnsi="宋体" w:eastAsia="宋体" w:cs="宋体"/>
        </w:rPr>
        <w:fldChar w:fldCharType="separate"/>
      </w:r>
      <w:r>
        <w:rPr>
          <w:rFonts w:hint="eastAsia" w:ascii="宋体" w:hAnsi="宋体" w:eastAsia="宋体" w:cs="宋体"/>
        </w:rPr>
        <w:t>75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_Toc30393 </w:instrText>
      </w:r>
      <w:r>
        <w:rPr>
          <w:rFonts w:hint="eastAsia" w:ascii="宋体" w:hAnsi="宋体" w:eastAsia="宋体" w:cs="宋体"/>
          <w:bCs/>
          <w:szCs w:val="24"/>
        </w:rPr>
        <w:fldChar w:fldCharType="separate"/>
      </w:r>
      <w:r>
        <w:rPr>
          <w:rFonts w:hint="eastAsia" w:ascii="宋体" w:hAnsi="宋体" w:eastAsia="宋体" w:cs="宋体"/>
        </w:rPr>
        <w:t>7.2.3 防雷、防静电安全对策措施及建议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_Toc30393 \h </w:instrText>
      </w:r>
      <w:r>
        <w:rPr>
          <w:rFonts w:hint="eastAsia" w:ascii="宋体" w:hAnsi="宋体" w:eastAsia="宋体" w:cs="宋体"/>
        </w:rPr>
        <w:fldChar w:fldCharType="separate"/>
      </w:r>
      <w:r>
        <w:rPr>
          <w:rFonts w:hint="eastAsia" w:ascii="宋体" w:hAnsi="宋体" w:eastAsia="宋体" w:cs="宋体"/>
        </w:rPr>
        <w:t>76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_Toc15062 </w:instrText>
      </w:r>
      <w:r>
        <w:rPr>
          <w:rFonts w:hint="eastAsia" w:ascii="宋体" w:hAnsi="宋体" w:eastAsia="宋体" w:cs="宋体"/>
          <w:bCs/>
          <w:szCs w:val="24"/>
        </w:rPr>
        <w:fldChar w:fldCharType="separate"/>
      </w:r>
      <w:r>
        <w:rPr>
          <w:rFonts w:hint="eastAsia" w:ascii="宋体" w:hAnsi="宋体" w:eastAsia="宋体" w:cs="宋体"/>
        </w:rPr>
        <w:t>7.2.4 特殊作业安全对策措施及建议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_Toc15062 \h </w:instrText>
      </w:r>
      <w:r>
        <w:rPr>
          <w:rFonts w:hint="eastAsia" w:ascii="宋体" w:hAnsi="宋体" w:eastAsia="宋体" w:cs="宋体"/>
        </w:rPr>
        <w:fldChar w:fldCharType="separate"/>
      </w:r>
      <w:r>
        <w:rPr>
          <w:rFonts w:hint="eastAsia" w:ascii="宋体" w:hAnsi="宋体" w:eastAsia="宋体" w:cs="宋体"/>
        </w:rPr>
        <w:t>76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_Toc8419 </w:instrText>
      </w:r>
      <w:r>
        <w:rPr>
          <w:rFonts w:hint="eastAsia" w:ascii="宋体" w:hAnsi="宋体" w:eastAsia="宋体" w:cs="宋体"/>
          <w:bCs/>
          <w:szCs w:val="24"/>
        </w:rPr>
        <w:fldChar w:fldCharType="separate"/>
      </w:r>
      <w:r>
        <w:rPr>
          <w:rFonts w:hint="eastAsia" w:ascii="宋体" w:hAnsi="宋体" w:eastAsia="宋体" w:cs="宋体"/>
        </w:rPr>
        <w:t>7.2.5 加油站油品卸油对策措施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_Toc8419 \h </w:instrText>
      </w:r>
      <w:r>
        <w:rPr>
          <w:rFonts w:hint="eastAsia" w:ascii="宋体" w:hAnsi="宋体" w:eastAsia="宋体" w:cs="宋体"/>
        </w:rPr>
        <w:fldChar w:fldCharType="separate"/>
      </w:r>
      <w:r>
        <w:rPr>
          <w:rFonts w:hint="eastAsia" w:ascii="宋体" w:hAnsi="宋体" w:eastAsia="宋体" w:cs="宋体"/>
        </w:rPr>
        <w:t>85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_Toc1088 </w:instrText>
      </w:r>
      <w:r>
        <w:rPr>
          <w:rFonts w:hint="eastAsia" w:ascii="宋体" w:hAnsi="宋体" w:eastAsia="宋体" w:cs="宋体"/>
          <w:bCs/>
          <w:szCs w:val="24"/>
        </w:rPr>
        <w:fldChar w:fldCharType="separate"/>
      </w:r>
      <w:r>
        <w:rPr>
          <w:rFonts w:hint="eastAsia" w:ascii="宋体" w:hAnsi="宋体" w:eastAsia="宋体" w:cs="宋体"/>
        </w:rPr>
        <w:t>7.2.6 加油站油品储存对策措施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_Toc1088 \h </w:instrText>
      </w:r>
      <w:r>
        <w:rPr>
          <w:rFonts w:hint="eastAsia" w:ascii="宋体" w:hAnsi="宋体" w:eastAsia="宋体" w:cs="宋体"/>
        </w:rPr>
        <w:fldChar w:fldCharType="separate"/>
      </w:r>
      <w:r>
        <w:rPr>
          <w:rFonts w:hint="eastAsia" w:ascii="宋体" w:hAnsi="宋体" w:eastAsia="宋体" w:cs="宋体"/>
        </w:rPr>
        <w:t>87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_Toc21386 </w:instrText>
      </w:r>
      <w:r>
        <w:rPr>
          <w:rFonts w:hint="eastAsia" w:ascii="宋体" w:hAnsi="宋体" w:eastAsia="宋体" w:cs="宋体"/>
          <w:bCs/>
          <w:szCs w:val="24"/>
        </w:rPr>
        <w:fldChar w:fldCharType="separate"/>
      </w:r>
      <w:r>
        <w:rPr>
          <w:rFonts w:hint="eastAsia" w:ascii="宋体" w:hAnsi="宋体" w:eastAsia="宋体" w:cs="宋体"/>
        </w:rPr>
        <w:t>7.2.7 加油站油品计量对策措施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_Toc21386 \h </w:instrText>
      </w:r>
      <w:r>
        <w:rPr>
          <w:rFonts w:hint="eastAsia" w:ascii="宋体" w:hAnsi="宋体" w:eastAsia="宋体" w:cs="宋体"/>
        </w:rPr>
        <w:fldChar w:fldCharType="separate"/>
      </w:r>
      <w:r>
        <w:rPr>
          <w:rFonts w:hint="eastAsia" w:ascii="宋体" w:hAnsi="宋体" w:eastAsia="宋体" w:cs="宋体"/>
        </w:rPr>
        <w:t>87</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_Toc3008 </w:instrText>
      </w:r>
      <w:r>
        <w:rPr>
          <w:rFonts w:hint="eastAsia" w:ascii="宋体" w:hAnsi="宋体" w:eastAsia="宋体" w:cs="宋体"/>
          <w:bCs/>
          <w:szCs w:val="24"/>
        </w:rPr>
        <w:fldChar w:fldCharType="separate"/>
      </w:r>
      <w:r>
        <w:rPr>
          <w:rFonts w:hint="eastAsia" w:ascii="宋体" w:hAnsi="宋体" w:eastAsia="宋体" w:cs="宋体"/>
        </w:rPr>
        <w:t>7.2.8 加油站加油对策措施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_Toc3008 \h </w:instrText>
      </w:r>
      <w:r>
        <w:rPr>
          <w:rFonts w:hint="eastAsia" w:ascii="宋体" w:hAnsi="宋体" w:eastAsia="宋体" w:cs="宋体"/>
        </w:rPr>
        <w:fldChar w:fldCharType="separate"/>
      </w:r>
      <w:r>
        <w:rPr>
          <w:rFonts w:hint="eastAsia" w:ascii="宋体" w:hAnsi="宋体" w:eastAsia="宋体" w:cs="宋体"/>
        </w:rPr>
        <w:t>88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_Toc31315 </w:instrText>
      </w:r>
      <w:r>
        <w:rPr>
          <w:rFonts w:hint="eastAsia" w:ascii="宋体" w:hAnsi="宋体" w:eastAsia="宋体" w:cs="宋体"/>
          <w:bCs/>
          <w:szCs w:val="24"/>
        </w:rPr>
        <w:fldChar w:fldCharType="separate"/>
      </w:r>
      <w:r>
        <w:rPr>
          <w:rFonts w:hint="eastAsia" w:ascii="宋体" w:hAnsi="宋体" w:eastAsia="宋体" w:cs="宋体"/>
        </w:rPr>
        <w:t>7.2.9 劳动防护用品配备和使用建议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_Toc31315 \h </w:instrText>
      </w:r>
      <w:r>
        <w:rPr>
          <w:rFonts w:hint="eastAsia" w:ascii="宋体" w:hAnsi="宋体" w:eastAsia="宋体" w:cs="宋体"/>
        </w:rPr>
        <w:fldChar w:fldCharType="separate"/>
      </w:r>
      <w:r>
        <w:rPr>
          <w:rFonts w:hint="eastAsia" w:ascii="宋体" w:hAnsi="宋体" w:eastAsia="宋体" w:cs="宋体"/>
        </w:rPr>
        <w:t>88</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_Toc3242 </w:instrText>
      </w:r>
      <w:r>
        <w:rPr>
          <w:rFonts w:hint="eastAsia" w:ascii="宋体" w:hAnsi="宋体" w:eastAsia="宋体" w:cs="宋体"/>
          <w:bCs/>
          <w:szCs w:val="24"/>
        </w:rPr>
        <w:fldChar w:fldCharType="separate"/>
      </w:r>
      <w:r>
        <w:rPr>
          <w:rFonts w:hint="eastAsia" w:ascii="宋体" w:hAnsi="宋体" w:eastAsia="宋体" w:cs="宋体"/>
        </w:rPr>
        <w:t>7.2.10 安全管理对策措施及建议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_Toc3242 \h </w:instrText>
      </w:r>
      <w:r>
        <w:rPr>
          <w:rFonts w:hint="eastAsia" w:ascii="宋体" w:hAnsi="宋体" w:eastAsia="宋体" w:cs="宋体"/>
        </w:rPr>
        <w:fldChar w:fldCharType="separate"/>
      </w:r>
      <w:r>
        <w:rPr>
          <w:rFonts w:hint="eastAsia" w:ascii="宋体" w:hAnsi="宋体" w:eastAsia="宋体" w:cs="宋体"/>
        </w:rPr>
        <w:t>89</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_Toc4194 </w:instrText>
      </w:r>
      <w:r>
        <w:rPr>
          <w:rFonts w:hint="eastAsia" w:ascii="宋体" w:hAnsi="宋体" w:eastAsia="宋体" w:cs="宋体"/>
          <w:bCs/>
          <w:szCs w:val="24"/>
        </w:rPr>
        <w:fldChar w:fldCharType="separate"/>
      </w:r>
      <w:r>
        <w:rPr>
          <w:rFonts w:hint="eastAsia" w:ascii="宋体" w:hAnsi="宋体" w:eastAsia="宋体" w:cs="宋体"/>
        </w:rPr>
        <w:t>7.2.11 加油站设备设施安全对策措施和建议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_Toc4194 \h </w:instrText>
      </w:r>
      <w:r>
        <w:rPr>
          <w:rFonts w:hint="eastAsia" w:ascii="宋体" w:hAnsi="宋体" w:eastAsia="宋体" w:cs="宋体"/>
        </w:rPr>
        <w:fldChar w:fldCharType="separate"/>
      </w:r>
      <w:r>
        <w:rPr>
          <w:rFonts w:hint="eastAsia" w:ascii="宋体" w:hAnsi="宋体" w:eastAsia="宋体" w:cs="宋体"/>
        </w:rPr>
        <w:t>91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0"/>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_Toc5679 </w:instrText>
      </w:r>
      <w:r>
        <w:rPr>
          <w:rFonts w:hint="eastAsia" w:ascii="宋体" w:hAnsi="宋体" w:eastAsia="宋体" w:cs="宋体"/>
          <w:bCs/>
          <w:szCs w:val="24"/>
        </w:rPr>
        <w:fldChar w:fldCharType="separate"/>
      </w:r>
      <w:r>
        <w:rPr>
          <w:rFonts w:hint="eastAsia" w:ascii="宋体" w:hAnsi="宋体" w:eastAsia="宋体" w:cs="宋体"/>
        </w:rPr>
        <w:t>7.2.12 重点监管及特别管控危险化学品对策措施和建议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_Toc5679 \h </w:instrText>
      </w:r>
      <w:r>
        <w:rPr>
          <w:rFonts w:hint="eastAsia" w:ascii="宋体" w:hAnsi="宋体" w:eastAsia="宋体" w:cs="宋体"/>
        </w:rPr>
        <w:fldChar w:fldCharType="separate"/>
      </w:r>
      <w:r>
        <w:rPr>
          <w:rFonts w:hint="eastAsia" w:ascii="宋体" w:hAnsi="宋体" w:eastAsia="宋体" w:cs="宋体"/>
        </w:rPr>
        <w:t>91</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_Toc20058 </w:instrText>
      </w:r>
      <w:r>
        <w:rPr>
          <w:rFonts w:hint="eastAsia" w:ascii="宋体" w:hAnsi="宋体" w:eastAsia="宋体" w:cs="宋体"/>
          <w:bCs/>
          <w:szCs w:val="24"/>
        </w:rPr>
        <w:fldChar w:fldCharType="separate"/>
      </w:r>
      <w:r>
        <w:rPr>
          <w:rFonts w:hint="eastAsia" w:ascii="宋体" w:hAnsi="宋体" w:eastAsia="宋体" w:cs="宋体"/>
        </w:rPr>
        <w:t>第8章 评价结论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_Toc20058 \h </w:instrText>
      </w:r>
      <w:r>
        <w:rPr>
          <w:rFonts w:hint="eastAsia" w:ascii="宋体" w:hAnsi="宋体" w:eastAsia="宋体" w:cs="宋体"/>
        </w:rPr>
        <w:fldChar w:fldCharType="separate"/>
      </w:r>
      <w:r>
        <w:rPr>
          <w:rFonts w:hint="eastAsia" w:ascii="宋体" w:hAnsi="宋体" w:eastAsia="宋体" w:cs="宋体"/>
        </w:rPr>
        <w:t>94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_Toc5074 </w:instrText>
      </w:r>
      <w:r>
        <w:rPr>
          <w:rFonts w:hint="eastAsia" w:ascii="宋体" w:hAnsi="宋体" w:eastAsia="宋体" w:cs="宋体"/>
          <w:bCs/>
          <w:szCs w:val="24"/>
        </w:rPr>
        <w:fldChar w:fldCharType="separate"/>
      </w:r>
      <w:r>
        <w:rPr>
          <w:rFonts w:hint="eastAsia" w:ascii="宋体" w:hAnsi="宋体" w:eastAsia="宋体" w:cs="宋体"/>
        </w:rPr>
        <w:t>8.1 加油站存在的危险、有害因素及其危险危害程度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_Toc5074 \h </w:instrText>
      </w:r>
      <w:r>
        <w:rPr>
          <w:rFonts w:hint="eastAsia" w:ascii="宋体" w:hAnsi="宋体" w:eastAsia="宋体" w:cs="宋体"/>
        </w:rPr>
        <w:fldChar w:fldCharType="separate"/>
      </w:r>
      <w:r>
        <w:rPr>
          <w:rFonts w:hint="eastAsia" w:ascii="宋体" w:hAnsi="宋体" w:eastAsia="宋体" w:cs="宋体"/>
        </w:rPr>
        <w:t>94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_Toc22899 </w:instrText>
      </w:r>
      <w:r>
        <w:rPr>
          <w:rFonts w:hint="eastAsia" w:ascii="宋体" w:hAnsi="宋体" w:eastAsia="宋体" w:cs="宋体"/>
          <w:bCs/>
          <w:szCs w:val="24"/>
        </w:rPr>
        <w:fldChar w:fldCharType="separate"/>
      </w:r>
      <w:r>
        <w:rPr>
          <w:rFonts w:hint="eastAsia" w:ascii="宋体" w:hAnsi="宋体" w:eastAsia="宋体" w:cs="宋体"/>
        </w:rPr>
        <w:t>8.2 各单元评价综述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_Toc22899 \h </w:instrText>
      </w:r>
      <w:r>
        <w:rPr>
          <w:rFonts w:hint="eastAsia" w:ascii="宋体" w:hAnsi="宋体" w:eastAsia="宋体" w:cs="宋体"/>
        </w:rPr>
        <w:fldChar w:fldCharType="separate"/>
      </w:r>
      <w:r>
        <w:rPr>
          <w:rFonts w:hint="eastAsia" w:ascii="宋体" w:hAnsi="宋体" w:eastAsia="宋体" w:cs="宋体"/>
        </w:rPr>
        <w:t>94</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_Toc26274 </w:instrText>
      </w:r>
      <w:r>
        <w:rPr>
          <w:rFonts w:hint="eastAsia" w:ascii="宋体" w:hAnsi="宋体" w:eastAsia="宋体" w:cs="宋体"/>
          <w:bCs/>
          <w:szCs w:val="24"/>
        </w:rPr>
        <w:fldChar w:fldCharType="separate"/>
      </w:r>
      <w:r>
        <w:rPr>
          <w:rFonts w:hint="eastAsia" w:ascii="宋体" w:hAnsi="宋体" w:eastAsia="宋体" w:cs="宋体"/>
        </w:rPr>
        <w:t>8.3 应重视的危险有害因素</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_Toc26274 \h </w:instrText>
      </w:r>
      <w:r>
        <w:rPr>
          <w:rFonts w:hint="eastAsia" w:ascii="宋体" w:hAnsi="宋体" w:eastAsia="宋体" w:cs="宋体"/>
        </w:rPr>
        <w:fldChar w:fldCharType="separate"/>
      </w:r>
      <w:r>
        <w:rPr>
          <w:rFonts w:hint="eastAsia" w:ascii="宋体" w:hAnsi="宋体" w:eastAsia="宋体" w:cs="宋体"/>
        </w:rPr>
        <w:t>95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_Toc1106 </w:instrText>
      </w:r>
      <w:r>
        <w:rPr>
          <w:rFonts w:hint="eastAsia" w:ascii="宋体" w:hAnsi="宋体" w:eastAsia="宋体" w:cs="宋体"/>
          <w:bCs/>
          <w:szCs w:val="24"/>
        </w:rPr>
        <w:fldChar w:fldCharType="separate"/>
      </w:r>
      <w:r>
        <w:rPr>
          <w:rFonts w:hint="eastAsia" w:ascii="宋体" w:hAnsi="宋体" w:eastAsia="宋体" w:cs="宋体"/>
        </w:rPr>
        <w:t>8.4 应重视的安全对策措施及建议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_Toc1106 \h </w:instrText>
      </w:r>
      <w:r>
        <w:rPr>
          <w:rFonts w:hint="eastAsia" w:ascii="宋体" w:hAnsi="宋体" w:eastAsia="宋体" w:cs="宋体"/>
        </w:rPr>
        <w:fldChar w:fldCharType="separate"/>
      </w:r>
      <w:r>
        <w:rPr>
          <w:rFonts w:hint="eastAsia" w:ascii="宋体" w:hAnsi="宋体" w:eastAsia="宋体" w:cs="宋体"/>
        </w:rPr>
        <w:t>95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7"/>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_Toc32060 </w:instrText>
      </w:r>
      <w:r>
        <w:rPr>
          <w:rFonts w:hint="eastAsia" w:ascii="宋体" w:hAnsi="宋体" w:eastAsia="宋体" w:cs="宋体"/>
          <w:bCs/>
          <w:szCs w:val="24"/>
        </w:rPr>
        <w:fldChar w:fldCharType="separate"/>
      </w:r>
      <w:r>
        <w:rPr>
          <w:rFonts w:hint="eastAsia" w:ascii="宋体" w:hAnsi="宋体" w:eastAsia="宋体" w:cs="宋体"/>
        </w:rPr>
        <w:t>8.5 评价结论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_Toc32060 \h </w:instrText>
      </w:r>
      <w:r>
        <w:rPr>
          <w:rFonts w:hint="eastAsia" w:ascii="宋体" w:hAnsi="宋体" w:eastAsia="宋体" w:cs="宋体"/>
        </w:rPr>
        <w:fldChar w:fldCharType="separate"/>
      </w:r>
      <w:r>
        <w:rPr>
          <w:rFonts w:hint="eastAsia" w:ascii="宋体" w:hAnsi="宋体" w:eastAsia="宋体" w:cs="宋体"/>
        </w:rPr>
        <w:t>95</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pStyle w:val="25"/>
        <w:tabs>
          <w:tab w:val="right" w:leader="dot" w:pos="9184"/>
        </w:tabs>
        <w:rPr>
          <w:rFonts w:hint="eastAsia" w:ascii="宋体" w:hAnsi="宋体" w:eastAsia="宋体" w:cs="宋体"/>
        </w:rPr>
      </w:pPr>
      <w:r>
        <w:rPr>
          <w:rFonts w:hint="eastAsia" w:ascii="宋体" w:hAnsi="宋体" w:eastAsia="宋体" w:cs="宋体"/>
          <w:bCs/>
          <w:color w:val="000000" w:themeColor="text1"/>
          <w:szCs w:val="24"/>
          <w14:textFill>
            <w14:solidFill>
              <w14:schemeClr w14:val="tx1"/>
            </w14:solidFill>
          </w14:textFill>
        </w:rPr>
        <w:fldChar w:fldCharType="begin"/>
      </w:r>
      <w:r>
        <w:rPr>
          <w:rFonts w:hint="eastAsia" w:ascii="宋体" w:hAnsi="宋体" w:eastAsia="宋体" w:cs="宋体"/>
          <w:bCs/>
          <w:szCs w:val="24"/>
        </w:rPr>
        <w:instrText xml:space="preserve"> HYPERLINK \l _Toc30591 </w:instrText>
      </w:r>
      <w:r>
        <w:rPr>
          <w:rFonts w:hint="eastAsia" w:ascii="宋体" w:hAnsi="宋体" w:eastAsia="宋体" w:cs="宋体"/>
          <w:bCs/>
          <w:szCs w:val="24"/>
        </w:rPr>
        <w:fldChar w:fldCharType="separate"/>
      </w:r>
      <w:r>
        <w:rPr>
          <w:rFonts w:hint="eastAsia" w:ascii="宋体" w:hAnsi="宋体" w:eastAsia="宋体" w:cs="宋体"/>
        </w:rPr>
        <w:t>第9章 与建设单位交换意见的情况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_Toc30591 \h </w:instrText>
      </w:r>
      <w:r>
        <w:rPr>
          <w:rFonts w:hint="eastAsia" w:ascii="宋体" w:hAnsi="宋体" w:eastAsia="宋体" w:cs="宋体"/>
        </w:rPr>
        <w:fldChar w:fldCharType="separate"/>
      </w:r>
      <w:r>
        <w:rPr>
          <w:rFonts w:hint="eastAsia" w:ascii="宋体" w:hAnsi="宋体" w:eastAsia="宋体" w:cs="宋体"/>
        </w:rPr>
        <w:t>96</w:t>
      </w:r>
      <w:r>
        <w:rPr>
          <w:rFonts w:hint="eastAsia" w:ascii="宋体" w:hAnsi="宋体" w:eastAsia="宋体" w:cs="宋体"/>
        </w:rPr>
        <w:fldChar w:fldCharType="end"/>
      </w:r>
      <w:r>
        <w:rPr>
          <w:rFonts w:hint="eastAsia" w:ascii="宋体" w:hAnsi="宋体" w:eastAsia="宋体" w:cs="宋体"/>
          <w:bCs/>
          <w:color w:val="000000" w:themeColor="text1"/>
          <w:szCs w:val="24"/>
          <w14:textFill>
            <w14:solidFill>
              <w14:schemeClr w14:val="tx1"/>
            </w14:solidFill>
          </w14:textFill>
        </w:rPr>
        <w:fldChar w:fldCharType="end"/>
      </w:r>
    </w:p>
    <w:p>
      <w:pPr>
        <w:rPr>
          <w:color w:val="000000" w:themeColor="text1"/>
          <w:sz w:val="24"/>
          <w:szCs w:val="24"/>
          <w14:textFill>
            <w14:solidFill>
              <w14:schemeClr w14:val="tx1"/>
            </w14:solidFill>
          </w14:textFill>
        </w:rPr>
        <w:sectPr>
          <w:pgSz w:w="11905" w:h="16838"/>
          <w:pgMar w:top="1417" w:right="1134" w:bottom="1134" w:left="1587" w:header="850" w:footer="850" w:gutter="0"/>
          <w:pgNumType w:start="1"/>
          <w:cols w:space="0" w:num="1"/>
          <w:docGrid w:type="linesAndChars" w:linePitch="386" w:charSpace="0"/>
        </w:sectPr>
      </w:pPr>
      <w:r>
        <w:rPr>
          <w:rFonts w:hint="eastAsia" w:ascii="宋体" w:hAnsi="宋体" w:eastAsia="宋体" w:cs="宋体"/>
          <w:bCs/>
          <w:color w:val="000000" w:themeColor="text1"/>
          <w:szCs w:val="24"/>
          <w14:textFill>
            <w14:solidFill>
              <w14:schemeClr w14:val="tx1"/>
            </w14:solidFill>
          </w14:textFill>
        </w:rPr>
        <w:fldChar w:fldCharType="end"/>
      </w:r>
    </w:p>
    <w:p>
      <w:pPr>
        <w:pStyle w:val="2"/>
        <w:spacing w:before="193" w:after="193"/>
        <w:rPr>
          <w:color w:val="000000" w:themeColor="text1"/>
          <w14:textFill>
            <w14:solidFill>
              <w14:schemeClr w14:val="tx1"/>
            </w14:solidFill>
          </w14:textFill>
        </w:rPr>
      </w:pPr>
      <w:bookmarkStart w:id="4" w:name="_Toc195176695"/>
      <w:bookmarkStart w:id="5" w:name="_Toc23334"/>
      <w:bookmarkStart w:id="6" w:name="_Toc258574821"/>
      <w:bookmarkStart w:id="7" w:name="_Toc109564936"/>
      <w:bookmarkStart w:id="8" w:name="_Toc109564191"/>
      <w:bookmarkStart w:id="9" w:name="_Toc187699871"/>
      <w:bookmarkStart w:id="10" w:name="_Toc151881368"/>
      <w:bookmarkStart w:id="11" w:name="_Toc135136992"/>
      <w:bookmarkStart w:id="12" w:name="_Toc187780641"/>
      <w:bookmarkStart w:id="13" w:name="_Toc134710959"/>
      <w:bookmarkStart w:id="14" w:name="_Toc109564554"/>
      <w:bookmarkStart w:id="15" w:name="_Toc108697367"/>
      <w:bookmarkStart w:id="16" w:name="_Toc109559443"/>
      <w:bookmarkStart w:id="17" w:name="_Toc108344543"/>
      <w:bookmarkStart w:id="18" w:name="_Toc156661637"/>
      <w:bookmarkStart w:id="19" w:name="_Toc134875856"/>
      <w:r>
        <w:rPr>
          <w:rFonts w:hint="eastAsia"/>
          <w:color w:val="000000" w:themeColor="text1"/>
          <w14:textFill>
            <w14:solidFill>
              <w14:schemeClr w14:val="tx1"/>
            </w14:solidFill>
          </w14:textFill>
        </w:rPr>
        <w:t>安全评价工作经过</w:t>
      </w:r>
      <w:bookmarkEnd w:id="4"/>
      <w:bookmarkEnd w:id="5"/>
      <w:bookmarkEnd w:id="6"/>
    </w:p>
    <w:p>
      <w:pPr>
        <w:pStyle w:val="3"/>
        <w:rPr>
          <w:color w:val="000000" w:themeColor="text1"/>
          <w14:textFill>
            <w14:solidFill>
              <w14:schemeClr w14:val="tx1"/>
            </w14:solidFill>
          </w14:textFill>
        </w:rPr>
      </w:pPr>
      <w:bookmarkStart w:id="20" w:name="_Toc258574822"/>
      <w:bookmarkStart w:id="21" w:name="_Toc1493"/>
      <w:bookmarkStart w:id="22" w:name="_Toc195176696"/>
      <w:bookmarkStart w:id="23" w:name="_Toc188337766"/>
      <w:bookmarkStart w:id="24" w:name="_Toc189986303"/>
      <w:r>
        <w:rPr>
          <w:rFonts w:hint="eastAsia"/>
          <w:color w:val="000000" w:themeColor="text1"/>
          <w14:textFill>
            <w14:solidFill>
              <w14:schemeClr w14:val="tx1"/>
            </w14:solidFill>
          </w14:textFill>
        </w:rPr>
        <w:t>前期准备情况</w:t>
      </w:r>
      <w:bookmarkEnd w:id="20"/>
      <w:bookmarkEnd w:id="21"/>
      <w:bookmarkEnd w:id="22"/>
    </w:p>
    <w:p>
      <w:pPr>
        <w:pStyle w:val="4"/>
        <w:ind w:firstLine="562"/>
        <w:rPr>
          <w:color w:val="000000" w:themeColor="text1"/>
          <w14:textFill>
            <w14:solidFill>
              <w14:schemeClr w14:val="tx1"/>
            </w14:solidFill>
          </w14:textFill>
        </w:rPr>
      </w:pPr>
      <w:bookmarkStart w:id="25" w:name="_Toc25093"/>
      <w:bookmarkStart w:id="26" w:name="_Toc195176697"/>
      <w:r>
        <w:rPr>
          <w:rFonts w:hint="eastAsia"/>
          <w:color w:val="000000" w:themeColor="text1"/>
          <w14:textFill>
            <w14:solidFill>
              <w14:schemeClr w14:val="tx1"/>
            </w14:solidFill>
          </w14:textFill>
        </w:rPr>
        <w:t>任务来源</w:t>
      </w:r>
      <w:bookmarkEnd w:id="23"/>
      <w:bookmarkEnd w:id="24"/>
      <w:bookmarkEnd w:id="25"/>
      <w:bookmarkEnd w:id="26"/>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受</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委托，由昭通市鼎安科技有限公司承担</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的安全现状评价工作。</w:t>
      </w:r>
      <w:r>
        <w:rPr>
          <w:color w:val="000000" w:themeColor="text1"/>
          <w14:textFill>
            <w14:solidFill>
              <w14:schemeClr w14:val="tx1"/>
            </w14:solidFill>
          </w14:textFill>
        </w:rPr>
        <w:t>合同签订后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由</w:t>
      </w:r>
      <w:r>
        <w:rPr>
          <w:rFonts w:hint="eastAsia"/>
          <w:color w:val="000000" w:themeColor="text1"/>
          <w14:textFill>
            <w14:solidFill>
              <w14:schemeClr w14:val="tx1"/>
            </w14:solidFill>
          </w14:textFill>
        </w:rPr>
        <w:t>公司签发（或授权签发）《安全评价项目任务书》，收到《安全评价项目任务书》后</w:t>
      </w:r>
      <w:r>
        <w:rPr>
          <w:color w:val="000000" w:themeColor="text1"/>
          <w14:textFill>
            <w14:solidFill>
              <w14:schemeClr w14:val="tx1"/>
            </w14:solidFill>
          </w14:textFill>
        </w:rPr>
        <w:t>组建评价项目组并任命项目组长。</w:t>
      </w:r>
    </w:p>
    <w:p>
      <w:pPr>
        <w:pStyle w:val="4"/>
        <w:ind w:firstLine="562"/>
        <w:rPr>
          <w:color w:val="000000" w:themeColor="text1"/>
          <w14:textFill>
            <w14:solidFill>
              <w14:schemeClr w14:val="tx1"/>
            </w14:solidFill>
          </w14:textFill>
        </w:rPr>
      </w:pPr>
      <w:bookmarkStart w:id="27" w:name="_Toc195176698"/>
      <w:bookmarkStart w:id="28" w:name="_Toc31154"/>
      <w:r>
        <w:rPr>
          <w:rFonts w:hint="eastAsia"/>
          <w:color w:val="000000" w:themeColor="text1"/>
          <w14:textFill>
            <w14:solidFill>
              <w14:schemeClr w14:val="tx1"/>
            </w14:solidFill>
          </w14:textFill>
        </w:rPr>
        <w:t>收集资料</w:t>
      </w:r>
      <w:bookmarkEnd w:id="27"/>
      <w:bookmarkEnd w:id="28"/>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项目组成员根据评价目的的需要，在充分调查研究安全评价对象和范围相关情况后，现场考察被评价项目选用地址的周边环境，收集、整理安全评价所需要的各种文件、资料和数据。收集与被评价项目有关的法律法规、技术标准、气象、水文、地质等资料，为实施评价做好准备。</w:t>
      </w:r>
    </w:p>
    <w:p>
      <w:pPr>
        <w:pStyle w:val="45"/>
        <w:ind w:firstLine="560"/>
        <w:rPr>
          <w:color w:val="000000" w:themeColor="text1"/>
          <w14:textFill>
            <w14:solidFill>
              <w14:schemeClr w14:val="tx1"/>
            </w14:solidFill>
          </w14:textFill>
        </w:rPr>
      </w:pPr>
      <w:r>
        <w:rPr>
          <w:color w:val="000000" w:themeColor="text1"/>
          <w14:textFill>
            <w14:solidFill>
              <w14:schemeClr w14:val="tx1"/>
            </w14:solidFill>
          </w14:textFill>
        </w:rPr>
        <w:t>安全评价资料、数据收集应遵循的原则：</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应保证满足全面、客观、具体、准确的要求</w:t>
      </w:r>
      <w:r>
        <w:rPr>
          <w:rFonts w:hint="eastAsia"/>
          <w:color w:val="000000" w:themeColor="text1"/>
          <w14:textFill>
            <w14:solidFill>
              <w14:schemeClr w14:val="tx1"/>
            </w14:solidFill>
          </w14:textFill>
        </w:rPr>
        <w:t>；</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应尽量避免索取不必要的资料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避免给企业带来</w:t>
      </w:r>
      <w:r>
        <w:rPr>
          <w:rFonts w:hint="eastAsia"/>
          <w:color w:val="000000" w:themeColor="text1"/>
          <w14:textFill>
            <w14:solidFill>
              <w14:schemeClr w14:val="tx1"/>
            </w14:solidFill>
          </w14:textFill>
        </w:rPr>
        <w:t>麻烦；</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收集的资料数据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要对其真实性和可信度进行评估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必要时可要求资料提供方书面说明资料来源</w:t>
      </w:r>
      <w:r>
        <w:rPr>
          <w:rFonts w:hint="eastAsia"/>
          <w:color w:val="000000" w:themeColor="text1"/>
          <w14:textFill>
            <w14:solidFill>
              <w14:schemeClr w14:val="tx1"/>
            </w14:solidFill>
          </w14:textFill>
        </w:rPr>
        <w:t>；</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对用作类比推理的资料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要注意类比双方的相关程度和资料获得的条件</w:t>
      </w:r>
      <w:r>
        <w:rPr>
          <w:rFonts w:hint="eastAsia"/>
          <w:color w:val="000000" w:themeColor="text1"/>
          <w14:textFill>
            <w14:solidFill>
              <w14:schemeClr w14:val="tx1"/>
            </w14:solidFill>
          </w14:textFill>
        </w:rPr>
        <w:t>；</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代表性不强的资料不能用于评价</w:t>
      </w:r>
      <w:r>
        <w:rPr>
          <w:rFonts w:hint="eastAsia"/>
          <w:color w:val="000000" w:themeColor="text1"/>
          <w14:textFill>
            <w14:solidFill>
              <w14:schemeClr w14:val="tx1"/>
            </w14:solidFill>
          </w14:textFill>
        </w:rPr>
        <w:t>；</w:t>
      </w:r>
    </w:p>
    <w:p>
      <w:pPr>
        <w:numPr>
          <w:ilvl w:val="0"/>
          <w:numId w:val="4"/>
        </w:numPr>
        <w:ind w:firstLine="560"/>
        <w:rPr>
          <w:color w:val="000000" w:themeColor="text1"/>
          <w14:textFill>
            <w14:solidFill>
              <w14:schemeClr w14:val="tx1"/>
            </w14:solidFill>
          </w14:textFill>
        </w:rPr>
      </w:pPr>
      <w:r>
        <w:rPr>
          <w:color w:val="000000" w:themeColor="text1"/>
          <w14:textFill>
            <w14:solidFill>
              <w14:schemeClr w14:val="tx1"/>
            </w14:solidFill>
          </w14:textFill>
        </w:rPr>
        <w:t>引用反映现状的资料数据必须是有效数据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一般采用法定的检测检验机构或者通过省级或国家级计量认证的机构出具的数据。</w:t>
      </w:r>
    </w:p>
    <w:p>
      <w:pPr>
        <w:pStyle w:val="4"/>
        <w:ind w:firstLine="562"/>
        <w:rPr>
          <w:color w:val="000000" w:themeColor="text1"/>
          <w14:textFill>
            <w14:solidFill>
              <w14:schemeClr w14:val="tx1"/>
            </w14:solidFill>
          </w14:textFill>
        </w:rPr>
      </w:pPr>
      <w:bookmarkStart w:id="29" w:name="_Toc195176699"/>
      <w:bookmarkStart w:id="30" w:name="_Toc11041"/>
      <w:r>
        <w:rPr>
          <w:rFonts w:hint="eastAsia"/>
          <w:color w:val="000000" w:themeColor="text1"/>
          <w14:textFill>
            <w14:solidFill>
              <w14:schemeClr w14:val="tx1"/>
            </w14:solidFill>
          </w14:textFill>
        </w:rPr>
        <w:t>评价目的</w:t>
      </w:r>
      <w:bookmarkEnd w:id="29"/>
      <w:bookmarkEnd w:id="30"/>
    </w:p>
    <w:p>
      <w:pPr>
        <w:numPr>
          <w:ilvl w:val="0"/>
          <w:numId w:val="5"/>
        </w:numPr>
        <w:ind w:firstLine="560"/>
        <w:rPr>
          <w:color w:val="000000" w:themeColor="text1"/>
          <w14:textFill>
            <w14:solidFill>
              <w14:schemeClr w14:val="tx1"/>
            </w14:solidFill>
          </w14:textFill>
        </w:rPr>
      </w:pPr>
      <w:r>
        <w:rPr>
          <w:rFonts w:hint="eastAsia"/>
          <w:color w:val="000000" w:themeColor="text1"/>
          <w:kern w:val="0"/>
          <w:szCs w:val="28"/>
          <w14:textFill>
            <w14:solidFill>
              <w14:schemeClr w14:val="tx1"/>
            </w14:solidFill>
          </w14:textFill>
        </w:rPr>
        <w:t>安全生产工作坚持中国共产党的领导。为了贯彻落实以人为本，坚持人民至上、生命至上，把保护人民生命安全摆在首位，树牢安全发展理念，坚持</w:t>
      </w:r>
      <w:r>
        <w:rPr>
          <w:rFonts w:hint="eastAsia"/>
          <w:color w:val="000000" w:themeColor="text1"/>
          <w:kern w:val="0"/>
          <w:szCs w:val="28"/>
          <w:lang w:eastAsia="zh-CN"/>
          <w14:textFill>
            <w14:solidFill>
              <w14:schemeClr w14:val="tx1"/>
            </w14:solidFill>
          </w14:textFill>
        </w:rPr>
        <w:t>“</w:t>
      </w:r>
      <w:r>
        <w:rPr>
          <w:rFonts w:hint="eastAsia"/>
          <w:color w:val="000000" w:themeColor="text1"/>
          <w:kern w:val="0"/>
          <w:szCs w:val="28"/>
          <w14:textFill>
            <w14:solidFill>
              <w14:schemeClr w14:val="tx1"/>
            </w14:solidFill>
          </w14:textFill>
        </w:rPr>
        <w:t>安全第一、预防为主、综合治理</w:t>
      </w:r>
      <w:r>
        <w:rPr>
          <w:rFonts w:hint="eastAsia"/>
          <w:color w:val="000000" w:themeColor="text1"/>
          <w:kern w:val="0"/>
          <w:szCs w:val="28"/>
          <w:lang w:eastAsia="zh-CN"/>
          <w14:textFill>
            <w14:solidFill>
              <w14:schemeClr w14:val="tx1"/>
            </w14:solidFill>
          </w14:textFill>
        </w:rPr>
        <w:t>”</w:t>
      </w:r>
      <w:r>
        <w:rPr>
          <w:rFonts w:hint="eastAsia"/>
          <w:color w:val="000000" w:themeColor="text1"/>
          <w:kern w:val="0"/>
          <w:szCs w:val="28"/>
          <w14:textFill>
            <w14:solidFill>
              <w14:schemeClr w14:val="tx1"/>
            </w14:solidFill>
          </w14:textFill>
        </w:rPr>
        <w:t>的方针，从源头上防范化解重大安全风险；</w:t>
      </w:r>
    </w:p>
    <w:p>
      <w:pPr>
        <w:numPr>
          <w:ilvl w:val="0"/>
          <w:numId w:val="5"/>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查找、分析和预测成品油经营企业存在的危险、有害因素及危险、危害程度，提出合理可行的安全对策措施，指导危险源监控和事故预防；</w:t>
      </w:r>
    </w:p>
    <w:p>
      <w:pPr>
        <w:numPr>
          <w:ilvl w:val="0"/>
          <w:numId w:val="5"/>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对经营用设备、设施、仓储、管理机构和管理制度等进行评价，作为成品油经营企业持续改进、提高服务质量、保证安全经营的依据；</w:t>
      </w:r>
    </w:p>
    <w:p>
      <w:pPr>
        <w:numPr>
          <w:ilvl w:val="0"/>
          <w:numId w:val="5"/>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为经营运行及日常管理提供依据，为应急管理部门实行安全监察提供依据。</w:t>
      </w:r>
    </w:p>
    <w:p>
      <w:pPr>
        <w:pStyle w:val="4"/>
        <w:ind w:firstLine="562"/>
        <w:rPr>
          <w:color w:val="000000" w:themeColor="text1"/>
          <w14:textFill>
            <w14:solidFill>
              <w14:schemeClr w14:val="tx1"/>
            </w14:solidFill>
          </w14:textFill>
        </w:rPr>
      </w:pPr>
      <w:bookmarkStart w:id="31" w:name="_Toc195176700"/>
      <w:bookmarkStart w:id="32" w:name="_Toc30175"/>
      <w:r>
        <w:rPr>
          <w:rFonts w:hint="eastAsia"/>
          <w:color w:val="000000" w:themeColor="text1"/>
          <w14:textFill>
            <w14:solidFill>
              <w14:schemeClr w14:val="tx1"/>
            </w14:solidFill>
          </w14:textFill>
        </w:rPr>
        <w:t>评价原则</w:t>
      </w:r>
      <w:bookmarkEnd w:id="31"/>
      <w:bookmarkEnd w:id="32"/>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本着严肃的科学态度，认真负责的精神，强烈的责任感和事业心，全面、仔细、深入地开展和完成评价任务。在安全评价工作中始终遵循科学性、公正性、合法性和针对性原则。</w:t>
      </w:r>
    </w:p>
    <w:p>
      <w:pPr>
        <w:pStyle w:val="3"/>
        <w:rPr>
          <w:color w:val="000000" w:themeColor="text1"/>
          <w14:textFill>
            <w14:solidFill>
              <w14:schemeClr w14:val="tx1"/>
            </w14:solidFill>
          </w14:textFill>
        </w:rPr>
      </w:pPr>
      <w:bookmarkStart w:id="33" w:name="_Toc24374"/>
      <w:bookmarkStart w:id="34" w:name="_Toc195176701"/>
      <w:bookmarkStart w:id="35" w:name="_Toc258574823"/>
      <w:r>
        <w:rPr>
          <w:rFonts w:hint="eastAsia"/>
          <w:color w:val="000000" w:themeColor="text1"/>
          <w14:textFill>
            <w14:solidFill>
              <w14:schemeClr w14:val="tx1"/>
            </w14:solidFill>
          </w14:textFill>
        </w:rPr>
        <w:t>评价对象及范围</w:t>
      </w:r>
      <w:bookmarkEnd w:id="33"/>
      <w:bookmarkEnd w:id="34"/>
      <w:bookmarkEnd w:id="35"/>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根据加油站的实际情况，与委托单位协商确定本次安全现状评价的对象是</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，评价的范围为</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平面布置</w:t>
      </w:r>
      <w:r>
        <w:rPr>
          <w:rFonts w:hint="eastAsia"/>
          <w:color w:val="000000" w:themeColor="text1"/>
          <w14:textFill>
            <w14:solidFill>
              <w14:schemeClr w14:val="tx1"/>
            </w14:solidFill>
          </w14:textFill>
        </w:rPr>
        <w:t>、工艺及设备、安全设施、</w:t>
      </w:r>
      <w:r>
        <w:rPr>
          <w:color w:val="000000" w:themeColor="text1"/>
          <w14:textFill>
            <w14:solidFill>
              <w14:schemeClr w14:val="tx1"/>
            </w14:solidFill>
          </w14:textFill>
        </w:rPr>
        <w:t>公用工程及辅助设施</w:t>
      </w:r>
      <w:r>
        <w:rPr>
          <w:rFonts w:hint="eastAsia"/>
          <w:color w:val="000000" w:themeColor="text1"/>
          <w14:textFill>
            <w14:solidFill>
              <w14:schemeClr w14:val="tx1"/>
            </w14:solidFill>
          </w14:textFill>
        </w:rPr>
        <w:t>、安全管理</w:t>
      </w:r>
      <w:r>
        <w:rPr>
          <w:color w:val="000000" w:themeColor="text1"/>
          <w14:textFill>
            <w14:solidFill>
              <w14:schemeClr w14:val="tx1"/>
            </w14:solidFill>
          </w14:textFill>
        </w:rPr>
        <w:t>。</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站外油品运输不在本次评价范围内。</w:t>
      </w:r>
    </w:p>
    <w:p>
      <w:pPr>
        <w:pStyle w:val="3"/>
        <w:rPr>
          <w:color w:val="000000" w:themeColor="text1"/>
          <w14:textFill>
            <w14:solidFill>
              <w14:schemeClr w14:val="tx1"/>
            </w14:solidFill>
          </w14:textFill>
        </w:rPr>
      </w:pPr>
      <w:bookmarkStart w:id="36" w:name="_Toc21098"/>
      <w:bookmarkStart w:id="37" w:name="_Toc456527659"/>
      <w:r>
        <w:rPr>
          <w:rFonts w:hint="eastAsia"/>
          <w:color w:val="000000" w:themeColor="text1"/>
          <w14:textFill>
            <w14:solidFill>
              <w14:schemeClr w14:val="tx1"/>
            </w14:solidFill>
          </w14:textFill>
        </w:rPr>
        <w:t>评价依据</w:t>
      </w:r>
      <w:bookmarkEnd w:id="36"/>
      <w:bookmarkEnd w:id="37"/>
    </w:p>
    <w:p>
      <w:pPr>
        <w:pStyle w:val="4"/>
        <w:ind w:firstLine="562"/>
        <w:rPr>
          <w:color w:val="000000" w:themeColor="text1"/>
          <w14:textFill>
            <w14:solidFill>
              <w14:schemeClr w14:val="tx1"/>
            </w14:solidFill>
          </w14:textFill>
        </w:rPr>
      </w:pPr>
      <w:bookmarkStart w:id="38" w:name="_Toc1874"/>
      <w:bookmarkStart w:id="39" w:name="_Toc187780644"/>
      <w:bookmarkStart w:id="40" w:name="_Toc456527660"/>
      <w:bookmarkStart w:id="41" w:name="_Toc28299808"/>
      <w:bookmarkStart w:id="42" w:name="_Toc195176702"/>
      <w:bookmarkStart w:id="43" w:name="_Toc258574824"/>
      <w:r>
        <w:rPr>
          <w:color w:val="000000" w:themeColor="text1"/>
          <w14:textFill>
            <w14:solidFill>
              <w14:schemeClr w14:val="tx1"/>
            </w14:solidFill>
          </w14:textFill>
        </w:rPr>
        <w:t>国家法律</w:t>
      </w:r>
      <w:bookmarkEnd w:id="38"/>
      <w:bookmarkEnd w:id="39"/>
      <w:bookmarkEnd w:id="40"/>
      <w:bookmarkEnd w:id="41"/>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《中华人民共和国安全生产法》（中华人民共和国主席令第88号，2021年9月1日起施行）；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《中华人民共和国劳动法》（中华人民共和国主席令第</w:t>
      </w:r>
      <w:r>
        <w:rPr>
          <w:rFonts w:ascii="新宋体" w:hAnsi="新宋体" w:eastAsia="新宋体"/>
          <w:color w:val="000000" w:themeColor="text1"/>
          <w14:textFill>
            <w14:solidFill>
              <w14:schemeClr w14:val="tx1"/>
            </w14:solidFill>
          </w14:textFill>
        </w:rPr>
        <w:t>28</w:t>
      </w:r>
      <w:r>
        <w:rPr>
          <w:rFonts w:hint="eastAsia" w:ascii="新宋体" w:hAnsi="新宋体" w:eastAsia="新宋体"/>
          <w:color w:val="000000" w:themeColor="text1"/>
          <w14:textFill>
            <w14:solidFill>
              <w14:schemeClr w14:val="tx1"/>
            </w14:solidFill>
          </w14:textFill>
        </w:rPr>
        <w:t>号令，第</w:t>
      </w:r>
      <w:r>
        <w:rPr>
          <w:rFonts w:ascii="新宋体" w:hAnsi="新宋体" w:eastAsia="新宋体"/>
          <w:color w:val="000000" w:themeColor="text1"/>
          <w14:textFill>
            <w14:solidFill>
              <w14:schemeClr w14:val="tx1"/>
            </w14:solidFill>
          </w14:textFill>
        </w:rPr>
        <w:t>24</w:t>
      </w:r>
      <w:r>
        <w:rPr>
          <w:rFonts w:hint="eastAsia" w:ascii="新宋体" w:hAnsi="新宋体" w:eastAsia="新宋体"/>
          <w:color w:val="000000" w:themeColor="text1"/>
          <w14:textFill>
            <w14:solidFill>
              <w14:schemeClr w14:val="tx1"/>
            </w14:solidFill>
          </w14:textFill>
        </w:rPr>
        <w:t>号令修订，20</w:t>
      </w:r>
      <w:r>
        <w:rPr>
          <w:rFonts w:ascii="新宋体" w:hAnsi="新宋体" w:eastAsia="新宋体"/>
          <w:color w:val="000000" w:themeColor="text1"/>
          <w14:textFill>
            <w14:solidFill>
              <w14:schemeClr w14:val="tx1"/>
            </w14:solidFill>
          </w14:textFill>
        </w:rPr>
        <w:t>18</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12</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29</w:t>
      </w:r>
      <w:r>
        <w:rPr>
          <w:rFonts w:hint="eastAsia" w:ascii="新宋体" w:hAnsi="新宋体" w:eastAsia="新宋体"/>
          <w:color w:val="000000" w:themeColor="text1"/>
          <w14:textFill>
            <w14:solidFill>
              <w14:schemeClr w14:val="tx1"/>
            </w14:solidFill>
          </w14:textFill>
        </w:rPr>
        <w:t>日施行）；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《中华人民共和国消防法》（中华人民共和国主席令第81号修正，2021年</w:t>
      </w:r>
      <w:r>
        <w:rPr>
          <w:rFonts w:ascii="新宋体" w:hAnsi="新宋体" w:eastAsia="新宋体"/>
          <w:color w:val="000000" w:themeColor="text1"/>
          <w14:textFill>
            <w14:solidFill>
              <w14:schemeClr w14:val="tx1"/>
            </w14:solidFill>
          </w14:textFill>
        </w:rPr>
        <w:t>4</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2</w:t>
      </w:r>
      <w:r>
        <w:rPr>
          <w:rFonts w:hint="eastAsia" w:ascii="新宋体" w:hAnsi="新宋体" w:eastAsia="新宋体"/>
          <w:color w:val="000000" w:themeColor="text1"/>
          <w14:textFill>
            <w14:solidFill>
              <w14:schemeClr w14:val="tx1"/>
            </w14:solidFill>
          </w14:textFill>
        </w:rPr>
        <w:t>9日施行）；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《中华人民共和国职业病防治法》（中华人民共和国主席令第</w:t>
      </w:r>
      <w:r>
        <w:rPr>
          <w:rFonts w:ascii="新宋体" w:hAnsi="新宋体" w:eastAsia="新宋体"/>
          <w:color w:val="000000" w:themeColor="text1"/>
          <w14:textFill>
            <w14:solidFill>
              <w14:schemeClr w14:val="tx1"/>
            </w14:solidFill>
          </w14:textFill>
        </w:rPr>
        <w:t>48</w:t>
      </w:r>
      <w:r>
        <w:rPr>
          <w:rFonts w:hint="eastAsia" w:ascii="新宋体" w:hAnsi="新宋体" w:eastAsia="新宋体"/>
          <w:color w:val="000000" w:themeColor="text1"/>
          <w14:textFill>
            <w14:solidFill>
              <w14:schemeClr w14:val="tx1"/>
            </w14:solidFill>
          </w14:textFill>
        </w:rPr>
        <w:t>号令，第</w:t>
      </w:r>
      <w:r>
        <w:rPr>
          <w:rFonts w:ascii="新宋体" w:hAnsi="新宋体" w:eastAsia="新宋体"/>
          <w:color w:val="000000" w:themeColor="text1"/>
          <w14:textFill>
            <w14:solidFill>
              <w14:schemeClr w14:val="tx1"/>
            </w14:solidFill>
          </w14:textFill>
        </w:rPr>
        <w:t>24</w:t>
      </w:r>
      <w:r>
        <w:rPr>
          <w:rFonts w:hint="eastAsia" w:ascii="新宋体" w:hAnsi="新宋体" w:eastAsia="新宋体"/>
          <w:color w:val="000000" w:themeColor="text1"/>
          <w14:textFill>
            <w14:solidFill>
              <w14:schemeClr w14:val="tx1"/>
            </w14:solidFill>
          </w14:textFill>
        </w:rPr>
        <w:t>号令修订，20</w:t>
      </w:r>
      <w:r>
        <w:rPr>
          <w:rFonts w:ascii="新宋体" w:hAnsi="新宋体" w:eastAsia="新宋体"/>
          <w:color w:val="000000" w:themeColor="text1"/>
          <w14:textFill>
            <w14:solidFill>
              <w14:schemeClr w14:val="tx1"/>
            </w14:solidFill>
          </w14:textFill>
        </w:rPr>
        <w:t>18</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12</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29</w:t>
      </w:r>
      <w:r>
        <w:rPr>
          <w:rFonts w:hint="eastAsia" w:ascii="新宋体" w:hAnsi="新宋体" w:eastAsia="新宋体"/>
          <w:color w:val="000000" w:themeColor="text1"/>
          <w14:textFill>
            <w14:solidFill>
              <w14:schemeClr w14:val="tx1"/>
            </w14:solidFill>
          </w14:textFill>
        </w:rPr>
        <w:t>日施行）；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《中华人民共和国突发事件应对法》（中华人民共和国主席令第69号，2007</w:t>
      </w:r>
      <w:r>
        <w:rPr>
          <w:rFonts w:ascii="新宋体" w:hAnsi="新宋体" w:eastAsia="新宋体"/>
          <w:color w:val="000000" w:themeColor="text1"/>
          <w14:textFill>
            <w14:solidFill>
              <w14:schemeClr w14:val="tx1"/>
            </w14:solidFill>
          </w14:textFill>
        </w:rPr>
        <w:t>年</w:t>
      </w:r>
      <w:r>
        <w:rPr>
          <w:rFonts w:hint="eastAsia" w:ascii="新宋体" w:hAnsi="新宋体" w:eastAsia="新宋体"/>
          <w:color w:val="000000" w:themeColor="text1"/>
          <w14:textFill>
            <w14:solidFill>
              <w14:schemeClr w14:val="tx1"/>
            </w14:solidFill>
          </w14:textFill>
        </w:rPr>
        <w:t>11</w:t>
      </w:r>
      <w:r>
        <w:rPr>
          <w:rFonts w:ascii="新宋体" w:hAnsi="新宋体" w:eastAsia="新宋体"/>
          <w:color w:val="000000" w:themeColor="text1"/>
          <w14:textFill>
            <w14:solidFill>
              <w14:schemeClr w14:val="tx1"/>
            </w14:solidFill>
          </w14:textFill>
        </w:rPr>
        <w:t>月</w:t>
      </w:r>
      <w:r>
        <w:rPr>
          <w:rFonts w:hint="eastAsia" w:ascii="新宋体" w:hAnsi="新宋体" w:eastAsia="新宋体"/>
          <w:color w:val="000000" w:themeColor="text1"/>
          <w14:textFill>
            <w14:solidFill>
              <w14:schemeClr w14:val="tx1"/>
            </w14:solidFill>
          </w14:textFill>
        </w:rPr>
        <w:t>1</w:t>
      </w:r>
      <w:r>
        <w:rPr>
          <w:rFonts w:ascii="新宋体" w:hAnsi="新宋体" w:eastAsia="新宋体"/>
          <w:color w:val="000000" w:themeColor="text1"/>
          <w14:textFill>
            <w14:solidFill>
              <w14:schemeClr w14:val="tx1"/>
            </w14:solidFill>
          </w14:textFill>
        </w:rPr>
        <w:t>日起施行</w:t>
      </w:r>
      <w:r>
        <w:rPr>
          <w:rFonts w:hint="eastAsia" w:ascii="新宋体" w:hAnsi="新宋体" w:eastAsia="新宋体"/>
          <w:color w:val="000000" w:themeColor="text1"/>
          <w14:textFill>
            <w14:solidFill>
              <w14:schemeClr w14:val="tx1"/>
            </w14:solidFill>
          </w14:textFill>
        </w:rPr>
        <w:t>）；</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《中华人民共和国民法典》（中华人民共和国主席令第45号，自2021年1月1日起施行）；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《中华人民共和国环境保护法》（中华人民共和国主席令[2014]第9号，2015年1月1日施行）；</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ascii="新宋体" w:hAnsi="新宋体" w:eastAsia="新宋体"/>
          <w:color w:val="000000" w:themeColor="text1"/>
          <w14:textFill>
            <w14:solidFill>
              <w14:schemeClr w14:val="tx1"/>
            </w14:solidFill>
          </w14:textFill>
        </w:rPr>
        <w:t>《中华人民共和国水污染防治法》（中华人民共和国主席令第70号修改</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 xml:space="preserve"> 2018年1月1日起施行）</w:t>
      </w:r>
      <w:r>
        <w:rPr>
          <w:rFonts w:hint="eastAsia" w:ascii="新宋体" w:hAnsi="新宋体" w:eastAsia="新宋体"/>
          <w:color w:val="000000" w:themeColor="text1"/>
          <w14:textFill>
            <w14:solidFill>
              <w14:schemeClr w14:val="tx1"/>
            </w14:solidFill>
          </w14:textFill>
        </w:rPr>
        <w:t>；</w:t>
      </w:r>
    </w:p>
    <w:p>
      <w:pPr>
        <w:numPr>
          <w:ilvl w:val="0"/>
          <w:numId w:val="6"/>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《中华人民共和国反恐怖主义法》（中华人民共和国主席令第36号，2016年1月1日起施行）。</w:t>
      </w:r>
    </w:p>
    <w:p>
      <w:pPr>
        <w:pStyle w:val="4"/>
        <w:ind w:firstLine="562"/>
        <w:rPr>
          <w:color w:val="000000" w:themeColor="text1"/>
          <w14:textFill>
            <w14:solidFill>
              <w14:schemeClr w14:val="tx1"/>
            </w14:solidFill>
          </w14:textFill>
        </w:rPr>
      </w:pPr>
      <w:bookmarkStart w:id="44" w:name="_Toc10367"/>
      <w:r>
        <w:rPr>
          <w:rFonts w:hint="eastAsia"/>
          <w:color w:val="000000" w:themeColor="text1"/>
          <w14:textFill>
            <w14:solidFill>
              <w14:schemeClr w14:val="tx1"/>
            </w14:solidFill>
          </w14:textFill>
        </w:rPr>
        <w:t>行政法规</w:t>
      </w:r>
      <w:bookmarkEnd w:id="44"/>
    </w:p>
    <w:p>
      <w:pPr>
        <w:numPr>
          <w:ilvl w:val="0"/>
          <w:numId w:val="7"/>
        </w:numPr>
        <w:tabs>
          <w:tab w:val="left" w:pos="993"/>
        </w:tabs>
        <w:ind w:left="0" w:firstLine="560"/>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《危险化学品安全管理条例》（国务院令第</w:t>
      </w:r>
      <w:r>
        <w:rPr>
          <w:rFonts w:ascii="新宋体" w:hAnsi="新宋体" w:eastAsia="新宋体"/>
          <w:color w:val="000000" w:themeColor="text1"/>
          <w14:textFill>
            <w14:solidFill>
              <w14:schemeClr w14:val="tx1"/>
            </w14:solidFill>
          </w14:textFill>
        </w:rPr>
        <w:t>591</w:t>
      </w:r>
      <w:r>
        <w:rPr>
          <w:rFonts w:hint="eastAsia" w:ascii="新宋体" w:hAnsi="新宋体" w:eastAsia="新宋体"/>
          <w:color w:val="000000" w:themeColor="text1"/>
          <w14:textFill>
            <w14:solidFill>
              <w14:schemeClr w14:val="tx1"/>
            </w14:solidFill>
          </w14:textFill>
        </w:rPr>
        <w:t>号发布，国务院令第645号修订，2013年12月7日施行）；</w:t>
      </w:r>
    </w:p>
    <w:p>
      <w:pPr>
        <w:numPr>
          <w:ilvl w:val="0"/>
          <w:numId w:val="7"/>
        </w:numPr>
        <w:tabs>
          <w:tab w:val="left" w:pos="993"/>
        </w:tabs>
        <w:ind w:left="0" w:firstLine="560"/>
        <w:rPr>
          <w:rFonts w:ascii="新宋体" w:hAnsi="新宋体" w:eastAsia="新宋体"/>
          <w:color w:val="000000" w:themeColor="text1"/>
          <w14:textFill>
            <w14:solidFill>
              <w14:schemeClr w14:val="tx1"/>
            </w14:solidFill>
          </w14:textFill>
        </w:rPr>
      </w:pPr>
      <w:r>
        <w:rPr>
          <w:rFonts w:hint="eastAsia"/>
          <w:color w:val="000000" w:themeColor="text1"/>
          <w14:textFill>
            <w14:solidFill>
              <w14:schemeClr w14:val="tx1"/>
            </w14:solidFill>
          </w14:textFill>
        </w:rPr>
        <w:t>《生产安全事故应急条例》（国务院第7</w:t>
      </w:r>
      <w:r>
        <w:rPr>
          <w:color w:val="000000" w:themeColor="text1"/>
          <w14:textFill>
            <w14:solidFill>
              <w14:schemeClr w14:val="tx1"/>
            </w14:solidFill>
          </w14:textFill>
        </w:rPr>
        <w:t>08</w:t>
      </w:r>
      <w:r>
        <w:rPr>
          <w:rFonts w:hint="eastAsia"/>
          <w:color w:val="000000" w:themeColor="text1"/>
          <w14:textFill>
            <w14:solidFill>
              <w14:schemeClr w14:val="tx1"/>
            </w14:solidFill>
          </w14:textFill>
        </w:rPr>
        <w:t>号令，2</w:t>
      </w:r>
      <w:r>
        <w:rPr>
          <w:color w:val="000000" w:themeColor="text1"/>
          <w14:textFill>
            <w14:solidFill>
              <w14:schemeClr w14:val="tx1"/>
            </w14:solidFill>
          </w14:textFill>
        </w:rPr>
        <w:t>019</w:t>
      </w:r>
      <w:r>
        <w:rPr>
          <w:rFonts w:hint="eastAsia"/>
          <w:color w:val="000000" w:themeColor="text1"/>
          <w14:textFill>
            <w14:solidFill>
              <w14:schemeClr w14:val="tx1"/>
            </w14:solidFill>
          </w14:textFill>
        </w:rPr>
        <w:t>年4月1日起施行）；</w:t>
      </w:r>
    </w:p>
    <w:p>
      <w:pPr>
        <w:numPr>
          <w:ilvl w:val="0"/>
          <w:numId w:val="7"/>
        </w:numPr>
        <w:tabs>
          <w:tab w:val="left" w:pos="993"/>
        </w:tabs>
        <w:ind w:left="0" w:firstLine="560"/>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《工伤保险条例》（国务院令第586号，2011年1月1日施行）</w:t>
      </w:r>
      <w:r>
        <w:rPr>
          <w:rFonts w:hint="eastAsia"/>
          <w:color w:val="000000" w:themeColor="text1"/>
          <w14:textFill>
            <w14:solidFill>
              <w14:schemeClr w14:val="tx1"/>
            </w14:solidFill>
          </w14:textFill>
        </w:rPr>
        <w:t>。</w:t>
      </w:r>
    </w:p>
    <w:p>
      <w:pPr>
        <w:pStyle w:val="4"/>
        <w:ind w:firstLine="560" w:firstLineChars="200"/>
        <w:jc w:val="both"/>
        <w:rPr>
          <w:color w:val="000000" w:themeColor="text1"/>
          <w14:textFill>
            <w14:solidFill>
              <w14:schemeClr w14:val="tx1"/>
            </w14:solidFill>
          </w14:textFill>
        </w:rPr>
      </w:pPr>
      <w:bookmarkStart w:id="45" w:name="_Toc764"/>
      <w:bookmarkStart w:id="46" w:name="_Toc28299809"/>
      <w:bookmarkStart w:id="47" w:name="_Toc456527661"/>
      <w:r>
        <w:rPr>
          <w:rFonts w:hint="eastAsia"/>
          <w:color w:val="000000" w:themeColor="text1"/>
          <w14:textFill>
            <w14:solidFill>
              <w14:schemeClr w14:val="tx1"/>
            </w14:solidFill>
          </w14:textFill>
        </w:rPr>
        <w:t>部门规章及规范性文件</w:t>
      </w:r>
      <w:bookmarkEnd w:id="45"/>
      <w:bookmarkEnd w:id="46"/>
      <w:bookmarkEnd w:id="47"/>
    </w:p>
    <w:p>
      <w:pPr>
        <w:numPr>
          <w:ilvl w:val="0"/>
          <w:numId w:val="8"/>
        </w:numPr>
        <w:tabs>
          <w:tab w:val="left" w:pos="993"/>
        </w:tabs>
        <w:ind w:left="0" w:firstLine="467" w:firstLineChars="167"/>
        <w:rPr>
          <w:rFonts w:ascii="新宋体" w:hAnsi="新宋体" w:eastAsia="新宋体"/>
          <w:color w:val="000000" w:themeColor="text1"/>
          <w14:textFill>
            <w14:solidFill>
              <w14:schemeClr w14:val="tx1"/>
            </w14:solidFill>
          </w14:textFill>
        </w:rPr>
      </w:pPr>
      <w:bookmarkStart w:id="48" w:name="_Toc187780645"/>
      <w:bookmarkStart w:id="49" w:name="_Toc109564940"/>
      <w:bookmarkStart w:id="50" w:name="_Toc108697371"/>
      <w:bookmarkStart w:id="51" w:name="_Toc151881372"/>
      <w:bookmarkStart w:id="52" w:name="_Toc109559447"/>
      <w:bookmarkStart w:id="53" w:name="_Toc109564195"/>
      <w:bookmarkStart w:id="54" w:name="_Toc134710963"/>
      <w:bookmarkStart w:id="55" w:name="_Toc109564558"/>
      <w:bookmarkStart w:id="56" w:name="_Toc187699875"/>
      <w:bookmarkStart w:id="57" w:name="_Toc135136997"/>
      <w:bookmarkStart w:id="58" w:name="_Toc134875860"/>
      <w:r>
        <w:rPr>
          <w:rFonts w:hint="eastAsia" w:ascii="新宋体" w:hAnsi="新宋体" w:eastAsia="新宋体"/>
          <w:color w:val="000000" w:themeColor="text1"/>
          <w14:textFill>
            <w14:solidFill>
              <w14:schemeClr w14:val="tx1"/>
            </w14:solidFill>
          </w14:textFill>
        </w:rPr>
        <w:t>《危险化学品经营许可证管理办法》（国家安全生产监督管理总局令第55号令，79号令修改，2</w:t>
      </w:r>
      <w:r>
        <w:rPr>
          <w:rFonts w:ascii="新宋体" w:hAnsi="新宋体" w:eastAsia="新宋体"/>
          <w:color w:val="000000" w:themeColor="text1"/>
          <w14:textFill>
            <w14:solidFill>
              <w14:schemeClr w14:val="tx1"/>
            </w14:solidFill>
          </w14:textFill>
        </w:rPr>
        <w:t>015</w:t>
      </w:r>
      <w:r>
        <w:rPr>
          <w:rFonts w:hint="eastAsia" w:ascii="新宋体" w:hAnsi="新宋体" w:eastAsia="新宋体"/>
          <w:color w:val="000000" w:themeColor="text1"/>
          <w14:textFill>
            <w14:solidFill>
              <w14:schemeClr w14:val="tx1"/>
            </w14:solidFill>
          </w14:textFill>
        </w:rPr>
        <w:t>年7月1日起施行）；</w:t>
      </w:r>
    </w:p>
    <w:p>
      <w:pPr>
        <w:numPr>
          <w:ilvl w:val="0"/>
          <w:numId w:val="8"/>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《建设项目安全设施“三同时”监督管理暂行办法》（</w:t>
      </w:r>
      <w:r>
        <w:rPr>
          <w:rFonts w:ascii="新宋体" w:hAnsi="新宋体" w:eastAsia="新宋体"/>
          <w:color w:val="000000" w:themeColor="text1"/>
          <w14:textFill>
            <w14:solidFill>
              <w14:schemeClr w14:val="tx1"/>
            </w14:solidFill>
          </w14:textFill>
        </w:rPr>
        <w:t>2010</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12</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14</w:t>
      </w:r>
      <w:r>
        <w:rPr>
          <w:rFonts w:hint="eastAsia" w:ascii="新宋体" w:hAnsi="新宋体" w:eastAsia="新宋体"/>
          <w:color w:val="000000" w:themeColor="text1"/>
          <w14:textFill>
            <w14:solidFill>
              <w14:schemeClr w14:val="tx1"/>
            </w14:solidFill>
          </w14:textFill>
        </w:rPr>
        <w:t>日国家安全监管总局令第3</w:t>
      </w:r>
      <w:r>
        <w:rPr>
          <w:rFonts w:ascii="新宋体" w:hAnsi="新宋体" w:eastAsia="新宋体"/>
          <w:color w:val="000000" w:themeColor="text1"/>
          <w14:textFill>
            <w14:solidFill>
              <w14:schemeClr w14:val="tx1"/>
            </w14:solidFill>
          </w14:textFill>
        </w:rPr>
        <w:t>6</w:t>
      </w:r>
      <w:r>
        <w:rPr>
          <w:rFonts w:hint="eastAsia" w:ascii="新宋体" w:hAnsi="新宋体" w:eastAsia="新宋体"/>
          <w:color w:val="000000" w:themeColor="text1"/>
          <w14:textFill>
            <w14:solidFill>
              <w14:schemeClr w14:val="tx1"/>
            </w14:solidFill>
          </w14:textFill>
        </w:rPr>
        <w:t>号公布，根据</w:t>
      </w:r>
      <w:r>
        <w:rPr>
          <w:rFonts w:ascii="新宋体" w:hAnsi="新宋体" w:eastAsia="新宋体"/>
          <w:color w:val="000000" w:themeColor="text1"/>
          <w14:textFill>
            <w14:solidFill>
              <w14:schemeClr w14:val="tx1"/>
            </w14:solidFill>
          </w14:textFill>
        </w:rPr>
        <w:t>2015</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4</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2</w:t>
      </w:r>
      <w:r>
        <w:rPr>
          <w:rFonts w:hint="eastAsia" w:ascii="新宋体" w:hAnsi="新宋体" w:eastAsia="新宋体"/>
          <w:color w:val="000000" w:themeColor="text1"/>
          <w14:textFill>
            <w14:solidFill>
              <w14:schemeClr w14:val="tx1"/>
            </w14:solidFill>
          </w14:textFill>
        </w:rPr>
        <w:t>日国家安全监管总局令第</w:t>
      </w:r>
      <w:r>
        <w:rPr>
          <w:rFonts w:ascii="新宋体" w:hAnsi="新宋体" w:eastAsia="新宋体"/>
          <w:color w:val="000000" w:themeColor="text1"/>
          <w14:textFill>
            <w14:solidFill>
              <w14:schemeClr w14:val="tx1"/>
            </w14:solidFill>
          </w14:textFill>
        </w:rPr>
        <w:t>77</w:t>
      </w:r>
      <w:r>
        <w:rPr>
          <w:rFonts w:hint="eastAsia" w:ascii="新宋体" w:hAnsi="新宋体" w:eastAsia="新宋体"/>
          <w:color w:val="000000" w:themeColor="text1"/>
          <w14:textFill>
            <w14:solidFill>
              <w14:schemeClr w14:val="tx1"/>
            </w14:solidFill>
          </w14:textFill>
        </w:rPr>
        <w:t>号修正）；</w:t>
      </w:r>
    </w:p>
    <w:p>
      <w:pPr>
        <w:numPr>
          <w:ilvl w:val="0"/>
          <w:numId w:val="8"/>
        </w:numPr>
        <w:tabs>
          <w:tab w:val="left" w:pos="993"/>
        </w:tabs>
        <w:ind w:left="0" w:firstLine="467" w:firstLineChars="167"/>
        <w:rPr>
          <w:rFonts w:ascii="新宋体" w:hAnsi="新宋体" w:eastAsia="新宋体"/>
          <w:color w:val="000000" w:themeColor="text1"/>
          <w:szCs w:val="22"/>
          <w14:textFill>
            <w14:solidFill>
              <w14:schemeClr w14:val="tx1"/>
            </w14:solidFill>
          </w14:textFill>
        </w:rPr>
      </w:pPr>
      <w:r>
        <w:rPr>
          <w:rFonts w:hint="eastAsia" w:ascii="新宋体" w:hAnsi="新宋体" w:eastAsia="新宋体"/>
          <w:color w:val="000000" w:themeColor="text1"/>
          <w:szCs w:val="22"/>
          <w14:textFill>
            <w14:solidFill>
              <w14:schemeClr w14:val="tx1"/>
            </w14:solidFill>
          </w14:textFill>
        </w:rPr>
        <w:t>《化工和危险化学品生产经营单位重大生产安全事故隐患判定标准（试行）》（安监总管三〔2017〕121号）；</w:t>
      </w:r>
    </w:p>
    <w:p>
      <w:pPr>
        <w:numPr>
          <w:ilvl w:val="0"/>
          <w:numId w:val="8"/>
        </w:numPr>
        <w:tabs>
          <w:tab w:val="left" w:pos="993"/>
        </w:tabs>
        <w:ind w:left="0" w:firstLine="467" w:firstLineChars="167"/>
        <w:rPr>
          <w:rFonts w:ascii="新宋体" w:hAnsi="新宋体" w:eastAsia="新宋体"/>
          <w:color w:val="000000" w:themeColor="text1"/>
          <w:szCs w:val="22"/>
          <w14:textFill>
            <w14:solidFill>
              <w14:schemeClr w14:val="tx1"/>
            </w14:solidFill>
          </w14:textFill>
        </w:rPr>
      </w:pPr>
      <w:r>
        <w:rPr>
          <w:rFonts w:hint="eastAsia" w:ascii="新宋体" w:hAnsi="新宋体" w:eastAsia="新宋体"/>
          <w:color w:val="000000" w:themeColor="text1"/>
          <w:szCs w:val="22"/>
          <w14:textFill>
            <w14:solidFill>
              <w14:schemeClr w14:val="tx1"/>
            </w14:solidFill>
          </w14:textFill>
        </w:rPr>
        <w:t>《生产安全事故应急预案管理办法》（国家安全生产监督管理总局令第88号，应急管理部2号令修订，2019年9月1日起施行）；</w:t>
      </w:r>
    </w:p>
    <w:p>
      <w:pPr>
        <w:numPr>
          <w:ilvl w:val="0"/>
          <w:numId w:val="8"/>
        </w:numPr>
        <w:tabs>
          <w:tab w:val="left" w:pos="993"/>
        </w:tabs>
        <w:ind w:left="0" w:firstLine="467" w:firstLineChars="167"/>
        <w:rPr>
          <w:rFonts w:ascii="新宋体" w:hAnsi="新宋体" w:eastAsia="新宋体"/>
          <w:color w:val="000000" w:themeColor="text1"/>
          <w:szCs w:val="22"/>
          <w14:textFill>
            <w14:solidFill>
              <w14:schemeClr w14:val="tx1"/>
            </w14:solidFill>
          </w14:textFill>
        </w:rPr>
      </w:pPr>
      <w:r>
        <w:rPr>
          <w:rFonts w:hint="eastAsia" w:ascii="新宋体" w:hAnsi="新宋体" w:eastAsia="新宋体"/>
          <w:color w:val="000000" w:themeColor="text1"/>
          <w:szCs w:val="22"/>
          <w14:textFill>
            <w14:solidFill>
              <w14:schemeClr w14:val="tx1"/>
            </w14:solidFill>
          </w14:textFill>
        </w:rPr>
        <w:t>《危险化学品建设项目安全监督管理办法》（国家安全生产监督管理总局令第45号，79号令修改，2015年7月1日起施行）；</w:t>
      </w:r>
    </w:p>
    <w:p>
      <w:pPr>
        <w:numPr>
          <w:ilvl w:val="0"/>
          <w:numId w:val="8"/>
        </w:numPr>
        <w:tabs>
          <w:tab w:val="left" w:pos="993"/>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《国家安全监管总局关于修改〈生产经营单位安全培训规定〉等</w:t>
      </w:r>
      <w:r>
        <w:rPr>
          <w:rFonts w:ascii="新宋体" w:hAnsi="新宋体" w:eastAsia="新宋体"/>
          <w:color w:val="000000" w:themeColor="text1"/>
          <w14:textFill>
            <w14:solidFill>
              <w14:schemeClr w14:val="tx1"/>
            </w14:solidFill>
          </w14:textFill>
        </w:rPr>
        <w:t>11</w:t>
      </w:r>
      <w:r>
        <w:rPr>
          <w:rFonts w:hint="eastAsia" w:ascii="新宋体" w:hAnsi="新宋体" w:eastAsia="新宋体"/>
          <w:color w:val="000000" w:themeColor="text1"/>
          <w14:textFill>
            <w14:solidFill>
              <w14:schemeClr w14:val="tx1"/>
            </w14:solidFill>
          </w14:textFill>
        </w:rPr>
        <w:t>件规章的决定》（国家安全生产监督管理总局令第63号令，</w:t>
      </w:r>
      <w:r>
        <w:rPr>
          <w:rFonts w:ascii="新宋体" w:hAnsi="新宋体" w:eastAsia="新宋体"/>
          <w:color w:val="000000" w:themeColor="text1"/>
          <w14:textFill>
            <w14:solidFill>
              <w14:schemeClr w14:val="tx1"/>
            </w14:solidFill>
          </w14:textFill>
        </w:rPr>
        <w:t>2013</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8</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29</w:t>
      </w:r>
      <w:r>
        <w:rPr>
          <w:rFonts w:hint="eastAsia" w:ascii="新宋体" w:hAnsi="新宋体" w:eastAsia="新宋体"/>
          <w:color w:val="000000" w:themeColor="text1"/>
          <w14:textFill>
            <w14:solidFill>
              <w14:schemeClr w14:val="tx1"/>
            </w14:solidFill>
          </w14:textFill>
        </w:rPr>
        <w:t>日起施行）；</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《国家安全监管总局关于修改</w:t>
      </w:r>
      <w:r>
        <w:rPr>
          <w:rFonts w:ascii="新宋体" w:hAnsi="新宋体" w:eastAsia="新宋体"/>
          <w:color w:val="000000" w:themeColor="text1"/>
          <w14:textFill>
            <w14:solidFill>
              <w14:schemeClr w14:val="tx1"/>
            </w14:solidFill>
          </w14:textFill>
        </w:rPr>
        <w:t>&lt;</w:t>
      </w:r>
      <w:r>
        <w:rPr>
          <w:rFonts w:hint="eastAsia" w:ascii="新宋体" w:hAnsi="新宋体" w:eastAsia="新宋体"/>
          <w:color w:val="000000" w:themeColor="text1"/>
          <w14:textFill>
            <w14:solidFill>
              <w14:schemeClr w14:val="tx1"/>
            </w14:solidFill>
          </w14:textFill>
        </w:rPr>
        <w:t>生产安全事故报告和调查处理条例</w:t>
      </w:r>
      <w:r>
        <w:rPr>
          <w:rFonts w:ascii="新宋体" w:hAnsi="新宋体" w:eastAsia="新宋体"/>
          <w:color w:val="000000" w:themeColor="text1"/>
          <w14:textFill>
            <w14:solidFill>
              <w14:schemeClr w14:val="tx1"/>
            </w14:solidFill>
          </w14:textFill>
        </w:rPr>
        <w:t>&gt;</w:t>
      </w:r>
      <w:r>
        <w:rPr>
          <w:rFonts w:hint="eastAsia" w:ascii="新宋体" w:hAnsi="新宋体" w:eastAsia="新宋体"/>
          <w:color w:val="000000" w:themeColor="text1"/>
          <w14:textFill>
            <w14:solidFill>
              <w14:schemeClr w14:val="tx1"/>
            </w14:solidFill>
          </w14:textFill>
        </w:rPr>
        <w:t>罚款处罚暂行规定等四部规章的决定》（国家安全生产监督管理总局令第77号令，</w:t>
      </w:r>
      <w:r>
        <w:rPr>
          <w:rFonts w:ascii="新宋体" w:hAnsi="新宋体" w:eastAsia="新宋体"/>
          <w:color w:val="000000" w:themeColor="text1"/>
          <w14:textFill>
            <w14:solidFill>
              <w14:schemeClr w14:val="tx1"/>
            </w14:solidFill>
          </w14:textFill>
        </w:rPr>
        <w:t>2015</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5</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1</w:t>
      </w:r>
      <w:r>
        <w:rPr>
          <w:rFonts w:hint="eastAsia" w:ascii="新宋体" w:hAnsi="新宋体" w:eastAsia="新宋体"/>
          <w:color w:val="000000" w:themeColor="text1"/>
          <w14:textFill>
            <w14:solidFill>
              <w14:schemeClr w14:val="tx1"/>
            </w14:solidFill>
          </w14:textFill>
        </w:rPr>
        <w:t>日起施行）；</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《国家安全监管总局关于废止和修改危险化学品等领域七部规章的决定》（国家安全生产监督管理总局令第79号令，2</w:t>
      </w:r>
      <w:r>
        <w:rPr>
          <w:rFonts w:ascii="新宋体" w:hAnsi="新宋体" w:eastAsia="新宋体"/>
          <w:color w:val="000000" w:themeColor="text1"/>
          <w14:textFill>
            <w14:solidFill>
              <w14:schemeClr w14:val="tx1"/>
            </w14:solidFill>
          </w14:textFill>
        </w:rPr>
        <w:t>015</w:t>
      </w:r>
      <w:r>
        <w:rPr>
          <w:rFonts w:hint="eastAsia" w:ascii="新宋体" w:hAnsi="新宋体" w:eastAsia="新宋体"/>
          <w:color w:val="000000" w:themeColor="text1"/>
          <w14:textFill>
            <w14:solidFill>
              <w14:schemeClr w14:val="tx1"/>
            </w14:solidFill>
          </w14:textFill>
        </w:rPr>
        <w:t>年7月1日起施行）；</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kern w:val="0"/>
          <w14:textFill>
            <w14:solidFill>
              <w14:schemeClr w14:val="tx1"/>
            </w14:solidFill>
          </w14:textFill>
        </w:rPr>
        <w:t>《国家安全监管总局关于废止和修改劳动防护用品和安全培训等领域十部规章的决定》</w:t>
      </w:r>
      <w:r>
        <w:rPr>
          <w:rFonts w:hint="eastAsia" w:ascii="新宋体" w:hAnsi="新宋体" w:eastAsia="新宋体"/>
          <w:color w:val="000000" w:themeColor="text1"/>
          <w14:textFill>
            <w14:solidFill>
              <w14:schemeClr w14:val="tx1"/>
            </w14:solidFill>
          </w14:textFill>
        </w:rPr>
        <w:t>（国家安全生产监督管理总局令第80号令，</w:t>
      </w:r>
      <w:r>
        <w:rPr>
          <w:rFonts w:ascii="新宋体" w:hAnsi="新宋体" w:eastAsia="新宋体"/>
          <w:color w:val="000000" w:themeColor="text1"/>
          <w14:textFill>
            <w14:solidFill>
              <w14:schemeClr w14:val="tx1"/>
            </w14:solidFill>
          </w14:textFill>
        </w:rPr>
        <w:t>2015</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7</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1</w:t>
      </w:r>
      <w:r>
        <w:rPr>
          <w:rFonts w:hint="eastAsia" w:ascii="新宋体" w:hAnsi="新宋体" w:eastAsia="新宋体"/>
          <w:color w:val="000000" w:themeColor="text1"/>
          <w14:textFill>
            <w14:solidFill>
              <w14:schemeClr w14:val="tx1"/>
            </w14:solidFill>
          </w14:textFill>
        </w:rPr>
        <w:t>日起施行）；</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《首批重点监管的危险化学品名录》（安监总管三〔</w:t>
      </w:r>
      <w:r>
        <w:rPr>
          <w:rFonts w:ascii="新宋体" w:hAnsi="新宋体" w:eastAsia="新宋体"/>
          <w:color w:val="000000" w:themeColor="text1"/>
          <w14:textFill>
            <w14:solidFill>
              <w14:schemeClr w14:val="tx1"/>
            </w14:solidFill>
          </w14:textFill>
        </w:rPr>
        <w:t>2011</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95</w:t>
      </w:r>
      <w:r>
        <w:rPr>
          <w:rFonts w:hint="eastAsia" w:ascii="新宋体" w:hAnsi="新宋体" w:eastAsia="新宋体"/>
          <w:color w:val="000000" w:themeColor="text1"/>
          <w14:textFill>
            <w14:solidFill>
              <w14:schemeClr w14:val="tx1"/>
            </w14:solidFill>
          </w14:textFill>
        </w:rPr>
        <w:t>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《关于公布第二批重点监管的危险化学品名录的通知》（安监总管三〔</w:t>
      </w:r>
      <w:r>
        <w:rPr>
          <w:rFonts w:ascii="新宋体" w:hAnsi="新宋体" w:eastAsia="新宋体"/>
          <w:color w:val="000000" w:themeColor="text1"/>
          <w14:textFill>
            <w14:solidFill>
              <w14:schemeClr w14:val="tx1"/>
            </w14:solidFill>
          </w14:textFill>
        </w:rPr>
        <w:t>201</w:t>
      </w:r>
      <w:r>
        <w:rPr>
          <w:rFonts w:hint="eastAsia" w:ascii="新宋体" w:hAnsi="新宋体" w:eastAsia="新宋体"/>
          <w:color w:val="000000" w:themeColor="text1"/>
          <w14:textFill>
            <w14:solidFill>
              <w14:schemeClr w14:val="tx1"/>
            </w14:solidFill>
          </w14:textFill>
        </w:rPr>
        <w:t>3〕</w:t>
      </w:r>
      <w:r>
        <w:rPr>
          <w:rFonts w:ascii="新宋体" w:hAnsi="新宋体" w:eastAsia="新宋体"/>
          <w:color w:val="000000" w:themeColor="text1"/>
          <w14:textFill>
            <w14:solidFill>
              <w14:schemeClr w14:val="tx1"/>
            </w14:solidFill>
          </w14:textFill>
        </w:rPr>
        <w:t>12</w:t>
      </w:r>
      <w:r>
        <w:rPr>
          <w:rFonts w:hint="eastAsia" w:ascii="新宋体" w:hAnsi="新宋体" w:eastAsia="新宋体"/>
          <w:color w:val="000000" w:themeColor="text1"/>
          <w14:textFill>
            <w14:solidFill>
              <w14:schemeClr w14:val="tx1"/>
            </w14:solidFill>
          </w14:textFill>
        </w:rPr>
        <w:t>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《关于印发首批重点监管的危险化学品安全措施和应急处置原则的通知》（总厅管三〔</w:t>
      </w:r>
      <w:r>
        <w:rPr>
          <w:rFonts w:ascii="新宋体" w:hAnsi="新宋体" w:eastAsia="新宋体"/>
          <w:color w:val="000000" w:themeColor="text1"/>
          <w14:textFill>
            <w14:solidFill>
              <w14:schemeClr w14:val="tx1"/>
            </w14:solidFill>
          </w14:textFill>
        </w:rPr>
        <w:t>2011</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142</w:t>
      </w:r>
      <w:r>
        <w:rPr>
          <w:rFonts w:hint="eastAsia" w:ascii="新宋体" w:hAnsi="新宋体" w:eastAsia="新宋体"/>
          <w:color w:val="000000" w:themeColor="text1"/>
          <w14:textFill>
            <w14:solidFill>
              <w14:schemeClr w14:val="tx1"/>
            </w14:solidFill>
          </w14:textFill>
        </w:rPr>
        <w:t>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《危险化学品建设项目安全设施目录（试行）》（安监总危化[2007]225号）；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《国家安全监管总局关于修改和废止部分规章及规范性文件的决定》（国家安全生产监督总局令第</w:t>
      </w:r>
      <w:r>
        <w:rPr>
          <w:rFonts w:ascii="新宋体" w:hAnsi="新宋体" w:eastAsia="新宋体"/>
          <w:color w:val="000000" w:themeColor="text1"/>
          <w14:textFill>
            <w14:solidFill>
              <w14:schemeClr w14:val="tx1"/>
            </w14:solidFill>
          </w14:textFill>
        </w:rPr>
        <w:t>89</w:t>
      </w:r>
      <w:r>
        <w:rPr>
          <w:rFonts w:hint="eastAsia" w:ascii="新宋体" w:hAnsi="新宋体" w:eastAsia="新宋体"/>
          <w:color w:val="000000" w:themeColor="text1"/>
          <w14:textFill>
            <w14:solidFill>
              <w14:schemeClr w14:val="tx1"/>
            </w14:solidFill>
          </w14:textFill>
        </w:rPr>
        <w:t>号令，</w:t>
      </w:r>
      <w:r>
        <w:rPr>
          <w:rFonts w:ascii="新宋体" w:hAnsi="新宋体" w:eastAsia="新宋体"/>
          <w:color w:val="000000" w:themeColor="text1"/>
          <w14:textFill>
            <w14:solidFill>
              <w14:schemeClr w14:val="tx1"/>
            </w14:solidFill>
          </w14:textFill>
        </w:rPr>
        <w:t>2017</w:t>
      </w:r>
      <w:r>
        <w:rPr>
          <w:rFonts w:hint="eastAsia" w:ascii="新宋体" w:hAnsi="新宋体" w:eastAsia="新宋体"/>
          <w:color w:val="000000" w:themeColor="text1"/>
          <w14:textFill>
            <w14:solidFill>
              <w14:schemeClr w14:val="tx1"/>
            </w14:solidFill>
          </w14:textFill>
        </w:rPr>
        <w:t>年</w:t>
      </w:r>
      <w:r>
        <w:rPr>
          <w:rFonts w:ascii="新宋体" w:hAnsi="新宋体" w:eastAsia="新宋体"/>
          <w:color w:val="000000" w:themeColor="text1"/>
          <w14:textFill>
            <w14:solidFill>
              <w14:schemeClr w14:val="tx1"/>
            </w14:solidFill>
          </w14:textFill>
        </w:rPr>
        <w:t>3</w:t>
      </w:r>
      <w:r>
        <w:rPr>
          <w:rFonts w:hint="eastAsia" w:ascii="新宋体" w:hAnsi="新宋体" w:eastAsia="新宋体"/>
          <w:color w:val="000000" w:themeColor="text1"/>
          <w14:textFill>
            <w14:solidFill>
              <w14:schemeClr w14:val="tx1"/>
            </w14:solidFill>
          </w14:textFill>
        </w:rPr>
        <w:t>月</w:t>
      </w:r>
      <w:r>
        <w:rPr>
          <w:rFonts w:ascii="新宋体" w:hAnsi="新宋体" w:eastAsia="新宋体"/>
          <w:color w:val="000000" w:themeColor="text1"/>
          <w14:textFill>
            <w14:solidFill>
              <w14:schemeClr w14:val="tx1"/>
            </w14:solidFill>
          </w14:textFill>
        </w:rPr>
        <w:t>6</w:t>
      </w:r>
      <w:r>
        <w:rPr>
          <w:rFonts w:hint="eastAsia" w:ascii="新宋体" w:hAnsi="新宋体" w:eastAsia="新宋体"/>
          <w:color w:val="000000" w:themeColor="text1"/>
          <w14:textFill>
            <w14:solidFill>
              <w14:schemeClr w14:val="tx1"/>
            </w14:solidFill>
          </w14:textFill>
        </w:rPr>
        <w:t>日起施行）；</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《职业病危害因素分类目录》（国卫疾控发〔2015〕92号）；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《消防安全责任制实施办法》（国办发[2017]87号）；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《国家安全监管总局办公厅关于进一步加强加油站安全生产工作的通知》（安监总厅管三〔2016〕8号）；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bookmarkStart w:id="59" w:name="_Hlk3458173"/>
      <w:r>
        <w:rPr>
          <w:rFonts w:hint="eastAsia" w:ascii="新宋体" w:hAnsi="新宋体" w:eastAsia="新宋体"/>
          <w:color w:val="000000" w:themeColor="text1"/>
          <w14:textFill>
            <w14:solidFill>
              <w14:schemeClr w14:val="tx1"/>
            </w14:solidFill>
          </w14:textFill>
        </w:rPr>
        <w:t>《安全生产责任保险实施办法》（安监总办〔2017〕140号，自2018年1月1日实施）；</w:t>
      </w:r>
    </w:p>
    <w:bookmarkEnd w:id="59"/>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《危险化学品目录》（2022年调整，中华人民共和国应急管理部等10部门公告2022年第8号，2023年1月1日实施）；</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《易制爆危险化学品名录》（公安部，2017年版）；</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《特别管控危险化学品目录（第一版）》（应急管理部、工业和信息化部、公安部及交通运输部2</w:t>
      </w:r>
      <w:r>
        <w:rPr>
          <w:rFonts w:ascii="新宋体" w:hAnsi="新宋体" w:eastAsia="新宋体"/>
          <w:color w:val="000000" w:themeColor="text1"/>
          <w14:textFill>
            <w14:solidFill>
              <w14:schemeClr w14:val="tx1"/>
            </w14:solidFill>
          </w14:textFill>
        </w:rPr>
        <w:t>020</w:t>
      </w:r>
      <w:r>
        <w:rPr>
          <w:rFonts w:hint="eastAsia" w:ascii="新宋体" w:hAnsi="新宋体" w:eastAsia="新宋体"/>
          <w:color w:val="000000" w:themeColor="text1"/>
          <w14:textFill>
            <w14:solidFill>
              <w14:schemeClr w14:val="tx1"/>
            </w14:solidFill>
          </w14:textFill>
        </w:rPr>
        <w:t>年第</w:t>
      </w:r>
      <w:r>
        <w:rPr>
          <w:rFonts w:ascii="新宋体" w:hAnsi="新宋体" w:eastAsia="新宋体"/>
          <w:color w:val="000000" w:themeColor="text1"/>
          <w14:textFill>
            <w14:solidFill>
              <w14:schemeClr w14:val="tx1"/>
            </w14:solidFill>
          </w14:textFill>
        </w:rPr>
        <w:t>3</w:t>
      </w:r>
      <w:r>
        <w:rPr>
          <w:rFonts w:hint="eastAsia" w:ascii="新宋体" w:hAnsi="新宋体" w:eastAsia="新宋体"/>
          <w:color w:val="000000" w:themeColor="text1"/>
          <w14:textFill>
            <w14:solidFill>
              <w14:schemeClr w14:val="tx1"/>
            </w14:solidFill>
          </w14:textFill>
        </w:rPr>
        <w:t>号公告）；</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《财政部应急部关于印发</w:t>
      </w:r>
      <w:r>
        <w:rPr>
          <w:rFonts w:ascii="新宋体" w:hAnsi="新宋体" w:eastAsia="新宋体"/>
          <w:color w:val="000000" w:themeColor="text1"/>
          <w14:textFill>
            <w14:solidFill>
              <w14:schemeClr w14:val="tx1"/>
            </w14:solidFill>
          </w14:textFill>
        </w:rPr>
        <w:t>&lt;</w:t>
      </w:r>
      <w:r>
        <w:rPr>
          <w:rFonts w:hint="eastAsia" w:ascii="新宋体" w:hAnsi="新宋体" w:eastAsia="新宋体"/>
          <w:color w:val="000000" w:themeColor="text1"/>
          <w14:textFill>
            <w14:solidFill>
              <w14:schemeClr w14:val="tx1"/>
            </w14:solidFill>
          </w14:textFill>
        </w:rPr>
        <w:t>企业安全生产费用提取和使用管理办法&gt;的通知》（财资〔2022〕136号）；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《应急管理部办公厅关于修改《危险化学品目录（2015版）实施指南（试行）》涉及柴油部分内容的通知》（</w:t>
      </w:r>
      <w:r>
        <w:rPr>
          <w:rFonts w:ascii="新宋体" w:hAnsi="新宋体" w:eastAsia="新宋体"/>
          <w:color w:val="000000" w:themeColor="text1"/>
          <w14:textFill>
            <w14:solidFill>
              <w14:schemeClr w14:val="tx1"/>
            </w14:solidFill>
          </w14:textFill>
        </w:rPr>
        <w:t>应急厅函〔2022〕300号</w:t>
      </w:r>
      <w:r>
        <w:rPr>
          <w:rFonts w:hint="eastAsia" w:ascii="新宋体" w:hAnsi="新宋体" w:eastAsia="新宋体"/>
          <w:color w:val="000000" w:themeColor="text1"/>
          <w14:textFill>
            <w14:solidFill>
              <w14:schemeClr w14:val="tx1"/>
            </w14:solidFill>
          </w14:textFill>
        </w:rPr>
        <w:t>，2022年12月5日发布，2023年1月1日起实施）；</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《应急管理部办公厅关于做好柴油安全许可证有关工作的通知》（应急厅函[2022]317号）；</w:t>
      </w:r>
    </w:p>
    <w:p>
      <w:pPr>
        <w:numPr>
          <w:ilvl w:val="0"/>
          <w:numId w:val="8"/>
        </w:numPr>
        <w:tabs>
          <w:tab w:val="left" w:pos="1134"/>
        </w:tabs>
        <w:ind w:left="0" w:firstLine="467" w:firstLineChars="167"/>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《生产安全事故罚款处罚规定》（应急管理部令第14号）。</w:t>
      </w:r>
    </w:p>
    <w:p>
      <w:pPr>
        <w:pStyle w:val="4"/>
        <w:ind w:firstLine="562"/>
        <w:rPr>
          <w:color w:val="000000" w:themeColor="text1"/>
          <w14:textFill>
            <w14:solidFill>
              <w14:schemeClr w14:val="tx1"/>
            </w14:solidFill>
          </w14:textFill>
        </w:rPr>
      </w:pPr>
      <w:bookmarkStart w:id="60" w:name="_Toc103"/>
      <w:bookmarkStart w:id="61" w:name="_Toc456527662"/>
      <w:bookmarkStart w:id="62" w:name="_Toc28299810"/>
      <w:r>
        <w:rPr>
          <w:rFonts w:hint="eastAsia"/>
          <w:color w:val="000000" w:themeColor="text1"/>
          <w14:textFill>
            <w14:solidFill>
              <w14:schemeClr w14:val="tx1"/>
            </w14:solidFill>
          </w14:textFill>
        </w:rPr>
        <w:t>地方性法规及规定</w:t>
      </w:r>
      <w:bookmarkEnd w:id="6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1.《云南省安全生产条例》（2017年11月30日经云南省第十二届人大常委会第三十八次会议审议通过，2018年1月1日起施行）；</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2.《云南省安全生产委员会关于进一步落实企业全员安全生产责任制的指导意见》（云安〔2017〕10号）；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3.《云南省生产经营单位安全生产主体责任规定》（云南省人民政府云政规〔2022〕4号）；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4.《云南省应急管理厅办公室转发应急管理部关于认真做好柴油安全许可证有关工作的通知》；</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5.《云南省生产安全事故应急办法》（</w:t>
      </w:r>
      <w:r>
        <w:rPr>
          <w:color w:val="000000" w:themeColor="text1"/>
          <w14:textFill>
            <w14:solidFill>
              <w14:schemeClr w14:val="tx1"/>
            </w14:solidFill>
          </w14:textFill>
        </w:rPr>
        <w:t>省政府令第227号</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2024年2月1日起施行</w:t>
      </w:r>
      <w:r>
        <w:rPr>
          <w:rFonts w:hint="eastAsia"/>
          <w:color w:val="000000" w:themeColor="text1"/>
          <w14:textFill>
            <w14:solidFill>
              <w14:schemeClr w14:val="tx1"/>
            </w14:solidFill>
          </w14:textFill>
        </w:rPr>
        <w:t>）。</w:t>
      </w:r>
    </w:p>
    <w:p>
      <w:pPr>
        <w:pStyle w:val="4"/>
        <w:ind w:firstLine="562"/>
        <w:rPr>
          <w:color w:val="000000" w:themeColor="text1"/>
          <w14:textFill>
            <w14:solidFill>
              <w14:schemeClr w14:val="tx1"/>
            </w14:solidFill>
          </w14:textFill>
        </w:rPr>
      </w:pPr>
      <w:bookmarkStart w:id="63" w:name="_Toc19636"/>
      <w:r>
        <w:rPr>
          <w:rFonts w:hint="eastAsia"/>
          <w:color w:val="000000" w:themeColor="text1"/>
          <w14:textFill>
            <w14:solidFill>
              <w14:schemeClr w14:val="tx1"/>
            </w14:solidFill>
          </w14:textFill>
        </w:rPr>
        <w:t>国家</w:t>
      </w:r>
      <w:r>
        <w:rPr>
          <w:color w:val="000000" w:themeColor="text1"/>
          <w14:textFill>
            <w14:solidFill>
              <w14:schemeClr w14:val="tx1"/>
            </w14:solidFill>
          </w14:textFill>
        </w:rPr>
        <w:t>标准</w:t>
      </w:r>
      <w:bookmarkEnd w:id="48"/>
      <w:bookmarkEnd w:id="49"/>
      <w:bookmarkEnd w:id="50"/>
      <w:bookmarkEnd w:id="51"/>
      <w:bookmarkEnd w:id="52"/>
      <w:bookmarkEnd w:id="53"/>
      <w:bookmarkEnd w:id="54"/>
      <w:bookmarkEnd w:id="55"/>
      <w:bookmarkEnd w:id="56"/>
      <w:bookmarkEnd w:id="57"/>
      <w:bookmarkEnd w:id="58"/>
      <w:bookmarkEnd w:id="61"/>
      <w:bookmarkEnd w:id="62"/>
      <w:bookmarkEnd w:id="6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（1）《汽车加油加气加氢站技术标准》（GB50156-2021）；</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（2）《建筑设计防火规范（2018年版）》（GB50016-2014）；</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（3）《消防设施通用规范》（GB55036-2022）；</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（4）《建筑抗震设计规范（2016年版）》（GB50011-2010）；</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（5）《危险化学品仓库储存通则》（GB15603-2022）；</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（6）《危险化学品重大危险源辨识》（GB18218-2018）；</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（7）《易燃易爆性商品储藏养护技术条件》（GB17914-2013）；</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（8）《建筑灭火器配置设计规范》（GB50140-2005）；</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（9）《安全标志及其使用导则》（GB2894-2008）；</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）《电气装置安装工程 低压电器施工及验收规范》（GB50254-2014）；</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（11）《建筑物防雷设计规范》（GB50057-2010）；</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（12）《化学品分类和危险性公示通则》（GB13690-2009）；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（13）《防止静电事故通用导则》（GB12158-2006）；</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（14）《爆炸危险环境电力装置设计规范》（GB50058-2014）；</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（15）《液体石油产品静电安全规程》（GB13348-2009）；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（16）《消防安全标志 第1部分：标志》（GB13495.1-2015）；</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（17）《生产设备安全卫生设计总则》（GB5083-1999）；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（18）《生产过程安全卫生要求总则》（GB12801-2008）；</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（19）《工业企业设计卫生标准》（GBZ 1-2010）；</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（20）《燃油加油站防爆安全技术 第1部分：燃油加油机防爆安全技术要求》（GB 22380.1-2017）；</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（21）《燃油加油站防爆安全技术 第2部分：加油机用安全拉断阀结构和性能的安全要求》（GB 22380.2-2019）；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（22）《燃油加油站防爆安全技术 第3部分：剪切阀结构和性能的安全要求》（GB 22380.3-2019）；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（23）《石油与石油设施雷电安全规范》（GB15599-2009）；</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（24）《职业性接触毒物危害程度分级》（</w:t>
      </w:r>
      <w:r>
        <w:rPr>
          <w:color w:val="000000" w:themeColor="text1"/>
          <w14:textFill>
            <w14:solidFill>
              <w14:schemeClr w14:val="tx1"/>
            </w14:solidFill>
          </w14:textFill>
        </w:rPr>
        <w:t>GBZ230-2010</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（25）《危险化学品企业特殊作业安全规范》（GB30871-2022）；</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（26）《生产经营单位生产安全事故应急预案编制导则》（</w:t>
      </w:r>
      <w:r>
        <w:rPr>
          <w:color w:val="000000" w:themeColor="text1"/>
          <w14:textFill>
            <w14:solidFill>
              <w14:schemeClr w14:val="tx1"/>
            </w14:solidFill>
          </w14:textFill>
        </w:rPr>
        <w:t>GB/T 29639-2020</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（27）《危险货物品名表》（</w:t>
      </w:r>
      <w:r>
        <w:rPr>
          <w:color w:val="000000" w:themeColor="text1"/>
          <w14:textFill>
            <w14:solidFill>
              <w14:schemeClr w14:val="tx1"/>
            </w14:solidFill>
          </w14:textFill>
        </w:rPr>
        <w:t>GB12268-2012</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（28）</w:t>
      </w:r>
      <w:r>
        <w:rPr>
          <w:color w:val="000000" w:themeColor="text1"/>
          <w14:textFill>
            <w14:solidFill>
              <w14:schemeClr w14:val="tx1"/>
            </w14:solidFill>
          </w14:textFill>
        </w:rPr>
        <w:t>《用电安全导则》</w:t>
      </w:r>
      <w:r>
        <w:rPr>
          <w:rFonts w:hint="eastAsia"/>
          <w:color w:val="000000" w:themeColor="text1"/>
          <w14:textFill>
            <w14:solidFill>
              <w14:schemeClr w14:val="tx1"/>
            </w14:solidFill>
          </w14:textFill>
        </w:rPr>
        <w:t>（GB/T13869-20</w:t>
      </w:r>
      <w:r>
        <w:rPr>
          <w:color w:val="000000" w:themeColor="text1"/>
          <w14:textFill>
            <w14:solidFill>
              <w14:schemeClr w14:val="tx1"/>
            </w14:solidFill>
          </w14:textFill>
        </w:rPr>
        <w:t>17</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（29）《消防安全标志设置要求》（GB15630-1995）；</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（30）《危险化学品单位应急救援物资配备要求》（GB 30077-2013）；</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（31）《车用汽油》（GB</w:t>
      </w:r>
      <w:r>
        <w:rPr>
          <w:color w:val="000000" w:themeColor="text1"/>
          <w14:textFill>
            <w14:solidFill>
              <w14:schemeClr w14:val="tx1"/>
            </w14:solidFill>
          </w14:textFill>
        </w:rPr>
        <w:t>17930</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16</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（32）《车用柴油》（GB</w:t>
      </w:r>
      <w:r>
        <w:rPr>
          <w:color w:val="000000" w:themeColor="text1"/>
          <w14:textFill>
            <w14:solidFill>
              <w14:schemeClr w14:val="tx1"/>
            </w14:solidFill>
          </w14:textFill>
        </w:rPr>
        <w:t>19147</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16</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（33）《</w:t>
      </w:r>
      <w:r>
        <w:rPr>
          <w:color w:val="000000" w:themeColor="text1"/>
          <w14:textFill>
            <w14:solidFill>
              <w14:schemeClr w14:val="tx1"/>
            </w14:solidFill>
          </w14:textFill>
        </w:rPr>
        <w:t>建筑防火通用规范</w:t>
      </w:r>
      <w:r>
        <w:rPr>
          <w:rFonts w:hint="eastAsia"/>
          <w:color w:val="000000" w:themeColor="text1"/>
          <w14:textFill>
            <w14:solidFill>
              <w14:schemeClr w14:val="tx1"/>
            </w14:solidFill>
          </w14:textFill>
        </w:rPr>
        <w:t>》（GB55037-2022）。</w:t>
      </w:r>
    </w:p>
    <w:p>
      <w:pPr>
        <w:pStyle w:val="4"/>
        <w:ind w:firstLine="562"/>
        <w:rPr>
          <w:color w:val="000000" w:themeColor="text1"/>
          <w14:textFill>
            <w14:solidFill>
              <w14:schemeClr w14:val="tx1"/>
            </w14:solidFill>
          </w14:textFill>
        </w:rPr>
      </w:pPr>
      <w:bookmarkStart w:id="64" w:name="_Toc6294"/>
      <w:r>
        <w:rPr>
          <w:rFonts w:hint="eastAsia"/>
          <w:color w:val="000000" w:themeColor="text1"/>
          <w14:textFill>
            <w14:solidFill>
              <w14:schemeClr w14:val="tx1"/>
            </w14:solidFill>
          </w14:textFill>
        </w:rPr>
        <w:t>安全</w:t>
      </w:r>
      <w:r>
        <w:rPr>
          <w:color w:val="000000" w:themeColor="text1"/>
          <w14:textFill>
            <w14:solidFill>
              <w14:schemeClr w14:val="tx1"/>
            </w14:solidFill>
          </w14:textFill>
        </w:rPr>
        <w:t>标准</w:t>
      </w:r>
      <w:bookmarkEnd w:id="64"/>
    </w:p>
    <w:p>
      <w:pPr>
        <w:ind w:left="467" w:leftChars="167" w:firstLine="0" w:firstLineChars="0"/>
        <w:rPr>
          <w:rFonts w:hint="eastAsia" w:ascii="新宋体" w:hAnsi="新宋体" w:eastAsia="新宋体"/>
          <w:color w:val="000000" w:themeColor="text1"/>
          <w:lang w:eastAsia="zh-CN"/>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1</w:t>
      </w:r>
      <w:r>
        <w:rPr>
          <w:rFonts w:hint="eastAsia" w:ascii="新宋体" w:hAnsi="新宋体" w:eastAsia="新宋体"/>
          <w:color w:val="000000" w:themeColor="text1"/>
          <w14:textFill>
            <w14:solidFill>
              <w14:schemeClr w14:val="tx1"/>
            </w14:solidFill>
          </w14:textFill>
        </w:rPr>
        <w:t>）《安全评价通则》（AQ8001-2007）</w:t>
      </w:r>
      <w:r>
        <w:rPr>
          <w:rFonts w:hint="eastAsia" w:ascii="新宋体" w:hAnsi="新宋体" w:eastAsia="新宋体"/>
          <w:color w:val="000000" w:themeColor="text1"/>
          <w:lang w:eastAsia="zh-CN"/>
          <w14:textFill>
            <w14:solidFill>
              <w14:schemeClr w14:val="tx1"/>
            </w14:solidFill>
          </w14:textFill>
        </w:rPr>
        <w:t>；</w:t>
      </w:r>
    </w:p>
    <w:p>
      <w:pPr>
        <w:ind w:left="467" w:leftChars="167" w:firstLine="0" w:firstLineChars="0"/>
        <w:rPr>
          <w:rFonts w:hint="eastAsia" w:ascii="新宋体" w:hAnsi="新宋体" w:eastAsia="新宋体"/>
          <w:color w:val="000000" w:themeColor="text1"/>
          <w:lang w:eastAsia="zh-CN"/>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2</w:t>
      </w:r>
      <w:r>
        <w:rPr>
          <w:rFonts w:hint="eastAsia" w:ascii="新宋体" w:hAnsi="新宋体" w:eastAsia="新宋体"/>
          <w:color w:val="000000" w:themeColor="text1"/>
          <w14:textFill>
            <w14:solidFill>
              <w14:schemeClr w14:val="tx1"/>
            </w14:solidFill>
          </w14:textFill>
        </w:rPr>
        <w:t>）《加油站作业安全规范》（AQ3010-20</w:t>
      </w:r>
      <w:r>
        <w:rPr>
          <w:rFonts w:ascii="新宋体" w:hAnsi="新宋体" w:eastAsia="新宋体"/>
          <w:color w:val="000000" w:themeColor="text1"/>
          <w14:textFill>
            <w14:solidFill>
              <w14:schemeClr w14:val="tx1"/>
            </w14:solidFill>
          </w14:textFill>
        </w:rPr>
        <w:t>22</w:t>
      </w: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eastAsia="zh-CN"/>
          <w14:textFill>
            <w14:solidFill>
              <w14:schemeClr w14:val="tx1"/>
            </w14:solidFill>
          </w14:textFill>
        </w:rPr>
        <w:t>；</w:t>
      </w:r>
    </w:p>
    <w:p>
      <w:pPr>
        <w:ind w:left="467" w:leftChars="167" w:firstLine="0" w:firstLineChars="0"/>
        <w:rPr>
          <w:rFonts w:hint="eastAsia" w:ascii="新宋体" w:hAnsi="新宋体" w:eastAsia="新宋体"/>
          <w:color w:val="000000" w:themeColor="text1"/>
          <w:lang w:eastAsia="zh-CN"/>
          <w14:textFill>
            <w14:solidFill>
              <w14:schemeClr w14:val="tx1"/>
            </w14:solidFill>
          </w14:textFill>
        </w:rPr>
      </w:pPr>
      <w:r>
        <w:rPr>
          <w:rFonts w:hint="eastAsia" w:ascii="新宋体" w:hAnsi="新宋体" w:eastAsia="新宋体"/>
          <w:color w:val="000000" w:themeColor="text1"/>
          <w:lang w:eastAsia="zh-CN"/>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3</w:t>
      </w:r>
      <w:r>
        <w:rPr>
          <w:rFonts w:hint="eastAsia" w:ascii="新宋体" w:hAnsi="新宋体" w:eastAsia="新宋体"/>
          <w:color w:val="000000" w:themeColor="text1"/>
          <w:lang w:eastAsia="zh-CN"/>
          <w14:textFill>
            <w14:solidFill>
              <w14:schemeClr w14:val="tx1"/>
            </w14:solidFill>
          </w14:textFill>
        </w:rPr>
        <w:t>）</w:t>
      </w:r>
      <w:r>
        <w:rPr>
          <w:rFonts w:hint="eastAsia" w:ascii="新宋体" w:hAnsi="新宋体" w:eastAsia="新宋体"/>
          <w:color w:val="000000" w:themeColor="text1"/>
          <w14:textFill>
            <w14:solidFill>
              <w14:schemeClr w14:val="tx1"/>
            </w14:solidFill>
          </w14:textFill>
        </w:rPr>
        <w:t>《危险场所电气防爆安全规范》（AQ3009-2007）</w:t>
      </w:r>
      <w:r>
        <w:rPr>
          <w:rFonts w:hint="eastAsia" w:ascii="新宋体" w:hAnsi="新宋体" w:eastAsia="新宋体"/>
          <w:color w:val="000000" w:themeColor="text1"/>
          <w:lang w:eastAsia="zh-CN"/>
          <w14:textFill>
            <w14:solidFill>
              <w14:schemeClr w14:val="tx1"/>
            </w14:solidFill>
          </w14:textFill>
        </w:rPr>
        <w:t>；</w:t>
      </w:r>
    </w:p>
    <w:p>
      <w:pPr>
        <w:ind w:left="467" w:leftChars="167" w:firstLine="0" w:firstLineChars="0"/>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4</w:t>
      </w:r>
      <w:r>
        <w:rPr>
          <w:rFonts w:hint="eastAsia" w:ascii="新宋体" w:hAnsi="新宋体" w:eastAsia="新宋体"/>
          <w:color w:val="000000" w:themeColor="text1"/>
          <w14:textFill>
            <w14:solidFill>
              <w14:schemeClr w14:val="tx1"/>
            </w14:solidFill>
          </w14:textFill>
        </w:rPr>
        <w:t>）《危险化学品储罐区作业安全通则》（AQ3018-2008）；</w:t>
      </w:r>
    </w:p>
    <w:p>
      <w:pPr>
        <w:ind w:left="467" w:leftChars="167" w:firstLine="0" w:firstLineChars="0"/>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5</w:t>
      </w:r>
      <w:r>
        <w:rPr>
          <w:rFonts w:hint="eastAsia" w:ascii="新宋体" w:hAnsi="新宋体" w:eastAsia="新宋体"/>
          <w:color w:val="000000" w:themeColor="text1"/>
          <w14:textFill>
            <w14:solidFill>
              <w14:schemeClr w14:val="tx1"/>
            </w14:solidFill>
          </w14:textFill>
        </w:rPr>
        <w:t>）《化学品作业场所安全警示标志规范》（</w:t>
      </w:r>
      <w:r>
        <w:rPr>
          <w:rFonts w:ascii="新宋体" w:hAnsi="新宋体" w:eastAsia="新宋体"/>
          <w:color w:val="000000" w:themeColor="text1"/>
          <w14:textFill>
            <w14:solidFill>
              <w14:schemeClr w14:val="tx1"/>
            </w14:solidFill>
          </w14:textFill>
        </w:rPr>
        <w:t>AQ3047-2013</w:t>
      </w:r>
      <w:r>
        <w:rPr>
          <w:rFonts w:hint="eastAsia" w:ascii="新宋体" w:hAnsi="新宋体" w:eastAsia="新宋体"/>
          <w:color w:val="000000" w:themeColor="text1"/>
          <w14:textFill>
            <w14:solidFill>
              <w14:schemeClr w14:val="tx1"/>
            </w14:solidFill>
          </w14:textFill>
        </w:rPr>
        <w:t>）。</w:t>
      </w:r>
    </w:p>
    <w:p>
      <w:pPr>
        <w:pStyle w:val="4"/>
        <w:ind w:firstLine="562"/>
        <w:rPr>
          <w:color w:val="000000" w:themeColor="text1"/>
          <w14:textFill>
            <w14:solidFill>
              <w14:schemeClr w14:val="tx1"/>
            </w14:solidFill>
          </w14:textFill>
        </w:rPr>
      </w:pPr>
      <w:bookmarkStart w:id="65" w:name="_Toc26434"/>
      <w:r>
        <w:rPr>
          <w:rFonts w:hint="eastAsia"/>
          <w:color w:val="000000" w:themeColor="text1"/>
          <w14:textFill>
            <w14:solidFill>
              <w14:schemeClr w14:val="tx1"/>
            </w14:solidFill>
          </w14:textFill>
        </w:rPr>
        <w:t>行业</w:t>
      </w:r>
      <w:r>
        <w:rPr>
          <w:color w:val="000000" w:themeColor="text1"/>
          <w14:textFill>
            <w14:solidFill>
              <w14:schemeClr w14:val="tx1"/>
            </w14:solidFill>
          </w14:textFill>
        </w:rPr>
        <w:t>标准</w:t>
      </w:r>
      <w:bookmarkEnd w:id="65"/>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（1）《化工企业安全卫生设计规范》（HG20571-2014）；</w:t>
      </w:r>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（2）《石油化工静电接地设计规范》（S</w:t>
      </w:r>
      <w:r>
        <w:rPr>
          <w:rFonts w:ascii="新宋体" w:hAnsi="新宋体" w:eastAsia="新宋体"/>
          <w:color w:val="000000" w:themeColor="text1"/>
          <w14:textFill>
            <w14:solidFill>
              <w14:schemeClr w14:val="tx1"/>
            </w14:solidFill>
          </w14:textFill>
        </w:rPr>
        <w:t>H/T3097-2017</w:t>
      </w:r>
      <w:r>
        <w:rPr>
          <w:rFonts w:hint="eastAsia" w:ascii="新宋体" w:hAnsi="新宋体" w:eastAsia="新宋体"/>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（3）《汽车加油加气站消防安全管理》（XF/T3004-2020）；</w:t>
      </w:r>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（4）《石油化工设备和管道涂料防腐蚀设计标准》（</w:t>
      </w:r>
      <w:r>
        <w:rPr>
          <w:rFonts w:ascii="新宋体" w:hAnsi="新宋体" w:eastAsia="新宋体"/>
          <w:color w:val="000000" w:themeColor="text1"/>
          <w14:textFill>
            <w14:solidFill>
              <w14:schemeClr w14:val="tx1"/>
            </w14:solidFill>
          </w14:textFill>
        </w:rPr>
        <w:t>SH/T3022-2019</w:t>
      </w:r>
      <w:r>
        <w:rPr>
          <w:rFonts w:hint="eastAsia" w:ascii="新宋体" w:hAnsi="新宋体" w:eastAsia="新宋体"/>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（5）《石油化工有毒、可燃介质钢制管道工程施工及验收规范》（SH/T 3501-2021）；</w:t>
      </w:r>
    </w:p>
    <w:p>
      <w:pPr>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6</w:t>
      </w:r>
      <w:r>
        <w:rPr>
          <w:rFonts w:hint="eastAsia" w:ascii="新宋体" w:hAnsi="新宋体" w:eastAsia="新宋体"/>
          <w:color w:val="000000" w:themeColor="text1"/>
          <w14:textFill>
            <w14:solidFill>
              <w14:schemeClr w14:val="tx1"/>
            </w14:solidFill>
          </w14:textFill>
        </w:rPr>
        <w:t>）《加油站用埋地钢</w:t>
      </w:r>
      <w:r>
        <w:rPr>
          <w:rFonts w:ascii="新宋体" w:hAnsi="新宋体" w:eastAsia="新宋体"/>
          <w:color w:val="000000" w:themeColor="text1"/>
          <w14:textFill>
            <w14:solidFill>
              <w14:schemeClr w14:val="tx1"/>
            </w14:solidFill>
          </w14:textFill>
        </w:rPr>
        <w:t>-玻璃纤维增强塑料双层油罐工程技术规范</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SH/T 3178-2015</w:t>
      </w:r>
      <w:r>
        <w:rPr>
          <w:rFonts w:hint="eastAsia" w:ascii="新宋体" w:hAnsi="新宋体" w:eastAsia="新宋体"/>
          <w:color w:val="000000" w:themeColor="text1"/>
          <w14:textFill>
            <w14:solidFill>
              <w14:schemeClr w14:val="tx1"/>
            </w14:solidFill>
          </w14:textFill>
        </w:rPr>
        <w:t>）。</w:t>
      </w:r>
    </w:p>
    <w:p>
      <w:pPr>
        <w:pStyle w:val="3"/>
        <w:rPr>
          <w:color w:val="000000" w:themeColor="text1"/>
          <w14:textFill>
            <w14:solidFill>
              <w14:schemeClr w14:val="tx1"/>
            </w14:solidFill>
          </w14:textFill>
        </w:rPr>
      </w:pPr>
      <w:bookmarkStart w:id="66" w:name="_Toc22068"/>
      <w:r>
        <w:rPr>
          <w:rFonts w:hint="eastAsia"/>
          <w:color w:val="000000" w:themeColor="text1"/>
          <w14:textFill>
            <w14:solidFill>
              <w14:schemeClr w14:val="tx1"/>
            </w14:solidFill>
          </w14:textFill>
        </w:rPr>
        <w:t>工作经过和程序</w:t>
      </w:r>
      <w:bookmarkEnd w:id="42"/>
      <w:bookmarkEnd w:id="43"/>
      <w:bookmarkEnd w:id="66"/>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本次安全现状评价大体分为三个阶段。</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第一阶段为准备阶段，主要收集有关资料，进行初步的危险、危害因素识别，选择评价方法，编制评价大纲；</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第二阶段为实施评价阶段，对工程安全情况进行类比调查，运用合适的评价方法进行定性及定量分析，提出安全对策措施；</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第三阶段为报告书的编制阶段，主要是汇总评价实施阶段所得到的各种资料、数据，综合分析提出结论与建议，完成项目安全现状评价报告的编制。</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按照《安全评价通则》（AQ8001-2007）的要求，安全评价程序包括前期准备，辨识与分析危险、有害因素，划分评价单元，确定安全评价方法，定性、定量分析危险、有害程度，分析安全条件和安全生产条件，提出安全对策与建议，整理、归纳安全评价结论，与建设单位交换意见，编制安全评价报告。</w:t>
      </w:r>
    </w:p>
    <w:p>
      <w:pPr>
        <w:pStyle w:val="4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本次安全评价工作程序见图1-1。</w:t>
      </w:r>
    </w:p>
    <w:p>
      <w:pPr>
        <w:pStyle w:val="64"/>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object>
          <v:shape id="_x0000_i1025" o:spt="75" type="#_x0000_t75" style="height:389.25pt;width:230.25pt;" o:ole="t" filled="f" o:preferrelative="t" stroked="f" coordsize="21600,21600">
            <v:path/>
            <v:fill on="f" focussize="0,0"/>
            <v:stroke on="f"/>
            <v:imagedata r:id="rId50" o:title=""/>
            <o:lock v:ext="edit" aspectratio="t"/>
            <w10:wrap type="none"/>
            <w10:anchorlock/>
          </v:shape>
          <o:OLEObject Type="Embed" ProgID="Visio.Drawing.15" ShapeID="_x0000_i1025" DrawAspect="Content" ObjectID="_1468075725" r:id="rId49">
            <o:LockedField>false</o:LockedField>
          </o:OLEObject>
        </w:object>
      </w:r>
    </w:p>
    <w:p>
      <w:pPr>
        <w:pStyle w:val="65"/>
        <w:ind w:firstLine="562"/>
        <w:rPr>
          <w:color w:val="000000" w:themeColor="text1"/>
          <w14:textFill>
            <w14:solidFill>
              <w14:schemeClr w14:val="tx1"/>
            </w14:solidFill>
          </w14:textFill>
        </w:rPr>
      </w:pPr>
      <w:r>
        <w:rPr>
          <w:color w:val="000000" w:themeColor="text1"/>
          <w14:textFill>
            <w14:solidFill>
              <w14:schemeClr w14:val="tx1"/>
            </w14:solidFill>
          </w14:textFill>
        </w:rPr>
        <w:t>图1-1  安全</w:t>
      </w:r>
      <w:r>
        <w:rPr>
          <w:rFonts w:hint="eastAsia"/>
          <w:color w:val="000000" w:themeColor="text1"/>
          <w14:textFill>
            <w14:solidFill>
              <w14:schemeClr w14:val="tx1"/>
            </w14:solidFill>
          </w14:textFill>
        </w:rPr>
        <w:t>现状</w:t>
      </w:r>
      <w:r>
        <w:rPr>
          <w:color w:val="000000" w:themeColor="text1"/>
          <w14:textFill>
            <w14:solidFill>
              <w14:schemeClr w14:val="tx1"/>
            </w14:solidFill>
          </w14:textFill>
        </w:rPr>
        <w:t>评价工作程序</w:t>
      </w:r>
    </w:p>
    <w:p>
      <w:pPr>
        <w:pStyle w:val="3"/>
        <w:rPr>
          <w:color w:val="000000" w:themeColor="text1"/>
          <w14:textFill>
            <w14:solidFill>
              <w14:schemeClr w14:val="tx1"/>
            </w14:solidFill>
          </w14:textFill>
        </w:rPr>
      </w:pPr>
      <w:bookmarkStart w:id="67" w:name="_Toc25264"/>
      <w:bookmarkStart w:id="68" w:name="_Toc258574825"/>
      <w:r>
        <w:rPr>
          <w:rFonts w:hint="eastAsia"/>
          <w:color w:val="000000" w:themeColor="text1"/>
          <w14:textFill>
            <w14:solidFill>
              <w14:schemeClr w14:val="tx1"/>
            </w14:solidFill>
          </w14:textFill>
        </w:rPr>
        <w:t>评价基准日</w:t>
      </w:r>
      <w:bookmarkEnd w:id="67"/>
      <w:bookmarkEnd w:id="68"/>
    </w:p>
    <w:p>
      <w:pPr>
        <w:pStyle w:val="45"/>
        <w:keepNext w:val="0"/>
        <w:keepLines w:val="0"/>
        <w:pageBreakBefore w:val="0"/>
        <w:widowControl w:val="0"/>
        <w:kinsoku/>
        <w:wordWrap/>
        <w:overflowPunct/>
        <w:topLinePunct w:val="0"/>
        <w:autoSpaceDE/>
        <w:autoSpaceDN/>
        <w:bidi w:val="0"/>
        <w:adjustRightInd/>
        <w:snapToGrid w:val="0"/>
        <w:ind w:firstLine="560"/>
        <w:textAlignment w:val="auto"/>
        <w:rPr>
          <w:color w:val="000000" w:themeColor="text1"/>
          <w14:textFill>
            <w14:solidFill>
              <w14:schemeClr w14:val="tx1"/>
            </w14:solidFill>
          </w14:textFill>
        </w:rPr>
        <w:sectPr>
          <w:footerReference r:id="rId11" w:type="default"/>
          <w:pgSz w:w="11905" w:h="16838"/>
          <w:pgMar w:top="1417" w:right="1134" w:bottom="1134" w:left="1587" w:header="850" w:footer="850" w:gutter="0"/>
          <w:pgNumType w:start="1"/>
          <w:cols w:space="0" w:num="1"/>
          <w:docGrid w:type="linesAndChars" w:linePitch="386" w:charSpace="0"/>
        </w:sectPr>
      </w:pPr>
      <w:r>
        <w:rPr>
          <w:rFonts w:hint="eastAsia"/>
          <w:color w:val="000000" w:themeColor="text1"/>
          <w14:textFill>
            <w14:solidFill>
              <w14:schemeClr w14:val="tx1"/>
            </w14:solidFill>
          </w14:textFill>
        </w:rPr>
        <w:t>本项目的评价人员于2024年</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28</w:t>
      </w:r>
      <w:r>
        <w:rPr>
          <w:rFonts w:hint="eastAsia"/>
          <w:color w:val="000000" w:themeColor="text1"/>
          <w14:textFill>
            <w14:solidFill>
              <w14:schemeClr w14:val="tx1"/>
            </w14:solidFill>
          </w14:textFill>
        </w:rPr>
        <w:t>日到现场对该项目进行检查，评价基准日为：2024年</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28</w:t>
      </w:r>
      <w:r>
        <w:rPr>
          <w:rFonts w:hint="eastAsia"/>
          <w:color w:val="000000" w:themeColor="text1"/>
          <w14:textFill>
            <w14:solidFill>
              <w14:schemeClr w14:val="tx1"/>
            </w14:solidFill>
          </w14:textFill>
        </w:rPr>
        <w:t>日。</w:t>
      </w:r>
    </w:p>
    <w:p>
      <w:pPr>
        <w:pStyle w:val="2"/>
        <w:spacing w:before="193" w:after="193"/>
        <w:rPr>
          <w:color w:val="000000" w:themeColor="text1"/>
          <w14:textFill>
            <w14:solidFill>
              <w14:schemeClr w14:val="tx1"/>
            </w14:solidFill>
          </w14:textFill>
        </w:rPr>
      </w:pPr>
      <w:bookmarkStart w:id="69" w:name="_Toc12981"/>
      <w:bookmarkStart w:id="70" w:name="_Toc25055"/>
      <w:r>
        <w:rPr>
          <w:rFonts w:hint="eastAsia"/>
          <w:color w:val="000000" w:themeColor="text1"/>
          <w14:textFill>
            <w14:solidFill>
              <w14:schemeClr w14:val="tx1"/>
            </w14:solidFill>
          </w14:textFill>
        </w:rPr>
        <w:t>加油站概况</w:t>
      </w:r>
      <w:bookmarkEnd w:id="69"/>
      <w:bookmarkEnd w:id="70"/>
    </w:p>
    <w:p>
      <w:pPr>
        <w:pStyle w:val="3"/>
        <w:rPr>
          <w:color w:val="000000" w:themeColor="text1"/>
          <w14:textFill>
            <w14:solidFill>
              <w14:schemeClr w14:val="tx1"/>
            </w14:solidFill>
          </w14:textFill>
        </w:rPr>
      </w:pPr>
      <w:bookmarkStart w:id="71" w:name="_Toc6882"/>
      <w:bookmarkStart w:id="72" w:name="_Toc7654"/>
      <w:r>
        <w:rPr>
          <w:rFonts w:hint="eastAsia"/>
          <w:color w:val="000000" w:themeColor="text1"/>
          <w14:textFill>
            <w14:solidFill>
              <w14:schemeClr w14:val="tx1"/>
            </w14:solidFill>
          </w14:textFill>
        </w:rPr>
        <w:t>加油站基本概况</w:t>
      </w:r>
      <w:r>
        <w:rPr>
          <w:color w:val="000000" w:themeColor="text1"/>
          <w14:textFill>
            <w14:solidFill>
              <w14:schemeClr w14:val="tx1"/>
            </w14:solidFill>
          </w14:textFill>
        </w:rPr>
        <w:t>简介</w:t>
      </w:r>
      <w:bookmarkEnd w:id="71"/>
      <w:bookmarkEnd w:id="72"/>
    </w:p>
    <w:p>
      <w:pPr>
        <w:keepNext w:val="0"/>
        <w:keepLines w:val="0"/>
        <w:pageBreakBefore w:val="0"/>
        <w:widowControl w:val="0"/>
        <w:kinsoku/>
        <w:wordWrap/>
        <w:overflowPunct/>
        <w:topLinePunct w:val="0"/>
        <w:autoSpaceDE/>
        <w:autoSpaceDN/>
        <w:bidi w:val="0"/>
        <w:adjustRightInd/>
        <w:snapToGrid/>
        <w:textAlignment w:val="auto"/>
        <w:rPr>
          <w:color w:val="000000" w:themeColor="text1"/>
          <w:szCs w:val="28"/>
          <w14:textFill>
            <w14:solidFill>
              <w14:schemeClr w14:val="tx1"/>
            </w14:solidFill>
          </w14:textFill>
        </w:rPr>
      </w:pPr>
      <w:bookmarkStart w:id="73" w:name="_Toc275268707"/>
      <w:r>
        <w:rPr>
          <w:rFonts w:hint="eastAsia"/>
          <w:color w:val="000000" w:themeColor="text1"/>
          <w:szCs w:val="28"/>
          <w:lang w:eastAsia="zh-CN"/>
          <w14:textFill>
            <w14:solidFill>
              <w14:schemeClr w14:val="tx1"/>
            </w14:solidFill>
          </w14:textFill>
        </w:rPr>
        <w:t>丘北天星正才加油站</w:t>
      </w:r>
      <w:r>
        <w:rPr>
          <w:rFonts w:hint="eastAsia"/>
          <w:color w:val="000000" w:themeColor="text1"/>
          <w:szCs w:val="28"/>
          <w14:textFill>
            <w14:solidFill>
              <w14:schemeClr w14:val="tx1"/>
            </w14:solidFill>
          </w14:textFill>
        </w:rPr>
        <w:t>成立于20</w:t>
      </w:r>
      <w:r>
        <w:rPr>
          <w:rFonts w:hint="eastAsia"/>
          <w:color w:val="000000" w:themeColor="text1"/>
          <w:szCs w:val="28"/>
          <w:lang w:val="en-US" w:eastAsia="zh-CN"/>
          <w14:textFill>
            <w14:solidFill>
              <w14:schemeClr w14:val="tx1"/>
            </w14:solidFill>
          </w14:textFill>
        </w:rPr>
        <w:t>15</w:t>
      </w:r>
      <w:r>
        <w:rPr>
          <w:rFonts w:hint="eastAsia"/>
          <w:color w:val="000000" w:themeColor="text1"/>
          <w:szCs w:val="28"/>
          <w14:textFill>
            <w14:solidFill>
              <w14:schemeClr w14:val="tx1"/>
            </w14:solidFill>
          </w14:textFill>
        </w:rPr>
        <w:t>年</w:t>
      </w:r>
      <w:r>
        <w:rPr>
          <w:rFonts w:hint="eastAsia"/>
          <w:color w:val="000000" w:themeColor="text1"/>
          <w:szCs w:val="28"/>
          <w:lang w:val="en-US" w:eastAsia="zh-CN"/>
          <w14:textFill>
            <w14:solidFill>
              <w14:schemeClr w14:val="tx1"/>
            </w14:solidFill>
          </w14:textFill>
        </w:rPr>
        <w:t>10</w:t>
      </w:r>
      <w:r>
        <w:rPr>
          <w:rFonts w:hint="eastAsia"/>
          <w:color w:val="000000" w:themeColor="text1"/>
          <w:szCs w:val="28"/>
          <w14:textFill>
            <w14:solidFill>
              <w14:schemeClr w14:val="tx1"/>
            </w14:solidFill>
          </w14:textFill>
        </w:rPr>
        <w:t>月</w:t>
      </w:r>
      <w:r>
        <w:rPr>
          <w:rFonts w:hint="eastAsia"/>
          <w:color w:val="000000" w:themeColor="text1"/>
          <w:szCs w:val="28"/>
          <w:lang w:val="en-US" w:eastAsia="zh-CN"/>
          <w14:textFill>
            <w14:solidFill>
              <w14:schemeClr w14:val="tx1"/>
            </w14:solidFill>
          </w14:textFill>
        </w:rPr>
        <w:t>08</w:t>
      </w:r>
      <w:r>
        <w:rPr>
          <w:rFonts w:hint="eastAsia"/>
          <w:color w:val="000000" w:themeColor="text1"/>
          <w:szCs w:val="28"/>
          <w14:textFill>
            <w14:solidFill>
              <w14:schemeClr w14:val="tx1"/>
            </w14:solidFill>
          </w14:textFill>
        </w:rPr>
        <w:t>日，地址位于</w:t>
      </w:r>
      <w:r>
        <w:rPr>
          <w:rFonts w:hint="eastAsia"/>
          <w:color w:val="000000" w:themeColor="text1"/>
          <w:szCs w:val="28"/>
          <w:lang w:eastAsia="zh-CN"/>
          <w14:textFill>
            <w14:solidFill>
              <w14:schemeClr w14:val="tx1"/>
            </w14:solidFill>
          </w14:textFill>
        </w:rPr>
        <w:t>云南省文山壮族苗族自治州丘北县天星乡天星街上</w:t>
      </w:r>
      <w:r>
        <w:rPr>
          <w:rFonts w:hint="eastAsia"/>
          <w:color w:val="000000" w:themeColor="text1"/>
          <w:szCs w:val="28"/>
          <w14:textFill>
            <w14:solidFill>
              <w14:schemeClr w14:val="tx1"/>
            </w14:solidFill>
          </w14:textFill>
        </w:rPr>
        <w:t>，</w:t>
      </w:r>
      <w:r>
        <w:rPr>
          <w:rFonts w:hint="eastAsia"/>
          <w:color w:val="000000" w:themeColor="text1"/>
          <w:szCs w:val="28"/>
          <w:lang w:val="en-US" w:eastAsia="zh-CN"/>
          <w14:textFill>
            <w14:solidFill>
              <w14:schemeClr w14:val="tx1"/>
            </w14:solidFill>
          </w14:textFill>
        </w:rPr>
        <w:t>法定代表人</w:t>
      </w:r>
      <w:r>
        <w:rPr>
          <w:rFonts w:hint="eastAsia"/>
          <w:color w:val="000000" w:themeColor="text1"/>
          <w:szCs w:val="28"/>
          <w14:textFill>
            <w14:solidFill>
              <w14:schemeClr w14:val="tx1"/>
            </w14:solidFill>
          </w14:textFill>
        </w:rPr>
        <w:t>为</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"https://aiqicha.baidu.com/person?personId=dfc4daeacc7f03078464a0d26c08e774" \t "_blank"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梁正才</w:t>
      </w:r>
      <w:r>
        <w:rPr>
          <w:color w:val="000000" w:themeColor="text1"/>
          <w14:textFill>
            <w14:solidFill>
              <w14:schemeClr w14:val="tx1"/>
            </w14:solidFill>
          </w14:textFill>
        </w:rPr>
        <w:fldChar w:fldCharType="end"/>
      </w:r>
      <w:r>
        <w:rPr>
          <w:rFonts w:hint="eastAsia"/>
          <w:color w:val="000000" w:themeColor="text1"/>
          <w:szCs w:val="28"/>
          <w14:textFill>
            <w14:solidFill>
              <w14:schemeClr w14:val="tx1"/>
            </w14:solidFill>
          </w14:textFill>
        </w:rPr>
        <w:t>，主要经营车用汽柴、柴油；加油站《危险化学品经营许可证》登记编号为：云文</w:t>
      </w:r>
      <w:r>
        <w:rPr>
          <w:rFonts w:hint="eastAsia"/>
          <w:color w:val="000000" w:themeColor="text1"/>
          <w:szCs w:val="28"/>
          <w:lang w:val="en-US" w:eastAsia="zh-CN"/>
          <w14:textFill>
            <w14:solidFill>
              <w14:schemeClr w14:val="tx1"/>
            </w14:solidFill>
          </w14:textFill>
        </w:rPr>
        <w:t>丘</w:t>
      </w:r>
      <w:r>
        <w:rPr>
          <w:rFonts w:hint="eastAsia"/>
          <w:color w:val="000000" w:themeColor="text1"/>
          <w:szCs w:val="28"/>
          <w14:textFill>
            <w14:solidFill>
              <w14:schemeClr w14:val="tx1"/>
            </w14:solidFill>
          </w14:textFill>
        </w:rPr>
        <w:t>危化经字</w:t>
      </w:r>
      <w:r>
        <w:rPr>
          <w:rFonts w:hint="eastAsia" w:ascii="新宋体" w:hAnsi="新宋体" w:eastAsia="新宋体"/>
          <w:color w:val="000000" w:themeColor="text1"/>
          <w14:textFill>
            <w14:solidFill>
              <w14:schemeClr w14:val="tx1"/>
            </w14:solidFill>
          </w14:textFill>
        </w:rPr>
        <w:t>〔20</w:t>
      </w:r>
      <w:r>
        <w:rPr>
          <w:rFonts w:hint="eastAsia" w:ascii="新宋体" w:hAnsi="新宋体" w:eastAsia="新宋体"/>
          <w:color w:val="000000" w:themeColor="text1"/>
          <w:lang w:val="en-US" w:eastAsia="zh-CN"/>
          <w14:textFill>
            <w14:solidFill>
              <w14:schemeClr w14:val="tx1"/>
            </w14:solidFill>
          </w14:textFill>
        </w:rPr>
        <w:t>18</w:t>
      </w: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color w:val="000000" w:themeColor="text1"/>
          <w:lang w:val="en-US" w:eastAsia="zh-CN"/>
          <w14:textFill>
            <w14:solidFill>
              <w14:schemeClr w14:val="tx1"/>
            </w14:solidFill>
          </w14:textFill>
        </w:rPr>
        <w:t>000009</w:t>
      </w:r>
      <w:r>
        <w:rPr>
          <w:color w:val="000000" w:themeColor="text1"/>
          <w:szCs w:val="28"/>
          <w14:textFill>
            <w14:solidFill>
              <w14:schemeClr w14:val="tx1"/>
            </w14:solidFill>
          </w14:textFill>
        </w:rPr>
        <w:t>，有效期2021年</w:t>
      </w:r>
      <w:r>
        <w:rPr>
          <w:rFonts w:hint="eastAsia"/>
          <w:color w:val="000000" w:themeColor="text1"/>
          <w:szCs w:val="28"/>
          <w:lang w:val="en-US" w:eastAsia="zh-CN"/>
          <w14:textFill>
            <w14:solidFill>
              <w14:schemeClr w14:val="tx1"/>
            </w14:solidFill>
          </w14:textFill>
        </w:rPr>
        <w:t>9</w:t>
      </w:r>
      <w:r>
        <w:rPr>
          <w:color w:val="000000" w:themeColor="text1"/>
          <w:szCs w:val="28"/>
          <w14:textFill>
            <w14:solidFill>
              <w14:schemeClr w14:val="tx1"/>
            </w14:solidFill>
          </w14:textFill>
        </w:rPr>
        <w:t>月</w:t>
      </w:r>
      <w:r>
        <w:rPr>
          <w:rFonts w:hint="eastAsia"/>
          <w:color w:val="000000" w:themeColor="text1"/>
          <w:szCs w:val="28"/>
          <w:lang w:val="en-US" w:eastAsia="zh-CN"/>
          <w14:textFill>
            <w14:solidFill>
              <w14:schemeClr w14:val="tx1"/>
            </w14:solidFill>
          </w14:textFill>
        </w:rPr>
        <w:t>11</w:t>
      </w:r>
      <w:r>
        <w:rPr>
          <w:color w:val="000000" w:themeColor="text1"/>
          <w:szCs w:val="28"/>
          <w14:textFill>
            <w14:solidFill>
              <w14:schemeClr w14:val="tx1"/>
            </w14:solidFill>
          </w14:textFill>
        </w:rPr>
        <w:t>日至2024年</w:t>
      </w:r>
      <w:bookmarkStart w:id="449" w:name="_GoBack"/>
      <w:bookmarkEnd w:id="449"/>
      <w:r>
        <w:rPr>
          <w:rFonts w:hint="eastAsia"/>
          <w:color w:val="000000" w:themeColor="text1"/>
          <w:szCs w:val="28"/>
          <w:lang w:val="en-US" w:eastAsia="zh-CN"/>
          <w14:textFill>
            <w14:solidFill>
              <w14:schemeClr w14:val="tx1"/>
            </w14:solidFill>
          </w14:textFill>
        </w:rPr>
        <w:t>9</w:t>
      </w:r>
      <w:r>
        <w:rPr>
          <w:color w:val="000000" w:themeColor="text1"/>
          <w:szCs w:val="28"/>
          <w14:textFill>
            <w14:solidFill>
              <w14:schemeClr w14:val="tx1"/>
            </w14:solidFill>
          </w14:textFill>
        </w:rPr>
        <w:t>月</w:t>
      </w:r>
      <w:r>
        <w:rPr>
          <w:rFonts w:hint="eastAsia"/>
          <w:color w:val="000000" w:themeColor="text1"/>
          <w:szCs w:val="28"/>
          <w:lang w:val="en-US" w:eastAsia="zh-CN"/>
          <w14:textFill>
            <w14:solidFill>
              <w14:schemeClr w14:val="tx1"/>
            </w14:solidFill>
          </w14:textFill>
        </w:rPr>
        <w:t>10</w:t>
      </w:r>
      <w:r>
        <w:rPr>
          <w:color w:val="000000" w:themeColor="text1"/>
          <w:szCs w:val="28"/>
          <w14:textFill>
            <w14:solidFill>
              <w14:schemeClr w14:val="tx1"/>
            </w14:solidFill>
          </w14:textFill>
        </w:rPr>
        <w:t>日</w:t>
      </w:r>
      <w:r>
        <w:rPr>
          <w:rFonts w:hint="eastAsia"/>
          <w:color w:val="000000" w:themeColor="text1"/>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textAlignment w:val="auto"/>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占地面积</w:t>
      </w:r>
      <w:r>
        <w:rPr>
          <w:rFonts w:hint="eastAsia"/>
          <w:color w:val="000000" w:themeColor="text1"/>
          <w:lang w:val="en-US" w:eastAsia="zh-CN"/>
          <w14:textFill>
            <w14:solidFill>
              <w14:schemeClr w14:val="tx1"/>
            </w14:solidFill>
          </w14:textFill>
        </w:rPr>
        <w:t>1756.1</w:t>
      </w:r>
      <w:r>
        <w:rPr>
          <w:rFonts w:hint="eastAsia"/>
          <w:color w:val="000000" w:themeColor="text1"/>
          <w14:textFill>
            <w14:solidFill>
              <w14:schemeClr w14:val="tx1"/>
            </w14:solidFill>
          </w14:textFill>
        </w:rPr>
        <w:t>㎡，油罐布置在站区</w:t>
      </w:r>
      <w:r>
        <w:rPr>
          <w:rFonts w:hint="eastAsia"/>
          <w:color w:val="000000" w:themeColor="text1"/>
          <w:lang w:val="en-US" w:eastAsia="zh-CN"/>
          <w14:textFill>
            <w14:solidFill>
              <w14:schemeClr w14:val="tx1"/>
            </w14:solidFill>
          </w14:textFill>
        </w:rPr>
        <w:t>东北</w:t>
      </w:r>
      <w:r>
        <w:rPr>
          <w:rFonts w:hint="eastAsia"/>
          <w:color w:val="000000" w:themeColor="text1"/>
          <w14:textFill>
            <w14:solidFill>
              <w14:schemeClr w14:val="tx1"/>
            </w14:solidFill>
          </w14:textFill>
        </w:rPr>
        <w:t>侧的油罐池内，设置有</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个卧式SF双层油罐，</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m³9</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#汽油罐1个，</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m³9</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#汽油罐1个，</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0m³0#柴油罐</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个，总容积</w:t>
      </w:r>
      <w:r>
        <w:rPr>
          <w:color w:val="000000" w:themeColor="text1"/>
          <w14:textFill>
            <w14:solidFill>
              <w14:schemeClr w14:val="tx1"/>
            </w14:solidFill>
          </w14:textFill>
        </w:rPr>
        <w:t>8</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m³（柴油折半），为三级加油站；加油区布置有</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座加油岛，</w:t>
      </w:r>
      <w:r>
        <w:rPr>
          <w:rFonts w:hint="eastAsia"/>
          <w:color w:val="000000" w:themeColor="text1"/>
          <w:lang w:val="en-US" w:eastAsia="zh-CN"/>
          <w14:textFill>
            <w14:solidFill>
              <w14:schemeClr w14:val="tx1"/>
            </w14:solidFill>
          </w14:textFill>
        </w:rPr>
        <w:t>每座</w:t>
      </w:r>
      <w:r>
        <w:rPr>
          <w:rFonts w:hint="eastAsia"/>
          <w:color w:val="000000" w:themeColor="text1"/>
          <w14:textFill>
            <w14:solidFill>
              <w14:schemeClr w14:val="tx1"/>
            </w14:solidFill>
          </w14:textFill>
        </w:rPr>
        <w:t>加油岛上布置</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台双枪加油机。目前从业人员为</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人，主要负责人及安全管理人员已通过安全教育培训，并经考核合格，持证上岗，站内其他人员经站内培训合格后上岗。</w:t>
      </w:r>
    </w:p>
    <w:p>
      <w:pPr>
        <w:pStyle w:val="3"/>
        <w:rPr>
          <w:color w:val="000000" w:themeColor="text1"/>
          <w14:textFill>
            <w14:solidFill>
              <w14:schemeClr w14:val="tx1"/>
            </w14:solidFill>
          </w14:textFill>
        </w:rPr>
      </w:pPr>
      <w:bookmarkStart w:id="74" w:name="_Toc13218"/>
      <w:bookmarkStart w:id="75" w:name="_Toc22407"/>
      <w:r>
        <w:rPr>
          <w:color w:val="000000" w:themeColor="text1"/>
          <w14:textFill>
            <w14:solidFill>
              <w14:schemeClr w14:val="tx1"/>
            </w14:solidFill>
          </w14:textFill>
        </w:rPr>
        <w:t>地理位置及交通条件</w:t>
      </w:r>
      <w:bookmarkEnd w:id="73"/>
      <w:bookmarkEnd w:id="74"/>
      <w:bookmarkEnd w:id="75"/>
    </w:p>
    <w:p>
      <w:pPr>
        <w:rPr>
          <w:color w:val="000000" w:themeColor="text1"/>
          <w:kern w:val="0"/>
          <w:szCs w:val="28"/>
          <w14:textFill>
            <w14:solidFill>
              <w14:schemeClr w14:val="tx1"/>
            </w14:solidFill>
          </w14:textFill>
        </w:rPr>
      </w:pPr>
      <w:r>
        <w:rPr>
          <w:rFonts w:hint="eastAsia"/>
          <w:color w:val="000000" w:themeColor="text1"/>
          <w:kern w:val="0"/>
          <w:szCs w:val="28"/>
          <w14:textFill>
            <w14:solidFill>
              <w14:schemeClr w14:val="tx1"/>
            </w14:solidFill>
          </w14:textFill>
        </w:rPr>
        <w:t>该加油站</w:t>
      </w:r>
      <w:r>
        <w:rPr>
          <w:rFonts w:hint="eastAsia"/>
          <w:color w:val="000000" w:themeColor="text1"/>
          <w:szCs w:val="28"/>
          <w14:textFill>
            <w14:solidFill>
              <w14:schemeClr w14:val="tx1"/>
            </w14:solidFill>
          </w14:textFill>
        </w:rPr>
        <w:t>位于</w:t>
      </w:r>
      <w:r>
        <w:rPr>
          <w:rFonts w:hint="eastAsia"/>
          <w:color w:val="000000" w:themeColor="text1"/>
          <w:szCs w:val="28"/>
          <w:lang w:eastAsia="zh-CN"/>
          <w14:textFill>
            <w14:solidFill>
              <w14:schemeClr w14:val="tx1"/>
            </w14:solidFill>
          </w14:textFill>
        </w:rPr>
        <w:t>云南省文山壮族苗族自治州丘北县天星乡天星街上</w:t>
      </w:r>
      <w:r>
        <w:rPr>
          <w:rFonts w:hint="eastAsia"/>
          <w:color w:val="000000" w:themeColor="text1"/>
          <w:szCs w:val="28"/>
          <w14:textFill>
            <w14:solidFill>
              <w14:schemeClr w14:val="tx1"/>
            </w14:solidFill>
          </w14:textFill>
        </w:rPr>
        <w:t>，地理坐标：东经104°17′37.612″</w:t>
      </w:r>
      <w:r>
        <w:rPr>
          <w:rFonts w:hint="eastAsia"/>
          <w:color w:val="000000" w:themeColor="text1"/>
          <w:szCs w:val="28"/>
          <w:lang w:eastAsia="zh-CN"/>
          <w14:textFill>
            <w14:solidFill>
              <w14:schemeClr w14:val="tx1"/>
            </w14:solidFill>
          </w14:textFill>
        </w:rPr>
        <w:t>，</w:t>
      </w:r>
      <w:r>
        <w:rPr>
          <w:rFonts w:hint="eastAsia"/>
          <w:color w:val="000000" w:themeColor="text1"/>
          <w:szCs w:val="28"/>
          <w14:textFill>
            <w14:solidFill>
              <w14:schemeClr w14:val="tx1"/>
            </w14:solidFill>
          </w14:textFill>
        </w:rPr>
        <w:t>北纬23°56′37.615″</w:t>
      </w:r>
      <w:r>
        <w:rPr>
          <w:color w:val="000000" w:themeColor="text1"/>
          <w:kern w:val="0"/>
          <w:szCs w:val="28"/>
          <w14:textFill>
            <w14:solidFill>
              <w14:schemeClr w14:val="tx1"/>
            </w14:solidFill>
          </w14:textFill>
        </w:rPr>
        <w:t>。</w:t>
      </w:r>
      <w:r>
        <w:rPr>
          <w:rFonts w:hint="eastAsia"/>
          <w:color w:val="000000" w:themeColor="text1"/>
          <w:kern w:val="0"/>
          <w:szCs w:val="28"/>
          <w:lang w:val="en-US" w:eastAsia="zh-CN"/>
          <w14:textFill>
            <w14:solidFill>
              <w14:schemeClr w14:val="tx1"/>
            </w14:solidFill>
          </w14:textFill>
        </w:rPr>
        <w:t>加油站地处</w:t>
      </w:r>
      <w:r>
        <w:rPr>
          <w:rFonts w:hint="eastAsia"/>
          <w:color w:val="000000" w:themeColor="text1"/>
          <w:szCs w:val="28"/>
          <w:lang w:eastAsia="zh-CN"/>
          <w14:textFill>
            <w14:solidFill>
              <w14:schemeClr w14:val="tx1"/>
            </w14:solidFill>
          </w14:textFill>
        </w:rPr>
        <w:t>天星乡天星街上</w:t>
      </w:r>
      <w:r>
        <w:rPr>
          <w:rFonts w:hint="eastAsia"/>
          <w:color w:val="000000" w:themeColor="text1"/>
          <w:kern w:val="0"/>
          <w:szCs w:val="28"/>
          <w:lang w:eastAsia="zh-CN"/>
          <w14:textFill>
            <w14:solidFill>
              <w14:schemeClr w14:val="tx1"/>
            </w14:solidFill>
          </w14:textFill>
        </w:rPr>
        <w:t>，</w:t>
      </w:r>
      <w:r>
        <w:rPr>
          <w:rFonts w:hint="eastAsia"/>
          <w:color w:val="000000" w:themeColor="text1"/>
          <w:kern w:val="0"/>
          <w:szCs w:val="28"/>
          <w14:textFill>
            <w14:solidFill>
              <w14:schemeClr w14:val="tx1"/>
            </w14:solidFill>
          </w14:textFill>
        </w:rPr>
        <w:t>交通位置便利。交通地理位置见图2-1。</w:t>
      </w:r>
    </w:p>
    <w:p>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2040255</wp:posOffset>
                </wp:positionH>
                <wp:positionV relativeFrom="paragraph">
                  <wp:posOffset>1976755</wp:posOffset>
                </wp:positionV>
                <wp:extent cx="1295400" cy="333375"/>
                <wp:effectExtent l="781050" t="0" r="19050" b="28575"/>
                <wp:wrapNone/>
                <wp:docPr id="9" name="对话气泡: 圆角矩形 9"/>
                <wp:cNvGraphicFramePr/>
                <a:graphic xmlns:a="http://schemas.openxmlformats.org/drawingml/2006/main">
                  <a:graphicData uri="http://schemas.microsoft.com/office/word/2010/wordprocessingShape">
                    <wps:wsp>
                      <wps:cNvSpPr/>
                      <wps:spPr>
                        <a:xfrm>
                          <a:off x="0" y="0"/>
                          <a:ext cx="1295400" cy="333375"/>
                        </a:xfrm>
                        <a:prstGeom prst="wedgeRoundRectCallout">
                          <a:avLst>
                            <a:gd name="adj1" fmla="val -107417"/>
                            <a:gd name="adj2" fmla="val 27996"/>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9" o:spid="_x0000_s1026" o:spt="62" type="#_x0000_t62" style="position:absolute;left:0pt;margin-left:160.65pt;margin-top:155.65pt;height:26.25pt;width:102pt;z-index:251667456;v-text-anchor:middle;mso-width-relative:page;mso-height-relative:page;" filled="f" stroked="t" coordsize="21600,21600" o:gfxdata="UEsDBAoAAAAAAIdO4kAAAAAAAAAAAAAAAAAEAAAAZHJzL1BLAwQUAAAACACHTuJAHcd5XdgAAAAL&#10;AQAADwAAAGRycy9kb3ducmV2LnhtbE2PzU7DMBCE70i8g7VI3Kjzo1YlxKkQiBOgioDE1Y2XJGq8&#10;jmLXaXl6tid6m90dzXxbbo52EBEn3ztSkC4SEEiNMz21Cr4+X+7WIHzQZPTgCBWc0MOmur4qdWHc&#10;TB8Y69AKDiFfaAVdCGMhpW86tNov3IjEtx83WR14nFppJj1zuB1kliQraXVP3NDpEZ86bPb1wXLJ&#10;+Pg7PW/jHF/fw/dbrM1pv71X6vYmTR5ABDyGfzOc8RkdKmbauQMZLwYFeZbmbGWRngU7ltmSxY43&#10;q3wNsirl5Q/VH1BLAwQUAAAACACHTuJAiwv+v80CAAByBQAADgAAAGRycy9lMm9Eb2MueG1srVTN&#10;bhMxEL4j8Q6W7+1m0zRpom6qKFEQUkWrFsTZ8Xp3jfyH7WRTHoAHQBxBCC6IU5E4ceBxWvoYjL3b&#10;NrQcemAPuzM745n5vpnx/sFaCrRi1nGtMpxudzBiiuqcqzLDL57Pt/Ywcp6onAitWIbPmMMH48eP&#10;9mszYl1daZEziyCIcqPaZLjy3oySxNGKSeK2tWEKjIW2knhQbZnkltQQXYqk2+n0k1rb3FhNmXPw&#10;d9YYcRvRPiSgLgpO2UzTpWTKN1EtE8QDJFdx4/A4VlsUjPqjonDMI5FhQOrjG5KAvAjvZLxPRqUl&#10;puK0LYE8pIQ7mCThCpLehJoRT9DS8nuhJKdWO134bapl0gCJjACKtHOHm9OKGBaxANXO3JDu/l9Y&#10;+mx1bBHPMzzESBEJDb84/3l1/vHy+/vLH59H6OLD26uv735/+nbx6wsaBr5q40Zw7NQc21ZzIAbw&#10;68LK8AVYaB05PrvhmK09ovAz7Q53ex2gn4JtB57Bbgia3J421vknTEsUhAzXLC/ZiV6q/AS6OSVC&#10;6KWPXJPVofOR9LwtneSvUowKKaCHKyLQVtoZ9NJB2+UNr+6mV3cwHPbv++xs+qT9fj/GgULbvCBd&#10;lxqKUHrOhYjzJBSqA9JBxElgSQoYToAsDRDtVIkRESVsH/U2InFa8DwcD4GcLRdTYREAyPB83oGn&#10;Zegvt5B7RlzV+EVTg0FyDwsquMzwXjh8fVoooDk0r2lXkPx6sW57uND5GUyC1c2KOEPnHDIcEueP&#10;iQU+oWVwa/gjeBVCAz7dShhV2r751//gD6MKVoxq2DHA/npJLMNIPFUwxMO01wtLGZXe7qALit20&#10;LDYtaimnGiiBDkN1UQz+XlyLhdXyJVwuk5AVTERRyN2w3CpT3+w+XE+UTSbRDRbREH+oTg0NwZte&#10;TpZeF9yHyQxENey0CqxiHNj22gi7vqlHr9urcvw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Hcd5&#10;XdgAAAALAQAADwAAAAAAAAABACAAAAAiAAAAZHJzL2Rvd25yZXYueG1sUEsBAhQAFAAAAAgAh07i&#10;QIsL/r/NAgAAcgUAAA4AAAAAAAAAAQAgAAAAJwEAAGRycy9lMm9Eb2MueG1sUEsFBgAAAAAGAAYA&#10;WQEAAGYGAAAAAA==&#10;" adj="-12402,16847,14400">
                <v:fill on="f" focussize="0,0"/>
                <v:stroke weight="1pt" color="#FF0000 [3204]" miterlimit="8" joinstyle="miter"/>
                <v:imagedata o:title=""/>
                <o:lock v:ext="edit" aspectratio="f"/>
                <v:textbox>
                  <w:txbxContent>
                    <w:p>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加油站所在地</w:t>
                      </w:r>
                    </w:p>
                  </w:txbxContent>
                </v:textbox>
              </v:shape>
            </w:pict>
          </mc:Fallback>
        </mc:AlternateContent>
      </w:r>
      <w:r>
        <w:drawing>
          <wp:inline distT="0" distB="0" distL="114300" distR="114300">
            <wp:extent cx="5828665" cy="4817110"/>
            <wp:effectExtent l="0" t="0" r="635" b="254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1"/>
                    <a:stretch>
                      <a:fillRect/>
                    </a:stretch>
                  </pic:blipFill>
                  <pic:spPr>
                    <a:xfrm>
                      <a:off x="0" y="0"/>
                      <a:ext cx="5828665" cy="4817110"/>
                    </a:xfrm>
                    <a:prstGeom prst="rect">
                      <a:avLst/>
                    </a:prstGeom>
                    <a:noFill/>
                    <a:ln>
                      <a:noFill/>
                    </a:ln>
                  </pic:spPr>
                </pic:pic>
              </a:graphicData>
            </a:graphic>
          </wp:inline>
        </w:drawing>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图2-1 交通地理位置图</w:t>
      </w:r>
    </w:p>
    <w:p>
      <w:pPr>
        <w:pStyle w:val="3"/>
        <w:rPr>
          <w:color w:val="000000" w:themeColor="text1"/>
          <w14:textFill>
            <w14:solidFill>
              <w14:schemeClr w14:val="tx1"/>
            </w14:solidFill>
          </w14:textFill>
        </w:rPr>
      </w:pPr>
      <w:bookmarkStart w:id="76" w:name="_Toc21047"/>
      <w:bookmarkStart w:id="77" w:name="_Toc27957"/>
      <w:bookmarkStart w:id="78" w:name="_Toc275268708"/>
      <w:r>
        <w:rPr>
          <w:color w:val="000000" w:themeColor="text1"/>
          <w14:textFill>
            <w14:solidFill>
              <w14:schemeClr w14:val="tx1"/>
            </w14:solidFill>
          </w14:textFill>
        </w:rPr>
        <w:t>自然条件</w:t>
      </w:r>
      <w:bookmarkEnd w:id="76"/>
      <w:bookmarkEnd w:id="77"/>
      <w:bookmarkEnd w:id="78"/>
    </w:p>
    <w:p>
      <w:pPr>
        <w:pStyle w:val="4"/>
        <w:ind w:firstLine="562"/>
        <w:rPr>
          <w:color w:val="000000" w:themeColor="text1"/>
          <w14:textFill>
            <w14:solidFill>
              <w14:schemeClr w14:val="tx1"/>
            </w14:solidFill>
          </w14:textFill>
        </w:rPr>
      </w:pPr>
      <w:bookmarkStart w:id="79" w:name="_Toc24543"/>
      <w:bookmarkStart w:id="80" w:name="_Toc1911"/>
      <w:r>
        <w:rPr>
          <w:rFonts w:hint="eastAsia"/>
          <w:color w:val="000000" w:themeColor="text1"/>
          <w14:textFill>
            <w14:solidFill>
              <w14:schemeClr w14:val="tx1"/>
            </w14:solidFill>
          </w14:textFill>
        </w:rPr>
        <w:t>地质地貌</w:t>
      </w:r>
      <w:bookmarkEnd w:id="79"/>
      <w:bookmarkEnd w:id="80"/>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color w:val="000000" w:themeColor="text1"/>
          <w14:textFill>
            <w14:solidFill>
              <w14:schemeClr w14:val="tx1"/>
            </w14:solidFill>
          </w14:textFill>
        </w:rPr>
        <w:t>丘北县地处滇东南岩溶山原丘陵地带，地势西南高，东北低，六诏山支系大总山纵横全境，境内最高海拔（羊雄山顶峰）2501</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8米，最低海拔（弄位村）782米。</w:t>
      </w:r>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color w:val="000000" w:themeColor="text1"/>
          <w14:textFill>
            <w14:solidFill>
              <w14:schemeClr w14:val="tx1"/>
            </w14:solidFill>
          </w14:textFill>
        </w:rPr>
        <w:t>天星乡地处云贵高原东南斜坡地带，地势西南高，东北低，地形分石山区和平坝区，主要山脉属六诏山支系大总山，平均海技1329米。境内最高点位于西牛大山，海拔1961米；最低点位于法白村南丘，海拔1246米。</w:t>
      </w:r>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加油站未提供地质勘察资料，根据加油站运行多年以及项目组现场勘察情况，加油站</w:t>
      </w:r>
      <w:r>
        <w:rPr>
          <w:color w:val="000000" w:themeColor="text1"/>
          <w14:textFill>
            <w14:solidFill>
              <w14:schemeClr w14:val="tx1"/>
            </w14:solidFill>
          </w14:textFill>
        </w:rPr>
        <w:t>周边</w:t>
      </w:r>
      <w:r>
        <w:rPr>
          <w:rFonts w:hint="eastAsia"/>
          <w:color w:val="000000" w:themeColor="text1"/>
          <w14:textFill>
            <w14:solidFill>
              <w14:schemeClr w14:val="tx1"/>
            </w14:solidFill>
          </w14:textFill>
        </w:rPr>
        <w:t>暂</w:t>
      </w:r>
      <w:r>
        <w:rPr>
          <w:color w:val="000000" w:themeColor="text1"/>
          <w14:textFill>
            <w14:solidFill>
              <w14:schemeClr w14:val="tx1"/>
            </w14:solidFill>
          </w14:textFill>
        </w:rPr>
        <w:t>未发现滑坡、坍塌等不良地质现象</w:t>
      </w:r>
      <w:r>
        <w:rPr>
          <w:rFonts w:hint="eastAsia"/>
          <w:color w:val="000000" w:themeColor="text1"/>
          <w14:textFill>
            <w14:solidFill>
              <w14:schemeClr w14:val="tx1"/>
            </w14:solidFill>
          </w14:textFill>
        </w:rPr>
        <w:t>。</w:t>
      </w:r>
    </w:p>
    <w:p>
      <w:pPr>
        <w:pStyle w:val="4"/>
        <w:ind w:firstLine="562"/>
        <w:rPr>
          <w:color w:val="000000" w:themeColor="text1"/>
          <w14:textFill>
            <w14:solidFill>
              <w14:schemeClr w14:val="tx1"/>
            </w14:solidFill>
          </w14:textFill>
        </w:rPr>
      </w:pPr>
      <w:bookmarkStart w:id="81" w:name="_Toc11377"/>
      <w:bookmarkStart w:id="82" w:name="_Toc8301"/>
      <w:r>
        <w:rPr>
          <w:rFonts w:hint="eastAsia"/>
          <w:color w:val="000000" w:themeColor="text1"/>
          <w14:textFill>
            <w14:solidFill>
              <w14:schemeClr w14:val="tx1"/>
            </w14:solidFill>
          </w14:textFill>
        </w:rPr>
        <w:t>气象条件</w:t>
      </w:r>
      <w:bookmarkEnd w:id="81"/>
      <w:bookmarkEnd w:id="82"/>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bookmarkStart w:id="83" w:name="_Toc275268712"/>
      <w:bookmarkStart w:id="84" w:name="_Toc248220514"/>
      <w:r>
        <w:rPr>
          <w:rFonts w:hint="eastAsia"/>
          <w:color w:val="000000" w:themeColor="text1"/>
          <w14:textFill>
            <w14:solidFill>
              <w14:schemeClr w14:val="tx1"/>
            </w14:solidFill>
          </w14:textFill>
        </w:rPr>
        <w:t>丘北县由于地处低纬季风区域，气候总体上属中亚热带高原季风气候，有南亚热带、中亚热带、北亚热带、南温带4个气候类型，四季温差小、干湿季分明、垂直差异显著，春温回升迅速，夏季温暖而不炎热，秋季降温剧烈，冬季温和而不寒冷，终年温暖。年平均气温16.7℃，最冷月平均气温9.2℃，最热月平均气温21.９℃，历年极端最低气温6℃，历年极端最高气温34.9℃。年平均降雨量1143.３毫米，光照充足，无霜期较长，年平均无霜期282天，年雷暴日数79</w:t>
      </w:r>
      <w:r>
        <w:rPr>
          <w:rFonts w:hint="eastAsia"/>
          <w:color w:val="000000" w:themeColor="text1"/>
          <w:lang w:val="en-US" w:eastAsia="zh-CN"/>
          <w14:textFill>
            <w14:solidFill>
              <w14:schemeClr w14:val="tx1"/>
            </w14:solidFill>
          </w14:textFill>
        </w:rPr>
        <w:t>天</w:t>
      </w:r>
      <w:r>
        <w:rPr>
          <w:rFonts w:hint="eastAsia"/>
          <w:color w:val="000000" w:themeColor="text1"/>
          <w14:textFill>
            <w14:solidFill>
              <w14:schemeClr w14:val="tx1"/>
            </w14:solidFill>
          </w14:textFill>
        </w:rPr>
        <w:t>。年平均风速 1.8m/s，常年</w:t>
      </w:r>
      <w:r>
        <w:rPr>
          <w:rFonts w:hint="eastAsia"/>
          <w:color w:val="000000" w:themeColor="text1"/>
          <w14:textFill>
            <w14:solidFill>
              <w14:schemeClr w14:val="tx1"/>
            </w14:solidFill>
          </w14:textFill>
        </w:rPr>
        <w:t>主导风向为南风。</w:t>
      </w:r>
    </w:p>
    <w:p>
      <w:pPr>
        <w:pStyle w:val="4"/>
        <w:ind w:firstLine="562"/>
        <w:rPr>
          <w:color w:val="000000" w:themeColor="text1"/>
          <w14:textFill>
            <w14:solidFill>
              <w14:schemeClr w14:val="tx1"/>
            </w14:solidFill>
          </w14:textFill>
        </w:rPr>
      </w:pPr>
      <w:bookmarkStart w:id="85" w:name="_Toc14883"/>
      <w:bookmarkStart w:id="86" w:name="_Toc18480"/>
      <w:r>
        <w:rPr>
          <w:rFonts w:hint="eastAsia"/>
          <w:color w:val="000000" w:themeColor="text1"/>
          <w14:textFill>
            <w14:solidFill>
              <w14:schemeClr w14:val="tx1"/>
            </w14:solidFill>
          </w14:textFill>
        </w:rPr>
        <w:t>地震条件</w:t>
      </w:r>
      <w:bookmarkEnd w:id="85"/>
      <w:bookmarkEnd w:id="86"/>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根据《建筑抗震设计规范（2016年版）》（GB50011-2010）附录A.22，</w:t>
      </w:r>
      <w:r>
        <w:rPr>
          <w:rFonts w:hint="eastAsia"/>
          <w:color w:val="000000" w:themeColor="text1"/>
          <w:lang w:val="en-US" w:eastAsia="zh-CN"/>
          <w14:textFill>
            <w14:solidFill>
              <w14:schemeClr w14:val="tx1"/>
            </w14:solidFill>
          </w14:textFill>
        </w:rPr>
        <w:t>丘北县</w:t>
      </w:r>
      <w:r>
        <w:rPr>
          <w:rFonts w:hint="eastAsia"/>
          <w:color w:val="000000" w:themeColor="text1"/>
          <w14:textFill>
            <w14:solidFill>
              <w14:schemeClr w14:val="tx1"/>
            </w14:solidFill>
          </w14:textFill>
        </w:rPr>
        <w:t>抗震设防烈度为</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度，设计地震分组为第三组，设计基本地震加速度值为0.</w:t>
      </w:r>
      <w:r>
        <w:rPr>
          <w:rFonts w:hint="eastAsia"/>
          <w:color w:val="000000" w:themeColor="text1"/>
          <w:lang w:val="en-US" w:eastAsia="zh-CN"/>
          <w14:textFill>
            <w14:solidFill>
              <w14:schemeClr w14:val="tx1"/>
            </w14:solidFill>
          </w14:textFill>
        </w:rPr>
        <w:t>05</w:t>
      </w:r>
      <w:r>
        <w:rPr>
          <w:rFonts w:hint="eastAsia"/>
          <w:color w:val="000000" w:themeColor="text1"/>
          <w14:textFill>
            <w14:solidFill>
              <w14:schemeClr w14:val="tx1"/>
            </w14:solidFill>
          </w14:textFill>
        </w:rPr>
        <w:t>g。</w:t>
      </w:r>
    </w:p>
    <w:p>
      <w:pPr>
        <w:pStyle w:val="3"/>
        <w:rPr>
          <w:color w:val="auto"/>
        </w:rPr>
      </w:pPr>
      <w:bookmarkStart w:id="87" w:name="_Toc25370"/>
      <w:bookmarkStart w:id="88" w:name="_Toc21263"/>
      <w:r>
        <w:rPr>
          <w:rFonts w:hint="eastAsia"/>
          <w:color w:val="auto"/>
        </w:rPr>
        <w:t>加油站</w:t>
      </w:r>
      <w:r>
        <w:rPr>
          <w:color w:val="auto"/>
        </w:rPr>
        <w:t>周边情况</w:t>
      </w:r>
      <w:bookmarkEnd w:id="83"/>
      <w:bookmarkEnd w:id="84"/>
      <w:bookmarkEnd w:id="87"/>
      <w:bookmarkEnd w:id="88"/>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（1）加油站周边情况</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加油站坐</w:t>
      </w:r>
      <w:r>
        <w:rPr>
          <w:rFonts w:hint="eastAsia"/>
          <w:color w:val="000000" w:themeColor="text1"/>
          <w:lang w:val="en-US" w:eastAsia="zh-CN"/>
          <w14:textFill>
            <w14:solidFill>
              <w14:schemeClr w14:val="tx1"/>
            </w14:solidFill>
          </w14:textFill>
        </w:rPr>
        <w:t>北</w:t>
      </w:r>
      <w:r>
        <w:rPr>
          <w:rFonts w:hint="eastAsia"/>
          <w:color w:val="000000" w:themeColor="text1"/>
          <w14:textFill>
            <w14:solidFill>
              <w14:schemeClr w14:val="tx1"/>
            </w14:solidFill>
          </w14:textFill>
        </w:rPr>
        <w:t>朝</w:t>
      </w:r>
      <w:r>
        <w:rPr>
          <w:rFonts w:hint="eastAsia"/>
          <w:color w:val="000000" w:themeColor="text1"/>
          <w:lang w:val="en-US" w:eastAsia="zh-CN"/>
          <w14:textFill>
            <w14:solidFill>
              <w14:schemeClr w14:val="tx1"/>
            </w14:solidFill>
          </w14:textFill>
        </w:rPr>
        <w:t>南</w:t>
      </w:r>
      <w:r>
        <w:rPr>
          <w:rFonts w:hint="eastAsia"/>
          <w:color w:val="000000" w:themeColor="text1"/>
          <w14:textFill>
            <w14:solidFill>
              <w14:schemeClr w14:val="tx1"/>
            </w14:solidFill>
          </w14:textFill>
        </w:rPr>
        <w:t>向，北面为</w:t>
      </w:r>
      <w:r>
        <w:rPr>
          <w:rFonts w:hint="eastAsia"/>
          <w:color w:val="000000" w:themeColor="text1"/>
          <w:lang w:val="en-US" w:eastAsia="zh-CN"/>
          <w14:textFill>
            <w14:solidFill>
              <w14:schemeClr w14:val="tx1"/>
            </w14:solidFill>
          </w14:textFill>
        </w:rPr>
        <w:t>耕地</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耕地上有两条东西走向的高压电力线</w:t>
      </w:r>
      <w:r>
        <w:rPr>
          <w:rFonts w:hint="eastAsia"/>
          <w:color w:val="000000" w:themeColor="text1"/>
          <w14:textFill>
            <w14:solidFill>
              <w14:schemeClr w14:val="tx1"/>
            </w14:solidFill>
          </w14:textFill>
        </w:rPr>
        <w:t>；加油站</w:t>
      </w:r>
      <w:r>
        <w:rPr>
          <w:rFonts w:hint="eastAsia"/>
          <w:color w:val="000000" w:themeColor="text1"/>
          <w:lang w:val="en-US" w:eastAsia="zh-CN"/>
          <w14:textFill>
            <w14:solidFill>
              <w14:schemeClr w14:val="tx1"/>
            </w14:solidFill>
          </w14:textFill>
        </w:rPr>
        <w:t>南面为天星公路，隔公路为耕地，公路与耕地之间有一东西走向的架空电力线</w:t>
      </w:r>
      <w:r>
        <w:rPr>
          <w:rFonts w:hint="eastAsia"/>
          <w:color w:val="000000" w:themeColor="text1"/>
          <w14:textFill>
            <w14:solidFill>
              <w14:schemeClr w14:val="tx1"/>
            </w14:solidFill>
          </w14:textFill>
        </w:rPr>
        <w:t>；加油站西面为</w:t>
      </w:r>
      <w:r>
        <w:rPr>
          <w:rFonts w:hint="eastAsia"/>
          <w:color w:val="000000" w:themeColor="text1"/>
          <w:lang w:val="en-US" w:eastAsia="zh-CN"/>
          <w14:textFill>
            <w14:solidFill>
              <w14:schemeClr w14:val="tx1"/>
            </w14:solidFill>
          </w14:textFill>
        </w:rPr>
        <w:t>耕地</w:t>
      </w:r>
      <w:r>
        <w:rPr>
          <w:rFonts w:hint="eastAsia"/>
          <w:color w:val="000000" w:themeColor="text1"/>
          <w14:textFill>
            <w14:solidFill>
              <w14:schemeClr w14:val="tx1"/>
            </w14:solidFill>
          </w14:textFill>
        </w:rPr>
        <w:t>；加油站</w:t>
      </w:r>
      <w:r>
        <w:rPr>
          <w:rFonts w:hint="eastAsia"/>
          <w:color w:val="000000" w:themeColor="text1"/>
          <w:lang w:val="en-US" w:eastAsia="zh-CN"/>
          <w14:textFill>
            <w14:solidFill>
              <w14:schemeClr w14:val="tx1"/>
            </w14:solidFill>
          </w14:textFill>
        </w:rPr>
        <w:t>西南面出</w:t>
      </w:r>
      <w:r>
        <w:rPr>
          <w:rFonts w:hint="eastAsia"/>
          <w:color w:val="000000" w:themeColor="text1"/>
          <w14:textFill>
            <w14:solidFill>
              <w14:schemeClr w14:val="tx1"/>
            </w14:solidFill>
          </w14:textFill>
        </w:rPr>
        <w:t>口旁有一南北走向的架空电力线；加油站</w:t>
      </w:r>
      <w:r>
        <w:rPr>
          <w:rFonts w:hint="eastAsia"/>
          <w:color w:val="000000" w:themeColor="text1"/>
          <w:lang w:val="en-US" w:eastAsia="zh-CN"/>
          <w14:textFill>
            <w14:solidFill>
              <w14:schemeClr w14:val="tx1"/>
            </w14:solidFill>
          </w14:textFill>
        </w:rPr>
        <w:t>西南面隔公路有一民房</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加油站东面</w:t>
      </w:r>
      <w:r>
        <w:rPr>
          <w:rFonts w:hint="eastAsia"/>
          <w:color w:val="000000" w:themeColor="text1"/>
          <w:lang w:val="en-US" w:eastAsia="zh-CN"/>
          <w14:textFill>
            <w14:solidFill>
              <w14:schemeClr w14:val="tx1"/>
            </w14:solidFill>
          </w14:textFill>
        </w:rPr>
        <w:t>和东北面</w:t>
      </w:r>
      <w:r>
        <w:rPr>
          <w:rFonts w:hint="eastAsia"/>
          <w:color w:val="000000" w:themeColor="text1"/>
          <w14:textFill>
            <w14:solidFill>
              <w14:schemeClr w14:val="tx1"/>
            </w14:solidFill>
          </w14:textFill>
        </w:rPr>
        <w:t>为中铁二十四局项目部</w:t>
      </w:r>
      <w:r>
        <w:rPr>
          <w:rFonts w:hint="eastAsia"/>
          <w:color w:val="000000" w:themeColor="text1"/>
          <w:lang w:val="en-US" w:eastAsia="zh-CN"/>
          <w14:textFill>
            <w14:solidFill>
              <w14:schemeClr w14:val="tx1"/>
            </w14:solidFill>
          </w14:textFill>
        </w:rPr>
        <w:t>建筑</w:t>
      </w:r>
      <w:r>
        <w:rPr>
          <w:rFonts w:hint="eastAsia"/>
          <w:color w:val="000000" w:themeColor="text1"/>
          <w14:textFill>
            <w14:solidFill>
              <w14:schemeClr w14:val="tx1"/>
            </w14:solidFill>
          </w14:textFill>
        </w:rPr>
        <w:t>。加油站与周边建（构）筑物的安全距离描述如下：</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bookmarkStart w:id="89" w:name="_Hlk162358875"/>
      <w:r>
        <w:rPr>
          <w:rFonts w:hint="eastAsia"/>
          <w:color w:val="000000" w:themeColor="text1"/>
          <w14:textFill>
            <w14:solidFill>
              <w14:schemeClr w14:val="tx1"/>
            </w14:solidFill>
          </w14:textFill>
        </w:rPr>
        <w:t>加油站北面</w:t>
      </w:r>
      <w:r>
        <w:rPr>
          <w:rFonts w:hint="eastAsia"/>
          <w:color w:val="000000" w:themeColor="text1"/>
          <w:lang w:val="en-US" w:eastAsia="zh-CN"/>
          <w14:textFill>
            <w14:solidFill>
              <w14:schemeClr w14:val="tx1"/>
            </w14:solidFill>
          </w14:textFill>
        </w:rPr>
        <w:t>距离加油站最近的一条高压电力线，</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15.5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45.5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53.6</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w:t>
      </w:r>
      <w:r>
        <w:rPr>
          <w:rFonts w:hint="eastAsia"/>
          <w:color w:val="000000" w:themeColor="text1"/>
          <w:lang w:val="en-US" w:eastAsia="zh-CN"/>
          <w14:textFill>
            <w14:solidFill>
              <w14:schemeClr w14:val="tx1"/>
            </w14:solidFill>
          </w14:textFill>
        </w:rPr>
        <w:t>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天星公路</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41.6</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17.5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50.6</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40</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50.6</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rPr>
      </w:pPr>
      <w:r>
        <w:rPr>
          <w:rFonts w:hint="eastAsia"/>
          <w:color w:val="000000" w:themeColor="text1"/>
          <w14:textFill>
            <w14:solidFill>
              <w14:schemeClr w14:val="tx1"/>
            </w14:solidFill>
          </w14:textFill>
        </w:rPr>
        <w:t>加油站</w:t>
      </w:r>
      <w:r>
        <w:rPr>
          <w:rFonts w:hint="eastAsia"/>
          <w:color w:val="000000" w:themeColor="text1"/>
          <w:lang w:val="en-US" w:eastAsia="zh-CN"/>
          <w14:textFill>
            <w14:solidFill>
              <w14:schemeClr w14:val="tx1"/>
            </w14:solidFill>
          </w14:textFill>
        </w:rPr>
        <w:t>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架空电力线</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52</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26</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58</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52</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17</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58</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加油站西</w:t>
      </w:r>
      <w:r>
        <w:rPr>
          <w:rFonts w:hint="eastAsia"/>
          <w:color w:val="000000" w:themeColor="text1"/>
          <w:lang w:val="en-US" w:eastAsia="zh-CN"/>
          <w14:textFill>
            <w14:solidFill>
              <w14:schemeClr w14:val="tx1"/>
            </w14:solidFill>
          </w14:textFill>
        </w:rPr>
        <w:t>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架空电力线</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40</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11</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48</w:t>
      </w:r>
      <w:r>
        <w:rPr>
          <w:rFonts w:hint="eastAsia"/>
          <w:color w:val="000000" w:themeColor="text1"/>
          <w14:textFill>
            <w14:solidFill>
              <w14:schemeClr w14:val="tx1"/>
            </w14:solidFill>
          </w14:textFill>
        </w:rPr>
        <w:t>m；距离柴油罐、加油机、通气管管口的安全间距分别为：4</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10.5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48.4</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rPr>
      </w:pPr>
      <w:r>
        <w:rPr>
          <w:rFonts w:hint="eastAsia"/>
          <w:color w:val="000000" w:themeColor="text1"/>
          <w14:textFill>
            <w14:solidFill>
              <w14:schemeClr w14:val="tx1"/>
            </w14:solidFill>
          </w14:textFill>
        </w:rPr>
        <w:t>加油站西</w:t>
      </w:r>
      <w:r>
        <w:rPr>
          <w:rFonts w:hint="eastAsia"/>
          <w:color w:val="000000" w:themeColor="text1"/>
          <w:lang w:val="en-US" w:eastAsia="zh-CN"/>
          <w14:textFill>
            <w14:solidFill>
              <w14:schemeClr w14:val="tx1"/>
            </w14:solidFill>
          </w14:textFill>
        </w:rPr>
        <w:t>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民房</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113</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82</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122</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119</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78</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122</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加油站东面中铁二十四局项目部</w:t>
      </w:r>
      <w:r>
        <w:rPr>
          <w:rFonts w:hint="eastAsia"/>
          <w:color w:val="000000" w:themeColor="text1"/>
          <w:lang w:val="en-US" w:eastAsia="zh-CN"/>
          <w14:textFill>
            <w14:solidFill>
              <w14:schemeClr w14:val="tx1"/>
            </w14:solidFill>
          </w14:textFill>
        </w:rPr>
        <w:t>建筑</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26</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47</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25.4</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22</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59</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25</w:t>
      </w:r>
      <w:r>
        <w:rPr>
          <w:rFonts w:hint="eastAsia"/>
          <w:color w:val="000000" w:themeColor="text1"/>
          <w14:textFill>
            <w14:solidFill>
              <w14:schemeClr w14:val="tx1"/>
            </w14:solidFill>
          </w14:textFill>
        </w:rPr>
        <w:t>m。</w:t>
      </w:r>
    </w:p>
    <w:bookmarkEnd w:id="89"/>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加油站东</w:t>
      </w:r>
      <w:r>
        <w:rPr>
          <w:rFonts w:hint="eastAsia"/>
          <w:color w:val="000000" w:themeColor="text1"/>
          <w:lang w:val="en-US" w:eastAsia="zh-CN"/>
          <w14:textFill>
            <w14:solidFill>
              <w14:schemeClr w14:val="tx1"/>
            </w14:solidFill>
          </w14:textFill>
        </w:rPr>
        <w:t>北</w:t>
      </w:r>
      <w:r>
        <w:rPr>
          <w:rFonts w:hint="eastAsia"/>
          <w:color w:val="000000" w:themeColor="text1"/>
          <w14:textFill>
            <w14:solidFill>
              <w14:schemeClr w14:val="tx1"/>
            </w14:solidFill>
          </w14:textFill>
        </w:rPr>
        <w:t>面中铁二十四局项目部</w:t>
      </w:r>
      <w:r>
        <w:rPr>
          <w:rFonts w:hint="eastAsia"/>
          <w:color w:val="000000" w:themeColor="text1"/>
          <w:lang w:val="en-US" w:eastAsia="zh-CN"/>
          <w14:textFill>
            <w14:solidFill>
              <w14:schemeClr w14:val="tx1"/>
            </w14:solidFill>
          </w14:textFill>
        </w:rPr>
        <w:t>建筑</w:t>
      </w:r>
      <w:r>
        <w:rPr>
          <w:rFonts w:hint="eastAsia"/>
          <w:color w:val="000000" w:themeColor="text1"/>
          <w14:textFill>
            <w14:solidFill>
              <w14:schemeClr w14:val="tx1"/>
            </w14:solidFill>
          </w14:textFill>
        </w:rPr>
        <w:t>与汽油罐、加油机、通气管管口的安全间距分别为：</w:t>
      </w: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49</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13.5</w:t>
      </w:r>
      <w:r>
        <w:rPr>
          <w:rFonts w:hint="eastAsia"/>
          <w:color w:val="000000" w:themeColor="text1"/>
          <w14:textFill>
            <w14:solidFill>
              <w14:schemeClr w14:val="tx1"/>
            </w14:solidFill>
          </w14:textFill>
        </w:rPr>
        <w:t>m；距离柴油罐、加油机、通气管管口的安全间距分别为：</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57</w:t>
      </w:r>
      <w:r>
        <w:rPr>
          <w:rFonts w:hint="eastAsia"/>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13.5</w:t>
      </w:r>
      <w:r>
        <w:rPr>
          <w:rFonts w:hint="eastAsia"/>
          <w:color w:val="000000" w:themeColor="text1"/>
          <w14:textFill>
            <w14:solidFill>
              <w14:schemeClr w14:val="tx1"/>
            </w14:solidFill>
          </w14:textFill>
        </w:rPr>
        <w:t>m。</w:t>
      </w:r>
    </w:p>
    <w:p>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（2）项目与周边建构筑物距离</w:t>
      </w:r>
    </w:p>
    <w:p>
      <w:pPr>
        <w:keepNext w:val="0"/>
        <w:keepLines w:val="0"/>
        <w:pageBreakBefore w:val="0"/>
        <w:widowControl w:val="0"/>
        <w:kinsoku/>
        <w:wordWrap/>
        <w:overflowPunct/>
        <w:topLinePunct w:val="0"/>
        <w:autoSpaceDE/>
        <w:autoSpaceDN/>
        <w:bidi w:val="0"/>
        <w:adjustRightInd/>
        <w:snapToGrid w:val="0"/>
        <w:textAlignment w:val="auto"/>
        <w:rPr>
          <w:rFonts w:hAnsi="宋体"/>
          <w:color w:val="000000" w:themeColor="text1"/>
          <w:sz w:val="28"/>
          <w:szCs w:val="20"/>
          <w14:textFill>
            <w14:solidFill>
              <w14:schemeClr w14:val="tx1"/>
            </w14:solidFill>
          </w14:textFill>
        </w:rPr>
      </w:pPr>
      <w:r>
        <w:rPr>
          <w:rFonts w:hint="eastAsia"/>
          <w:color w:val="000000" w:themeColor="text1"/>
          <w14:textFill>
            <w14:solidFill>
              <w14:schemeClr w14:val="tx1"/>
            </w14:solidFill>
          </w14:textFill>
        </w:rPr>
        <w:t>加油站周边环境情况，见图2-2。汽油设备与站外建（构）筑物的安全距离见表2-1；柴油设备与站外建（构）筑物的安全距离见表2-2。</w:t>
      </w:r>
    </w:p>
    <w:p>
      <w:pPr>
        <w:spacing w:line="240" w:lineRule="auto"/>
        <w:ind w:firstLine="0" w:firstLineChars="0"/>
        <w:rPr>
          <w:color w:val="000000" w:themeColor="text1"/>
          <w14:textFill>
            <w14:solidFill>
              <w14:schemeClr w14:val="tx1"/>
            </w14:solidFill>
          </w14:textFill>
        </w:rPr>
      </w:pPr>
      <w:r>
        <w:rPr>
          <w:sz w:val="28"/>
        </w:rPr>
        <mc:AlternateContent>
          <mc:Choice Requires="wps">
            <w:drawing>
              <wp:anchor distT="0" distB="0" distL="114300" distR="114300" simplePos="0" relativeHeight="251671552" behindDoc="0" locked="0" layoutInCell="1" allowOverlap="1">
                <wp:simplePos x="0" y="0"/>
                <wp:positionH relativeFrom="column">
                  <wp:posOffset>-8890</wp:posOffset>
                </wp:positionH>
                <wp:positionV relativeFrom="paragraph">
                  <wp:posOffset>2571750</wp:posOffset>
                </wp:positionV>
                <wp:extent cx="752475" cy="33274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752475" cy="332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default" w:eastAsia="宋体"/>
                                <w:b/>
                                <w:bCs/>
                                <w:color w:val="FFFFFF" w:themeColor="background1"/>
                                <w:lang w:val="en-US" w:eastAsia="zh-CN"/>
                                <w14:textFill>
                                  <w14:solidFill>
                                    <w14:schemeClr w14:val="bg1"/>
                                  </w14:solidFill>
                                </w14:textFill>
                              </w:rPr>
                            </w:pPr>
                            <w:r>
                              <w:rPr>
                                <w:rFonts w:hint="eastAsia"/>
                                <w:b/>
                                <w:bCs/>
                                <w:color w:val="000000" w:themeColor="text1"/>
                                <w:lang w:val="en-US" w:eastAsia="zh-CN"/>
                                <w14:textFill>
                                  <w14:solidFill>
                                    <w14:schemeClr w14:val="tx1"/>
                                  </w14:solidFill>
                                </w14:textFill>
                              </w:rPr>
                              <w:t>民房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pt;margin-top:202.5pt;height:26.2pt;width:59.25pt;z-index:251671552;mso-width-relative:page;mso-height-relative:page;" filled="f" stroked="f" coordsize="21600,21600" o:gfxdata="UEsDBAoAAAAAAIdO4kAAAAAAAAAAAAAAAAAEAAAAZHJzL1BLAwQUAAAACACHTuJA2WINTtoAAAAK&#10;AQAADwAAAGRycy9kb3ducmV2LnhtbE2Py07DMBBF90j8gzVI7FrbVUKrEKdCkSokBIuWbthN4mkS&#10;4UeI3Qd8Pe4KljNzdOfccn2xhp1oCoN3CuRcACPXej24TsH+fTNbAQsRnUbjHSn4pgDr6vamxEL7&#10;s9vSaRc7lkJcKFBBH+NYcB7aniyGuR/JpdvBTxZjGqeO6wnPKdwavhDigVscXPrQ40h1T+3n7mgV&#10;vNSbN9w2C7v6MfXz6+Fp/Np/5Erd30nxCCzSJf7BcNVP6lAlp8YfnQ7MKJjJLJEKMpGnTldALiWw&#10;Jm3yZQa8Kvn/CtUvUEsDBBQAAAAIAIdO4kBfXa+ePQIAAGcEAAAOAAAAZHJzL2Uyb0RvYy54bWyt&#10;VMFuEzEQvSPxD5bvdJM0aSDqpgqtipAqWqkgzo7X213J9hjb6W75APgDTly48139Dp69SVoVDj1w&#10;8Y5nxjPz3szs8UlvNLtVPrRkSz4+GHGmrKSqtTcl//Tx/NVrzkIUthKarCr5nQr8ZPnyxXHnFmpC&#10;DelKeYYgNiw6V/ImRrcoiiAbZUQ4IKcsjDV5IyKu/qaovOgQ3ehiMhodFR35ynmSKgRozwYj30b0&#10;zwlIdd1KdUZyY5SNQ1SvtIiAFJrWBb7M1da1kvGyroOKTJccSGM+kQTyOp3F8lgsbrxwTSu3JYjn&#10;lPAEkxGtRdJ9qDMRBdv49q9QppWeAtXxQJIpBiCZEaAYj55wc90IpzIWUB3cnvTw/8LKD7dXnrVV&#10;yY8mnFlh0PH7H9/vf/6+//WNQQeCOhcW8Lt28Iz9W+oxNjt9gDLh7mtv0heIGOyg925Pr+ojk1DO&#10;Z5PpfMaZhOnwcDKfZvqLh8fOh/hOkWFJKLlH9zKp4vYiRBQC151LymXpvNU6d1Bb1gHC4WyUH+wt&#10;eKEtHiYIQ6lJiv263+JaU3UHWJ6GyQhOnrdIfiFCvBIeowAkWJZ4iaPWhCS0lThryH/9lz75o0Ow&#10;ctZhtEoevmyEV5zp9xa9ezOeAjqL+TKdzSe4+MeW9WOL3ZhTwvSOsZZOZjH5R70Ta0/mM3ZqlbLC&#10;JKxE7pLHnXgah4HHTkq1WmUnTJ8T8cJeO5lCD3SuNpHqNjOdaBq42bKH+csN2O5KGvDH9+z18H9Y&#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ZYg1O2gAAAAoBAAAPAAAAAAAAAAEAIAAAACIAAABk&#10;cnMvZG93bnJldi54bWxQSwECFAAUAAAACACHTuJAX12vnj0CAABnBAAADgAAAAAAAAABACAAAAAp&#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default" w:eastAsia="宋体"/>
                          <w:b/>
                          <w:bCs/>
                          <w:color w:val="FFFFFF" w:themeColor="background1"/>
                          <w:lang w:val="en-US" w:eastAsia="zh-CN"/>
                          <w14:textFill>
                            <w14:solidFill>
                              <w14:schemeClr w14:val="bg1"/>
                            </w14:solidFill>
                          </w14:textFill>
                        </w:rPr>
                      </w:pPr>
                      <w:r>
                        <w:rPr>
                          <w:rFonts w:hint="eastAsia"/>
                          <w:b/>
                          <w:bCs/>
                          <w:color w:val="000000" w:themeColor="text1"/>
                          <w:lang w:val="en-US" w:eastAsia="zh-CN"/>
                          <w14:textFill>
                            <w14:solidFill>
                              <w14:schemeClr w14:val="tx1"/>
                            </w14:solidFill>
                          </w14:textFill>
                        </w:rPr>
                        <w:t>民房</w:t>
                      </w:r>
                    </w:p>
                  </w:txbxContent>
                </v:textbox>
              </v:shape>
            </w:pict>
          </mc:Fallback>
        </mc:AlternateContent>
      </w:r>
      <w:r>
        <w:drawing>
          <wp:inline distT="0" distB="0" distL="114300" distR="114300">
            <wp:extent cx="5715000" cy="5444490"/>
            <wp:effectExtent l="0" t="0" r="0" b="38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52"/>
                    <a:srcRect b="3609"/>
                    <a:stretch>
                      <a:fillRect/>
                    </a:stretch>
                  </pic:blipFill>
                  <pic:spPr>
                    <a:xfrm>
                      <a:off x="0" y="0"/>
                      <a:ext cx="5715000" cy="5444490"/>
                    </a:xfrm>
                    <a:prstGeom prst="rect">
                      <a:avLst/>
                    </a:prstGeom>
                    <a:noFill/>
                    <a:ln>
                      <a:noFill/>
                    </a:ln>
                  </pic:spPr>
                </pic:pic>
              </a:graphicData>
            </a:graphic>
          </wp:inline>
        </w:drawing>
      </w:r>
      <w:r>
        <w:rPr>
          <w:sz w:val="28"/>
        </w:rPr>
        <mc:AlternateContent>
          <mc:Choice Requires="wps">
            <w:drawing>
              <wp:anchor distT="0" distB="0" distL="114300" distR="114300" simplePos="0" relativeHeight="251670528" behindDoc="0" locked="0" layoutInCell="1" allowOverlap="1">
                <wp:simplePos x="0" y="0"/>
                <wp:positionH relativeFrom="column">
                  <wp:posOffset>1829435</wp:posOffset>
                </wp:positionH>
                <wp:positionV relativeFrom="paragraph">
                  <wp:posOffset>733425</wp:posOffset>
                </wp:positionV>
                <wp:extent cx="2522855" cy="93218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2522855" cy="932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lang w:val="en-US" w:eastAsia="zh-CN"/>
                              </w:rPr>
                            </w:pPr>
                            <w:r>
                              <w:rPr>
                                <w:rFonts w:hint="eastAsia"/>
                                <w:b/>
                                <w:bCs/>
                                <w:color w:val="000000" w:themeColor="text1"/>
                                <w14:textFill>
                                  <w14:solidFill>
                                    <w14:schemeClr w14:val="tx1"/>
                                  </w14:solidFill>
                                </w14:textFill>
                              </w:rPr>
                              <w:t>中铁二十四局项目部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05pt;margin-top:57.75pt;height:73.4pt;width:198.65pt;z-index:251670528;mso-width-relative:page;mso-height-relative:page;" filled="f" stroked="f" coordsize="21600,21600" o:gfxdata="UEsDBAoAAAAAAIdO4kAAAAAAAAAAAAAAAAAEAAAAZHJzL1BLAwQUAAAACACHTuJAiUehnNsAAAAL&#10;AQAADwAAAGRycy9kb3ducmV2LnhtbE2Py07DMBBF90j9B2sqsaNOAomsEKdCkSokBIuWbtg5sZtE&#10;2OMQuw/4eoYVXY7O1b1nqvXFWXYycxg9SkhXCTCDndcj9hL275s7ASxEhVpZj0bCtwmwrhc3lSq1&#10;P+PWnHaxZ1SCoVQShhinkvPQDcapsPKTQWIHPzsV6Zx7rmd1pnJneZYkBXdqRFoY1GSawXSfu6OT&#10;8NJs3tS2zZz4sc3z6+Fp+tp/5FLeLtPkEVg0l/gfhj99UoeanFp/RB2YlZAJkVKUQJrnwChRiPwB&#10;WEuoyO6B1xW//qH+BVBLAwQUAAAACACHTuJAnD1ksj0CAABoBAAADgAAAGRycy9lMm9Eb2MueG1s&#10;rVTBbhMxEL0j8Q+W73STbQNt1E0VWhUhVbRSQZwdr7e7ku0xttPd8gHwB5y4cOe7+h08e5O0Khx6&#10;4LIZz4xn5r15zvHJYDS7VT50ZCs+3ZtwpqykurM3Ff/08fzVIWchClsLTVZV/E4FfrJ4+eK4d3NV&#10;Uku6Vp6hiA3z3lW8jdHNiyLIVhkR9sgpi2BD3oiIo78pai96VDe6KCeT10VPvnaepAoB3rMxyDcV&#10;/XMKUtN0Up2RXBtl41jVKy0iIIW2c4Ev8rRNo2S8bJqgItMVB9KYv2gCe5W+xeJYzG+8cG0nNyOI&#10;54zwBJMRnUXTXakzEQVb++6vUqaTngI1cU+SKUYgmRGgmE6ecHPdCqcyFlAd3I708P/Kyg+3V551&#10;dcVfTzmzwmDj9z++3//8ff/rG4MPBPUuzJF37ZAZh7c0QDZbf4Az4R4ab9IvEDHEQe/djl41RCbh&#10;LGdleTibcSYRO9ovp4eZ/+LhtvMhvlNkWDIq7rG+zKq4vQgRkyB1m5KaWTrvtM4r1Jb1wLA/m+QL&#10;uwhuaIuLCcM4a7LisBo2wFZU3wGXp1EawcnzDs0vRIhXwkMLgILXEi/xaTShCW0szlryX//lT/lY&#10;EaKc9dBWxcOXtfCKM/3eYnlH04ODJMZ8OJi9KXHwjyOrxxG7NqcE+WI/mC6bKT/qrdl4Mp/xqJap&#10;K0LCSvSueNyap3FUPB6lVMtlToL8nIgX9trJVHqkc7mO1HSZ6UTTyM2GPQgwL2DzWJLCH59z1sMf&#10;x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UehnNsAAAALAQAADwAAAAAAAAABACAAAAAiAAAA&#10;ZHJzL2Rvd25yZXYueG1sUEsBAhQAFAAAAAgAh07iQJw9ZLI9AgAAaAQAAA4AAAAAAAAAAQAgAAAA&#10;KgEAAGRycy9lMm9Eb2MueG1sUEsFBgAAAAAGAAYAWQEAANkFAAAAAA==&#10;">
                <v:fill on="f" focussize="0,0"/>
                <v:stroke on="f" weight="0.5pt"/>
                <v:imagedata o:title=""/>
                <o:lock v:ext="edit" aspectratio="f"/>
                <v:textbox>
                  <w:txbxContent>
                    <w:p>
                      <w:pPr>
                        <w:rPr>
                          <w:rFonts w:hint="eastAsia"/>
                          <w:b/>
                          <w:bCs/>
                          <w:lang w:val="en-US" w:eastAsia="zh-CN"/>
                        </w:rPr>
                      </w:pPr>
                      <w:r>
                        <w:rPr>
                          <w:rFonts w:hint="eastAsia"/>
                          <w:b/>
                          <w:bCs/>
                          <w:color w:val="000000" w:themeColor="text1"/>
                          <w14:textFill>
                            <w14:solidFill>
                              <w14:schemeClr w14:val="tx1"/>
                            </w14:solidFill>
                          </w14:textFill>
                        </w:rPr>
                        <w:t>中铁二十四局项目部</w:t>
                      </w: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1457960</wp:posOffset>
                </wp:positionH>
                <wp:positionV relativeFrom="paragraph">
                  <wp:posOffset>1152525</wp:posOffset>
                </wp:positionV>
                <wp:extent cx="915035" cy="990600"/>
                <wp:effectExtent l="17780" t="15240" r="19685" b="22860"/>
                <wp:wrapNone/>
                <wp:docPr id="10" name="任意多边形 10"/>
                <wp:cNvGraphicFramePr/>
                <a:graphic xmlns:a="http://schemas.openxmlformats.org/drawingml/2006/main">
                  <a:graphicData uri="http://schemas.microsoft.com/office/word/2010/wordprocessingShape">
                    <wps:wsp>
                      <wps:cNvSpPr/>
                      <wps:spPr>
                        <a:xfrm>
                          <a:off x="2456180" y="5217795"/>
                          <a:ext cx="915035" cy="990600"/>
                        </a:xfrm>
                        <a:custGeom>
                          <a:avLst/>
                          <a:gdLst>
                            <a:gd name="connisteX0" fmla="*/ 0 w 923925"/>
                            <a:gd name="connsiteY0" fmla="*/ 771525 h 1009650"/>
                            <a:gd name="connisteX1" fmla="*/ 228600 w 923925"/>
                            <a:gd name="connsiteY1" fmla="*/ 0 h 1009650"/>
                            <a:gd name="connisteX2" fmla="*/ 923925 w 923925"/>
                            <a:gd name="connsiteY2" fmla="*/ 57150 h 1009650"/>
                            <a:gd name="connisteX3" fmla="*/ 685800 w 923925"/>
                            <a:gd name="connsiteY3" fmla="*/ 1009650 h 1009650"/>
                            <a:gd name="connisteX4" fmla="*/ 0 w 923925"/>
                            <a:gd name="connsiteY4" fmla="*/ 771525 h 100965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923925" h="1009650">
                              <a:moveTo>
                                <a:pt x="0" y="771525"/>
                              </a:moveTo>
                              <a:lnTo>
                                <a:pt x="228600" y="0"/>
                              </a:lnTo>
                              <a:lnTo>
                                <a:pt x="923925" y="57150"/>
                              </a:lnTo>
                              <a:lnTo>
                                <a:pt x="685800" y="1009650"/>
                              </a:lnTo>
                              <a:lnTo>
                                <a:pt x="0" y="771525"/>
                              </a:lnTo>
                              <a:close/>
                            </a:path>
                          </a:pathLst>
                        </a:cu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4.8pt;margin-top:90.75pt;height:78pt;width:72.05pt;z-index:251668480;mso-width-relative:page;mso-height-relative:page;" filled="f" stroked="t" coordsize="923925,1009650" o:gfxdata="UEsDBAoAAAAAAIdO4kAAAAAAAAAAAAAAAAAEAAAAZHJzL1BLAwQUAAAACACHTuJArwcktdkAAAAL&#10;AQAADwAAAGRycy9kb3ducmV2LnhtbE2Py07DMBBF90j8gzVI7KjzUJo0xOkC8RASGwIf4MbTJDQe&#10;R7HbhL9nWMFuRvfozplqv9pRXHD2gyMF8SYCgdQ6M1Cn4PPj6a4A4YMmo0dHqOAbPezr66tKl8Yt&#10;9I6XJnSCS8iXWkEfwlRK6dserfYbNyFxdnSz1YHXuZNm1guX21EmUbSVVg/EF3o94UOP7ak5WwWN&#10;aQoX1sfX8PI8fC3525THp0yp25s4ugcRcA1/MPzqszrU7HRwZzJejAqSZLdllIMizkAwkeZpDuLA&#10;Q5pnIOtK/v+h/gFQSwMEFAAAAAgAh07iQJvkMJclAwAAVAgAAA4AAABkcnMvZTJvRG9jLnhtbK1W&#10;y24TMRTdI/EP1iyR6DzSyUuddEEUNgiQWiRYOh7PQ/LYlu0m6Z49e5aIn0AVfA1FfAbX9kxjSqWk&#10;EllkPPE593Hu9XXOzncdQxuqdCt4EaUnSYQoJ6JseV1E7y5Xz6cR0gbzEjPBaRFdUx2dL54+OdvK&#10;Oc1EI1hJFQIjXM+3sogaY+Q8jjVpaIf1iZCUw2YlVIcNvKo6LhXegvWOxVmSjOOtUKVUglCt4del&#10;34x6i+oYg6KqWkKXglx1lBtvVVGGDaSkm1bqaOGirSpKzJuq0tQgVkSQqXHf4ATWa/sdL87wvFZY&#10;Ni3pQ8DHhHAvpw63HJzemVpig9GVav8x1bVECS0qc0JEF/tEnCKQRZrc0+aiwZK6XEBqLe9E1//P&#10;LHm9eatQW0IngCQcd1Dxnzc3vz5+uv36+fePb7ffvyDYAZm2Us8BfSHfqv5Nw9LmvKtUZ5+QDdoV&#10;UXaaj9MpWLsuojxLJ5NZ7mWmO4MIAGZpnozyCBEAzGbJOHH2470hcqXNSyqcUbx5pY2vUgkrp3HZ&#10;B0oE56029D04qzoGhXsWowRt0SwbzbLeax2idWvohxA9maR5lqMGkkxm43xoiJDjPKSBhyybQswH&#10;3YSU5LCHLPDg4z/oIaTkkMgRXkaBl/E0nx6RR0jpVTqczWng57BUIfqhikBv1EP1cTM0BNnxviNg&#10;hbCdX4k7hFJo24hhe0Cr2de+/tBPYBJYtp0OkKGMITm1vXw0GSoUkrNHkUH4kDx6FBkkDcmnIdmH&#10;32unYEba6cjcdDQRgumo3HRcWw6eS2ys5MMSbeHU+vOFGjs2/Lmx253Y0EvhgMYWwM8AX9De/x7C&#10;eAj1Z8rFPEyDATA8pbM5uIbkXMv3dgfQ8PRg3+HO6hCnr94AG54e/kC8A4AwoannWj1cC9wJY/UM&#10;RhYXq5Yxpx3jVq5smk/svMNwXVZwTcGykzByNa8jhFkN9zAxyrWuFqwtLd2qqFW9fsEU2mCoz2qV&#10;wKdP9y+YVNossW48zm35ynUw7RRibVdEcND3bAZ9H9t57ie4Xa1Fee0Gu/sdLhuXYX8x2tssfHfs&#10;/Z+Bx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CvByS12QAAAAsBAAAPAAAAAAAAAAEAIAAAACIA&#10;AABkcnMvZG93bnJldi54bWxQSwECFAAUAAAACACHTuJAm+QwlyUDAABUCAAADgAAAAAAAAABACAA&#10;AAAoAQAAZHJzL2Uyb0RvYy54bWxQSwUGAAAAAAYABgBZAQAAvwYAAAAA&#10;" path="m0,771525l228600,0,923925,57150,685800,1009650,0,771525xe">
                <v:path o:connectlocs="0,756967;226400,0;915035,56071;679201,990600;0,756967" o:connectangles="0,0,0,0,0"/>
                <v:fill on="f" focussize="0,0"/>
                <v:stroke weight="2.25pt" color="#FF0000 [2404]" miterlimit="8" joinstyle="miter"/>
                <v:imagedata o:title=""/>
                <o:lock v:ext="edit" aspectratio="f"/>
              </v:shap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1572260</wp:posOffset>
                </wp:positionH>
                <wp:positionV relativeFrom="paragraph">
                  <wp:posOffset>1476375</wp:posOffset>
                </wp:positionV>
                <wp:extent cx="752475" cy="332740"/>
                <wp:effectExtent l="0" t="0" r="0" b="0"/>
                <wp:wrapNone/>
                <wp:docPr id="22" name="文本框 22"/>
                <wp:cNvGraphicFramePr/>
                <a:graphic xmlns:a="http://schemas.openxmlformats.org/drawingml/2006/main">
                  <a:graphicData uri="http://schemas.microsoft.com/office/word/2010/wordprocessingShape">
                    <wps:wsp>
                      <wps:cNvSpPr txBox="1"/>
                      <wps:spPr>
                        <a:xfrm>
                          <a:off x="1475105" y="4617720"/>
                          <a:ext cx="752475" cy="332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eastAsia="宋体"/>
                                <w:b/>
                                <w:bCs/>
                                <w:color w:val="FFFFFF" w:themeColor="background1"/>
                                <w:lang w:val="en-US" w:eastAsia="zh-CN"/>
                                <w14:textFill>
                                  <w14:solidFill>
                                    <w14:schemeClr w14:val="bg1"/>
                                  </w14:solidFill>
                                </w14:textFill>
                              </w:rPr>
                            </w:pPr>
                            <w:r>
                              <w:rPr>
                                <w:rFonts w:hint="eastAsia"/>
                                <w:b/>
                                <w:bCs/>
                                <w:color w:val="000000" w:themeColor="text1"/>
                                <w:lang w:val="en-US" w:eastAsia="zh-CN"/>
                                <w14:textFill>
                                  <w14:solidFill>
                                    <w14:schemeClr w14:val="tx1"/>
                                  </w14:solidFill>
                                </w14:textFill>
                              </w:rPr>
                              <w:t>加油站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8pt;margin-top:116.25pt;height:26.2pt;width:59.25pt;z-index:251669504;mso-width-relative:page;mso-height-relative:page;" filled="f" stroked="f" coordsize="21600,21600" o:gfxdata="UEsDBAoAAAAAAIdO4kAAAAAAAAAAAAAAAAAEAAAAZHJzL1BLAwQUAAAACACHTuJAdpyIbdwAAAAL&#10;AQAADwAAAGRycy9kb3ducmV2LnhtbE2PTU+DQBCG7yb+h82YeLMLtEVElsaQNCbGHlp78TawUyCy&#10;u8huP/TXO570Nh9P3nmmWF3MIE40+d5ZBfEsAkG2cbq3rYL92/ouA+EDWo2Ds6TgizysyuurAnPt&#10;znZLp11oBYdYn6OCLoQxl9I3HRn0MzeS5d3BTQYDt1Mr9YRnDjeDTKIolQZ7yxc6HKnqqPnYHY2C&#10;l2q9wW2dmOx7qJ5fD0/j5/59qdTtTRw9ggh0CX8w/OqzOpTsVLuj1V4MCpLFfcooF/NkCYKJeZrG&#10;IGqeZIsHkGUh//9Q/gBQSwMEFAAAAAgAh07iQJpn2i5HAgAAcwQAAA4AAABkcnMvZTJvRG9jLnht&#10;bK1UzY7TMBC+I/EOlu80bfoHVdNV2aoIacWuVBBn13GaSLbH2G6T8gDwBpy4cOe5+hyMnbRbLRz2&#10;wMUZez7P+PtmJvObRklyENZVoDM66PUpEZpDXuldRj99XL96TYnzTOdMghYZPQpHbxYvX8xrMxMp&#10;lCBzYQkG0W5Wm4yW3ptZkjheCsVcD4zQ6CzAKuZxa3dJblmN0ZVM0n5/ktRgc2OBC+fwdNU6aRfR&#10;PicgFEXFxQr4Xgnt26hWSOaRkisr4+givrYoBPf3ReGEJzKjyNTHFZOgvQ1rspiz2c4yU1a8ewJ7&#10;zhOecFKs0pj0EmrFPCN7W/0VSlXcgoPC9ziopCUSFUEWg/4TbTYlMyJyQamduYju/l9Y/uHwYEmV&#10;ZzRNKdFMYcVPP76ffv4+/fpG8AwFqo2bIW5jEOmbt9Bg25zPHR4G3k1hVfgiIxL8o+l40B9Tcszo&#10;aDKYTtNOatF4whEwHacIoYQjYDhMp6PoTx4DGev8OwGKBCOjFisZBWaHO+fxUQg9Q0JeDetKylhN&#10;qUmd0clw3I8XLh68ITVeDHTaZwfLN9um47iF/IgULbRd4gxfV5j8jjn/wCy2BTYNDo6/x6WQgEmg&#10;sygpwX7913nAY7XQS0mNbZZR92XPrKBEvtdYxzeDEVInPm5G46ATsdee7bVH79UtYCcPcEQNj2bA&#10;e3k2CwvqM87XMmRFF9Mcc2fUn81b3zY/zicXy2UEYSca5u/0xvAQupVzufdQVFHpIFOrTace9mIs&#10;QDc3odmv9xH1+K9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2nIht3AAAAAsBAAAPAAAAAAAA&#10;AAEAIAAAACIAAABkcnMvZG93bnJldi54bWxQSwECFAAUAAAACACHTuJAmmfaLkcCAABzBAAADgAA&#10;AAAAAAABACAAAAAr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eastAsia="宋体"/>
                          <w:b/>
                          <w:bCs/>
                          <w:color w:val="FFFFFF" w:themeColor="background1"/>
                          <w:lang w:val="en-US" w:eastAsia="zh-CN"/>
                          <w14:textFill>
                            <w14:solidFill>
                              <w14:schemeClr w14:val="bg1"/>
                            </w14:solidFill>
                          </w14:textFill>
                        </w:rPr>
                      </w:pPr>
                      <w:r>
                        <w:rPr>
                          <w:rFonts w:hint="eastAsia"/>
                          <w:b/>
                          <w:bCs/>
                          <w:color w:val="000000" w:themeColor="text1"/>
                          <w:lang w:val="en-US" w:eastAsia="zh-CN"/>
                          <w14:textFill>
                            <w14:solidFill>
                              <w14:schemeClr w14:val="tx1"/>
                            </w14:solidFill>
                          </w14:textFill>
                        </w:rPr>
                        <w:t>加油站</w:t>
                      </w:r>
                    </w:p>
                  </w:txbxContent>
                </v:textbox>
              </v:shape>
            </w:pict>
          </mc:Fallback>
        </mc:AlternateContent>
      </w:r>
    </w:p>
    <w:p>
      <w:pPr>
        <w:pStyle w:val="78"/>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图2-</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 加油站周边环境情况（卫星图）</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表2-1汽油设备与站外建（构）筑物的安全间距（单位：m）</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28"/>
        <w:gridCol w:w="935"/>
        <w:gridCol w:w="1083"/>
        <w:gridCol w:w="1644"/>
        <w:gridCol w:w="1116"/>
        <w:gridCol w:w="1129"/>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83" w:type="dxa"/>
            <w:gridSpan w:val="4"/>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pacing w:val="10"/>
                <w:sz w:val="21"/>
                <w:szCs w:val="21"/>
                <w14:textFill>
                  <w14:solidFill>
                    <w14:schemeClr w14:val="tx1"/>
                  </w14:solidFill>
                </w14:textFill>
              </w:rPr>
              <w:t>站外建（构）筑物</w:t>
            </w:r>
          </w:p>
        </w:tc>
        <w:tc>
          <w:tcPr>
            <w:tcW w:w="5788" w:type="dxa"/>
            <w:gridSpan w:val="4"/>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pacing w:val="20"/>
                <w:sz w:val="21"/>
                <w:szCs w:val="21"/>
                <w14:textFill>
                  <w14:solidFill>
                    <w14:schemeClr w14:val="tx1"/>
                  </w14:solidFill>
                </w14:textFill>
              </w:rPr>
              <w:t>站内</w:t>
            </w:r>
            <w:r>
              <w:rPr>
                <w:rFonts w:hint="eastAsia"/>
                <w:color w:val="000000" w:themeColor="text1"/>
                <w:spacing w:val="10"/>
                <w:sz w:val="21"/>
                <w:szCs w:val="21"/>
                <w14:textFill>
                  <w14:solidFill>
                    <w14:schemeClr w14:val="tx1"/>
                  </w14:solidFill>
                </w14:textFill>
              </w:rPr>
              <w:t>汽油设备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83" w:type="dxa"/>
            <w:gridSpan w:val="4"/>
            <w:vMerge w:val="continue"/>
            <w:vAlign w:val="center"/>
          </w:tcPr>
          <w:p>
            <w:pPr>
              <w:adjustRightInd w:val="0"/>
              <w:spacing w:line="240" w:lineRule="auto"/>
              <w:ind w:firstLine="0" w:firstLineChars="0"/>
              <w:jc w:val="center"/>
              <w:rPr>
                <w:color w:val="000000" w:themeColor="text1"/>
                <w:spacing w:val="10"/>
                <w:sz w:val="21"/>
                <w:szCs w:val="21"/>
                <w14:textFill>
                  <w14:solidFill>
                    <w14:schemeClr w14:val="tx1"/>
                  </w14:solidFill>
                </w14:textFill>
              </w:rPr>
            </w:pPr>
          </w:p>
        </w:tc>
        <w:tc>
          <w:tcPr>
            <w:tcW w:w="1644" w:type="dxa"/>
            <w:vAlign w:val="center"/>
          </w:tcPr>
          <w:p>
            <w:pPr>
              <w:adjustRightInd w:val="0"/>
              <w:spacing w:line="240" w:lineRule="auto"/>
              <w:ind w:firstLine="0" w:firstLineChars="0"/>
              <w:jc w:val="center"/>
              <w:rPr>
                <w:color w:val="000000" w:themeColor="text1"/>
                <w:spacing w:val="20"/>
                <w:sz w:val="21"/>
                <w:szCs w:val="21"/>
                <w14:textFill>
                  <w14:solidFill>
                    <w14:schemeClr w14:val="tx1"/>
                  </w14:solidFill>
                </w14:textFill>
              </w:rPr>
            </w:pPr>
            <w:r>
              <w:rPr>
                <w:rFonts w:hint="eastAsia"/>
                <w:color w:val="000000" w:themeColor="text1"/>
                <w:spacing w:val="20"/>
                <w:sz w:val="21"/>
                <w:szCs w:val="21"/>
                <w14:textFill>
                  <w14:solidFill>
                    <w14:schemeClr w14:val="tx1"/>
                  </w14:solidFill>
                </w14:textFill>
              </w:rPr>
              <w:t>埋地油罐</w:t>
            </w:r>
          </w:p>
        </w:tc>
        <w:tc>
          <w:tcPr>
            <w:tcW w:w="1116"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加油机</w:t>
            </w:r>
          </w:p>
        </w:tc>
        <w:tc>
          <w:tcPr>
            <w:tcW w:w="112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通气管管口</w:t>
            </w:r>
          </w:p>
        </w:tc>
        <w:tc>
          <w:tcPr>
            <w:tcW w:w="1899" w:type="dxa"/>
            <w:vMerge w:val="restart"/>
            <w:vAlign w:val="center"/>
          </w:tcPr>
          <w:p>
            <w:pPr>
              <w:adjustRightInd w:val="0"/>
              <w:spacing w:line="240" w:lineRule="auto"/>
              <w:ind w:firstLine="0" w:firstLineChars="0"/>
              <w:jc w:val="center"/>
              <w:rPr>
                <w:b/>
                <w:bCs/>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83" w:type="dxa"/>
            <w:gridSpan w:val="4"/>
            <w:vMerge w:val="continue"/>
            <w:vAlign w:val="center"/>
          </w:tcPr>
          <w:p>
            <w:pPr>
              <w:adjustRightInd w:val="0"/>
              <w:spacing w:line="240" w:lineRule="auto"/>
              <w:ind w:firstLine="0" w:firstLineChars="0"/>
              <w:rPr>
                <w:color w:val="000000" w:themeColor="text1"/>
                <w:sz w:val="21"/>
                <w:szCs w:val="21"/>
                <w14:textFill>
                  <w14:solidFill>
                    <w14:schemeClr w14:val="tx1"/>
                  </w14:solidFill>
                </w14:textFill>
              </w:rPr>
            </w:pP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三级站</w:t>
            </w:r>
          </w:p>
        </w:tc>
        <w:tc>
          <w:tcPr>
            <w:tcW w:w="111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12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83" w:type="dxa"/>
            <w:gridSpan w:val="4"/>
            <w:vMerge w:val="continue"/>
            <w:vAlign w:val="center"/>
          </w:tcPr>
          <w:p>
            <w:pPr>
              <w:adjustRightInd w:val="0"/>
              <w:spacing w:line="240" w:lineRule="auto"/>
              <w:ind w:firstLine="0" w:firstLineChars="0"/>
              <w:rPr>
                <w:color w:val="000000" w:themeColor="text1"/>
                <w:sz w:val="21"/>
                <w:szCs w:val="21"/>
                <w14:textFill>
                  <w14:solidFill>
                    <w14:schemeClr w14:val="tx1"/>
                  </w14:solidFill>
                </w14:textFill>
              </w:rPr>
            </w:pPr>
          </w:p>
        </w:tc>
        <w:tc>
          <w:tcPr>
            <w:tcW w:w="3889" w:type="dxa"/>
            <w:gridSpan w:val="3"/>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有卸油和加油油气回收系统</w:t>
            </w:r>
          </w:p>
        </w:tc>
        <w:tc>
          <w:tcPr>
            <w:tcW w:w="1899" w:type="dxa"/>
            <w:vMerge w:val="continue"/>
            <w:vAlign w:val="center"/>
          </w:tcPr>
          <w:p>
            <w:pPr>
              <w:adjustRightInd w:val="0"/>
              <w:spacing w:line="240" w:lineRule="auto"/>
              <w:ind w:firstLine="0" w:firstLineChars="0"/>
              <w:jc w:val="center"/>
              <w:rPr>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重要公共建筑物</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明火地点或散发火花地点</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b/>
                <w:bCs/>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民用建筑物保护类别</w:t>
            </w:r>
          </w:p>
        </w:tc>
        <w:tc>
          <w:tcPr>
            <w:tcW w:w="963"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一类保护物</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二类保护物</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安全间距范围内无此类保护物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三类保护物</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西南面民房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113</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82</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112</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26</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47</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25.4</w:t>
            </w:r>
          </w:p>
        </w:tc>
        <w:tc>
          <w:tcPr>
            <w:tcW w:w="189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东面中铁二十四局项目部建筑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3"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49</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13.5</w:t>
            </w:r>
          </w:p>
        </w:tc>
        <w:tc>
          <w:tcPr>
            <w:tcW w:w="189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东北面中铁二十四局项目部建筑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甲、乙类物品生产厂房、 库房和甲、乙类液体储罐</w:t>
            </w:r>
          </w:p>
        </w:tc>
        <w:tc>
          <w:tcPr>
            <w:tcW w:w="1083"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200" w:type="dxa"/>
            <w:gridSpan w:val="3"/>
            <w:vMerge w:val="restart"/>
            <w:vAlign w:val="center"/>
          </w:tcPr>
          <w:p>
            <w:pPr>
              <w:adjustRightInd w:val="0"/>
              <w:spacing w:line="240" w:lineRule="auto"/>
              <w:ind w:firstLine="42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丙、丁、戊类物品生产厂房库房和丙类液体储罐以及容积不大于50m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的埋地甲、乙类液体储罐</w:t>
            </w:r>
          </w:p>
        </w:tc>
        <w:tc>
          <w:tcPr>
            <w:tcW w:w="1083"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200" w:type="dxa"/>
            <w:gridSpan w:val="3"/>
            <w:vMerge w:val="continue"/>
            <w:vAlign w:val="center"/>
          </w:tcPr>
          <w:p>
            <w:pPr>
              <w:adjustRightInd w:val="0"/>
              <w:spacing w:line="240" w:lineRule="auto"/>
              <w:ind w:firstLine="42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室外变配电站</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29" w:type="dxa"/>
            <w:vAlign w:val="center"/>
          </w:tcPr>
          <w:p>
            <w:pPr>
              <w:adjustRightInd w:val="0"/>
              <w:spacing w:line="240" w:lineRule="auto"/>
              <w:ind w:firstLine="0" w:firstLineChars="0"/>
              <w:jc w:val="center"/>
              <w:rPr>
                <w:color w:val="000000" w:themeColor="text1"/>
                <w:spacing w:val="-10"/>
                <w:sz w:val="21"/>
                <w:szCs w:val="21"/>
                <w14:textFill>
                  <w14:solidFill>
                    <w14:schemeClr w14:val="tx1"/>
                  </w14:solidFill>
                </w14:textFill>
              </w:rPr>
            </w:pPr>
            <w:r>
              <w:rPr>
                <w:rFonts w:hint="eastAsia"/>
                <w:color w:val="000000" w:themeColor="text1"/>
                <w:spacing w:val="-10"/>
                <w:sz w:val="21"/>
                <w:szCs w:val="21"/>
                <w14:textFill>
                  <w14:solidFill>
                    <w14:schemeClr w14:val="tx1"/>
                  </w14:solidFill>
                </w14:textFill>
              </w:rPr>
              <w:t>12.5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铁路</w:t>
            </w:r>
          </w:p>
        </w:tc>
        <w:tc>
          <w:tcPr>
            <w:tcW w:w="1083" w:type="dxa"/>
            <w:vAlign w:val="center"/>
          </w:tcPr>
          <w:p>
            <w:pPr>
              <w:pStyle w:val="66"/>
              <w:adjustRightInd w:val="0"/>
              <w:snapToGrid w:val="0"/>
              <w:ind w:firstLine="0" w:firstLineChars="0"/>
              <w:rPr>
                <w:rFonts w:cs="宋体"/>
                <w:color w:val="000000" w:themeColor="text1"/>
                <w:spacing w:val="20"/>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城市道路</w:t>
            </w:r>
          </w:p>
        </w:tc>
        <w:tc>
          <w:tcPr>
            <w:tcW w:w="935"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快速路、主干路</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次干路、支路</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南</w:t>
            </w:r>
            <w:r>
              <w:rPr>
                <w:rFonts w:hint="eastAsia"/>
                <w:color w:val="000000" w:themeColor="text1"/>
                <w:sz w:val="21"/>
                <w:szCs w:val="21"/>
                <w14:textFill>
                  <w14:solidFill>
                    <w14:schemeClr w14:val="tx1"/>
                  </w14:solidFill>
                </w14:textFill>
              </w:rPr>
              <w:t>面</w:t>
            </w:r>
            <w:r>
              <w:rPr>
                <w:rFonts w:hint="eastAsia"/>
                <w:color w:val="000000" w:themeColor="text1"/>
                <w:sz w:val="21"/>
                <w:szCs w:val="21"/>
                <w:lang w:val="en-US" w:eastAsia="zh-CN"/>
                <w14:textFill>
                  <w14:solidFill>
                    <w14:schemeClr w14:val="tx1"/>
                  </w14:solidFill>
                </w14:textFill>
              </w:rPr>
              <w:t>天星公路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41.6</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17.5</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50.6</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架空通信线</w:t>
            </w:r>
          </w:p>
        </w:tc>
        <w:tc>
          <w:tcPr>
            <w:tcW w:w="1083"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899" w:type="dxa"/>
            <w:vMerge w:val="restart"/>
            <w:vAlign w:val="center"/>
          </w:tcPr>
          <w:p>
            <w:pPr>
              <w:adjustRightInd w:val="0"/>
              <w:spacing w:line="240" w:lineRule="auto"/>
              <w:ind w:firstLine="0" w:firstLineChars="0"/>
              <w:jc w:val="center"/>
              <w:rPr>
                <w:color w:val="000000" w:themeColor="text1"/>
                <w:spacing w:val="10"/>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0"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架空电力线路</w:t>
            </w:r>
          </w:p>
        </w:tc>
        <w:tc>
          <w:tcPr>
            <w:tcW w:w="935" w:type="dxa"/>
            <w:vMerge w:val="restart"/>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无绝缘层</w:t>
            </w: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1899" w:type="dxa"/>
            <w:vMerge w:val="restart"/>
            <w:vAlign w:val="center"/>
          </w:tcPr>
          <w:p>
            <w:pPr>
              <w:adjustRightInd w:val="0"/>
              <w:spacing w:line="240" w:lineRule="auto"/>
              <w:ind w:firstLine="0" w:firstLineChars="0"/>
              <w:jc w:val="center"/>
              <w:rPr>
                <w:rFonts w:hint="default" w:eastAsia="宋体"/>
                <w:color w:val="000000" w:themeColor="text1"/>
                <w:spacing w:val="10"/>
                <w:sz w:val="21"/>
                <w:szCs w:val="21"/>
                <w:lang w:val="en-US" w:eastAsia="zh-CN"/>
                <w14:textFill>
                  <w14:solidFill>
                    <w14:schemeClr w14:val="tx1"/>
                  </w14:solidFill>
                </w14:textFill>
              </w:rPr>
            </w:pPr>
            <w:r>
              <w:rPr>
                <w:rFonts w:hint="eastAsia"/>
                <w:color w:val="000000" w:themeColor="text1"/>
                <w:spacing w:val="10"/>
                <w:sz w:val="21"/>
                <w:szCs w:val="21"/>
                <w:lang w:val="en-US" w:eastAsia="zh-CN"/>
                <w14:textFill>
                  <w14:solidFill>
                    <w14:schemeClr w14:val="tx1"/>
                  </w14:solidFill>
                </w14:textFill>
              </w:rPr>
              <w:t>北面高压线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15.5</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45.5</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52</w:t>
            </w:r>
          </w:p>
        </w:tc>
        <w:tc>
          <w:tcPr>
            <w:tcW w:w="1116"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26</w:t>
            </w:r>
          </w:p>
        </w:tc>
        <w:tc>
          <w:tcPr>
            <w:tcW w:w="112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58</w:t>
            </w:r>
          </w:p>
        </w:tc>
        <w:tc>
          <w:tcPr>
            <w:tcW w:w="189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南面架空电力线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有绝缘层</w:t>
            </w:r>
          </w:p>
        </w:tc>
        <w:tc>
          <w:tcPr>
            <w:tcW w:w="1083"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44"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16"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2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89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西</w:t>
            </w:r>
            <w:r>
              <w:rPr>
                <w:rFonts w:hint="eastAsia"/>
                <w:color w:val="000000" w:themeColor="text1"/>
                <w:sz w:val="21"/>
                <w:szCs w:val="21"/>
                <w14:textFill>
                  <w14:solidFill>
                    <w14:schemeClr w14:val="tx1"/>
                  </w14:solidFill>
                </w14:textFill>
              </w:rPr>
              <w:t>南面架空电力线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5"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3"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44" w:type="dxa"/>
            <w:vAlign w:val="center"/>
          </w:tcPr>
          <w:p>
            <w:pPr>
              <w:adjustRightInd w:val="0"/>
              <w:spacing w:line="240" w:lineRule="auto"/>
              <w:ind w:firstLine="0" w:firstLineChars="0"/>
              <w:jc w:val="center"/>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40</w:t>
            </w:r>
          </w:p>
        </w:tc>
        <w:tc>
          <w:tcPr>
            <w:tcW w:w="1116" w:type="dxa"/>
            <w:vAlign w:val="center"/>
          </w:tcPr>
          <w:p>
            <w:pPr>
              <w:adjustRightInd w:val="0"/>
              <w:spacing w:line="240" w:lineRule="auto"/>
              <w:ind w:firstLine="0" w:firstLineChars="0"/>
              <w:jc w:val="center"/>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w:t>
            </w:r>
          </w:p>
        </w:tc>
        <w:tc>
          <w:tcPr>
            <w:tcW w:w="1129" w:type="dxa"/>
            <w:vAlign w:val="center"/>
          </w:tcPr>
          <w:p>
            <w:pPr>
              <w:adjustRightInd w:val="0"/>
              <w:spacing w:line="240" w:lineRule="auto"/>
              <w:ind w:firstLine="0" w:firstLineChars="0"/>
              <w:jc w:val="center"/>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48</w:t>
            </w:r>
          </w:p>
        </w:tc>
        <w:tc>
          <w:tcPr>
            <w:tcW w:w="1899"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bl>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表2-2 柴油设备与站外建（构）筑物的安全间距（单位：m）</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8"/>
        <w:gridCol w:w="937"/>
        <w:gridCol w:w="1085"/>
        <w:gridCol w:w="1698"/>
        <w:gridCol w:w="1139"/>
        <w:gridCol w:w="1058"/>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76" w:type="dxa"/>
            <w:gridSpan w:val="4"/>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站外建（构）筑物</w:t>
            </w:r>
          </w:p>
        </w:tc>
        <w:tc>
          <w:tcPr>
            <w:tcW w:w="6195" w:type="dxa"/>
            <w:gridSpan w:val="4"/>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站内柴油设备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76" w:type="dxa"/>
            <w:gridSpan w:val="4"/>
            <w:vMerge w:val="continue"/>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埋地油罐</w:t>
            </w:r>
          </w:p>
        </w:tc>
        <w:tc>
          <w:tcPr>
            <w:tcW w:w="1139"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加油机</w:t>
            </w:r>
          </w:p>
        </w:tc>
        <w:tc>
          <w:tcPr>
            <w:tcW w:w="1058"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通气管管口</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76" w:type="dxa"/>
            <w:gridSpan w:val="4"/>
            <w:vMerge w:val="continue"/>
          </w:tcPr>
          <w:p>
            <w:pPr>
              <w:adjustRightInd w:val="0"/>
              <w:spacing w:line="240" w:lineRule="auto"/>
              <w:ind w:firstLine="0" w:firstLineChars="0"/>
              <w:rPr>
                <w:color w:val="000000" w:themeColor="text1"/>
                <w:sz w:val="21"/>
                <w:szCs w:val="21"/>
                <w14:textFill>
                  <w14:solidFill>
                    <w14:schemeClr w14:val="tx1"/>
                  </w14:solidFill>
                </w14:textFill>
              </w:rPr>
            </w:pPr>
          </w:p>
        </w:tc>
        <w:tc>
          <w:tcPr>
            <w:tcW w:w="1698" w:type="dxa"/>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三级站</w:t>
            </w:r>
          </w:p>
        </w:tc>
        <w:tc>
          <w:tcPr>
            <w:tcW w:w="1139" w:type="dxa"/>
            <w:vMerge w:val="continue"/>
          </w:tcPr>
          <w:p>
            <w:pPr>
              <w:adjustRightInd w:val="0"/>
              <w:spacing w:line="240" w:lineRule="auto"/>
              <w:ind w:firstLine="0" w:firstLineChars="0"/>
              <w:rPr>
                <w:color w:val="000000" w:themeColor="text1"/>
                <w:sz w:val="21"/>
                <w:szCs w:val="21"/>
                <w14:textFill>
                  <w14:solidFill>
                    <w14:schemeClr w14:val="tx1"/>
                  </w14:solidFill>
                </w14:textFill>
              </w:rPr>
            </w:pPr>
          </w:p>
        </w:tc>
        <w:tc>
          <w:tcPr>
            <w:tcW w:w="1058" w:type="dxa"/>
            <w:vMerge w:val="continue"/>
          </w:tcPr>
          <w:p>
            <w:pPr>
              <w:adjustRightInd w:val="0"/>
              <w:spacing w:line="240" w:lineRule="auto"/>
              <w:ind w:firstLine="0" w:firstLineChars="0"/>
              <w:rPr>
                <w:color w:val="000000" w:themeColor="text1"/>
                <w:sz w:val="21"/>
                <w:szCs w:val="21"/>
                <w14:textFill>
                  <w14:solidFill>
                    <w14:schemeClr w14:val="tx1"/>
                  </w14:solidFill>
                </w14:textFill>
              </w:rPr>
            </w:pPr>
          </w:p>
        </w:tc>
        <w:tc>
          <w:tcPr>
            <w:tcW w:w="2300" w:type="dxa"/>
            <w:vMerge w:val="continue"/>
          </w:tcPr>
          <w:p>
            <w:pPr>
              <w:adjustRightInd w:val="0"/>
              <w:spacing w:line="240" w:lineRule="auto"/>
              <w:ind w:firstLine="0" w:firstLineChars="0"/>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重要公共建筑物</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明火地点或散发火花地点</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民用建筑物保护类别</w:t>
            </w:r>
          </w:p>
        </w:tc>
        <w:tc>
          <w:tcPr>
            <w:tcW w:w="965"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一类保护物</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安全间距范围内无此类保护物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实测</w:t>
            </w:r>
          </w:p>
        </w:tc>
        <w:tc>
          <w:tcPr>
            <w:tcW w:w="169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二类保护物</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安全间距范围内无此类保护物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三类保护物</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西南面民房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119</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78</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122</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22</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59</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2300"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东面中铁二十四局项目部建筑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65"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57</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13.5</w:t>
            </w:r>
          </w:p>
        </w:tc>
        <w:tc>
          <w:tcPr>
            <w:tcW w:w="2300"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东北面中铁二十四局项目部建筑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甲、乙类物品生产厂房、 库房和甲、乙类液体储罐</w:t>
            </w:r>
          </w:p>
        </w:tc>
        <w:tc>
          <w:tcPr>
            <w:tcW w:w="1085"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丙、丁、戊类物品生产厂房库房和丙类液体储罐以及容积不大于50m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的埋地甲、乙类液体储罐</w:t>
            </w:r>
          </w:p>
        </w:tc>
        <w:tc>
          <w:tcPr>
            <w:tcW w:w="1085"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室外变配电站</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铁路</w:t>
            </w:r>
          </w:p>
        </w:tc>
        <w:tc>
          <w:tcPr>
            <w:tcW w:w="1085" w:type="dxa"/>
            <w:vAlign w:val="center"/>
          </w:tcPr>
          <w:p>
            <w:pPr>
              <w:pStyle w:val="66"/>
              <w:adjustRightInd w:val="0"/>
              <w:snapToGrid w:val="0"/>
              <w:ind w:firstLine="0" w:firstLineChars="0"/>
              <w:rPr>
                <w:rFonts w:cs="宋体"/>
                <w:color w:val="000000" w:themeColor="text1"/>
                <w:spacing w:val="20"/>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城市</w:t>
            </w:r>
          </w:p>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道路</w:t>
            </w:r>
          </w:p>
        </w:tc>
        <w:tc>
          <w:tcPr>
            <w:tcW w:w="937"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快速路、主干路</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次干路、支路</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南</w:t>
            </w:r>
            <w:r>
              <w:rPr>
                <w:rFonts w:hint="eastAsia"/>
                <w:color w:val="000000" w:themeColor="text1"/>
                <w:sz w:val="21"/>
                <w:szCs w:val="21"/>
                <w14:textFill>
                  <w14:solidFill>
                    <w14:schemeClr w14:val="tx1"/>
                  </w14:solidFill>
                </w14:textFill>
              </w:rPr>
              <w:t>面</w:t>
            </w:r>
            <w:r>
              <w:rPr>
                <w:rFonts w:hint="eastAsia"/>
                <w:color w:val="000000" w:themeColor="text1"/>
                <w:sz w:val="21"/>
                <w:szCs w:val="21"/>
                <w:lang w:val="en-US" w:eastAsia="zh-CN"/>
                <w14:textFill>
                  <w14:solidFill>
                    <w14:schemeClr w14:val="tx1"/>
                  </w14:solidFill>
                </w14:textFill>
              </w:rPr>
              <w:t>天星公路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40</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50.6</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791" w:type="dxa"/>
            <w:gridSpan w:val="3"/>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架空通信线</w:t>
            </w:r>
          </w:p>
        </w:tc>
        <w:tc>
          <w:tcPr>
            <w:tcW w:w="1085" w:type="dxa"/>
            <w:vAlign w:val="center"/>
          </w:tcPr>
          <w:p>
            <w:pPr>
              <w:pStyle w:val="66"/>
              <w:adjustRightInd w:val="0"/>
              <w:snapToGrid w:val="0"/>
              <w:ind w:firstLine="0" w:firstLineChars="0"/>
              <w:rPr>
                <w:rFonts w:cs="宋体"/>
                <w:color w:val="000000" w:themeColor="text1"/>
                <w:spacing w:val="-6"/>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300" w:type="dxa"/>
            <w:vMerge w:val="restart"/>
            <w:vAlign w:val="center"/>
          </w:tcPr>
          <w:p>
            <w:pPr>
              <w:adjustRightInd w:val="0"/>
              <w:spacing w:line="240" w:lineRule="auto"/>
              <w:ind w:firstLine="0" w:firstLineChars="0"/>
              <w:jc w:val="center"/>
              <w:rPr>
                <w:color w:val="000000" w:themeColor="text1"/>
                <w:spacing w:val="10"/>
                <w:sz w:val="21"/>
                <w:szCs w:val="21"/>
                <w14:textFill>
                  <w14:solidFill>
                    <w14:schemeClr w14:val="tx1"/>
                  </w14:solidFill>
                </w14:textFill>
              </w:rPr>
            </w:pPr>
            <w:r>
              <w:rPr>
                <w:rFonts w:hint="eastAsia"/>
                <w:color w:val="000000" w:themeColor="text1"/>
                <w:sz w:val="21"/>
                <w:szCs w:val="21"/>
                <w14:textFill>
                  <w14:solidFill>
                    <w14:schemeClr w14:val="tx1"/>
                  </w14:solidFill>
                </w14:textFill>
              </w:rPr>
              <w:t>安全间距范围内无此类设施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3"/>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bookmarkStart w:id="90" w:name="_Toc23896"/>
            <w:bookmarkStart w:id="91" w:name="_Toc231982076"/>
            <w:bookmarkStart w:id="92" w:name="_Toc248220519"/>
            <w:bookmarkStart w:id="93" w:name="_Toc275268717"/>
            <w:bookmarkStart w:id="94" w:name="_Toc231983385"/>
            <w:bookmarkStart w:id="95" w:name="_Toc231835940"/>
            <w:bookmarkStart w:id="96" w:name="_Toc235587809"/>
            <w:bookmarkStart w:id="97" w:name="_Toc232084123"/>
            <w:bookmarkStart w:id="98" w:name="_Toc236123673"/>
            <w:bookmarkStart w:id="99" w:name="_Toc233515704"/>
            <w:r>
              <w:rPr>
                <w:rFonts w:hint="eastAsia"/>
                <w:color w:val="000000" w:themeColor="text1"/>
                <w:sz w:val="21"/>
                <w:szCs w:val="21"/>
                <w14:textFill>
                  <w14:solidFill>
                    <w14:schemeClr w14:val="tx1"/>
                  </w14:solidFill>
                </w14:textFill>
              </w:rPr>
              <w:t>架空电力线路</w:t>
            </w:r>
          </w:p>
        </w:tc>
        <w:tc>
          <w:tcPr>
            <w:tcW w:w="937" w:type="dxa"/>
            <w:vMerge w:val="restart"/>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无绝缘层</w:t>
            </w: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6.5</w:t>
            </w:r>
          </w:p>
        </w:tc>
        <w:tc>
          <w:tcPr>
            <w:tcW w:w="2300" w:type="dxa"/>
            <w:vMerge w:val="restart"/>
            <w:vAlign w:val="center"/>
          </w:tcPr>
          <w:p>
            <w:pPr>
              <w:adjustRightInd w:val="0"/>
              <w:spacing w:line="240" w:lineRule="auto"/>
              <w:ind w:firstLine="0" w:firstLineChars="0"/>
              <w:jc w:val="center"/>
              <w:rPr>
                <w:color w:val="000000" w:themeColor="text1"/>
                <w:spacing w:val="10"/>
                <w:sz w:val="21"/>
                <w:szCs w:val="21"/>
                <w14:textFill>
                  <w14:solidFill>
                    <w14:schemeClr w14:val="tx1"/>
                  </w14:solidFill>
                </w14:textFill>
              </w:rPr>
            </w:pPr>
            <w:r>
              <w:rPr>
                <w:rFonts w:hint="eastAsia"/>
                <w:color w:val="000000" w:themeColor="text1"/>
                <w:spacing w:val="10"/>
                <w:sz w:val="21"/>
                <w:szCs w:val="21"/>
                <w:lang w:val="en-US" w:eastAsia="zh-CN"/>
                <w14:textFill>
                  <w14:solidFill>
                    <w14:schemeClr w14:val="tx1"/>
                  </w14:solidFill>
                </w14:textFill>
              </w:rPr>
              <w:t>北面高压线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53.6</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52</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58</w:t>
            </w:r>
          </w:p>
        </w:tc>
        <w:tc>
          <w:tcPr>
            <w:tcW w:w="2300"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南面架空电力线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有绝缘层</w:t>
            </w:r>
          </w:p>
        </w:tc>
        <w:tc>
          <w:tcPr>
            <w:tcW w:w="1085"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规范要求</w:t>
            </w:r>
          </w:p>
        </w:tc>
        <w:tc>
          <w:tcPr>
            <w:tcW w:w="169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139"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1058" w:type="dxa"/>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300" w:type="dxa"/>
            <w:vMerge w:val="restart"/>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西</w:t>
            </w:r>
            <w:r>
              <w:rPr>
                <w:rFonts w:hint="eastAsia"/>
                <w:color w:val="000000" w:themeColor="text1"/>
                <w:sz w:val="21"/>
                <w:szCs w:val="21"/>
                <w14:textFill>
                  <w14:solidFill>
                    <w14:schemeClr w14:val="tx1"/>
                  </w14:solidFill>
                </w14:textFill>
              </w:rPr>
              <w:t>南面架空电力线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gridSpan w:val="2"/>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937"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c>
          <w:tcPr>
            <w:tcW w:w="1085" w:type="dxa"/>
            <w:vAlign w:val="center"/>
          </w:tcPr>
          <w:p>
            <w:pPr>
              <w:pStyle w:val="66"/>
              <w:adjustRightInd w:val="0"/>
              <w:snapToGrid w:val="0"/>
              <w:ind w:firstLine="0"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实测</w:t>
            </w:r>
          </w:p>
        </w:tc>
        <w:tc>
          <w:tcPr>
            <w:tcW w:w="169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w:t>
            </w:r>
          </w:p>
        </w:tc>
        <w:tc>
          <w:tcPr>
            <w:tcW w:w="1139"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10.5</w:t>
            </w:r>
          </w:p>
        </w:tc>
        <w:tc>
          <w:tcPr>
            <w:tcW w:w="1058" w:type="dxa"/>
            <w:vAlign w:val="center"/>
          </w:tcPr>
          <w:p>
            <w:pPr>
              <w:adjustRightIn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48.4</w:t>
            </w:r>
          </w:p>
        </w:tc>
        <w:tc>
          <w:tcPr>
            <w:tcW w:w="2300" w:type="dxa"/>
            <w:vMerge w:val="continue"/>
            <w:vAlign w:val="center"/>
          </w:tcPr>
          <w:p>
            <w:pPr>
              <w:adjustRightInd w:val="0"/>
              <w:spacing w:line="240" w:lineRule="auto"/>
              <w:ind w:firstLine="0" w:firstLineChars="0"/>
              <w:jc w:val="center"/>
              <w:rPr>
                <w:color w:val="000000" w:themeColor="text1"/>
                <w:sz w:val="21"/>
                <w:szCs w:val="21"/>
                <w14:textFill>
                  <w14:solidFill>
                    <w14:schemeClr w14:val="tx1"/>
                  </w14:solidFill>
                </w14:textFill>
              </w:rPr>
            </w:pPr>
          </w:p>
        </w:tc>
      </w:tr>
    </w:tbl>
    <w:p>
      <w:pPr>
        <w:pStyle w:val="3"/>
        <w:rPr>
          <w:color w:val="000000" w:themeColor="text1"/>
          <w14:textFill>
            <w14:solidFill>
              <w14:schemeClr w14:val="tx1"/>
            </w14:solidFill>
          </w14:textFill>
        </w:rPr>
      </w:pPr>
      <w:bookmarkStart w:id="100" w:name="_Toc11664"/>
      <w:r>
        <w:rPr>
          <w:color w:val="000000" w:themeColor="text1"/>
          <w14:textFill>
            <w14:solidFill>
              <w14:schemeClr w14:val="tx1"/>
            </w14:solidFill>
          </w14:textFill>
        </w:rPr>
        <w:t>平面布置</w:t>
      </w:r>
      <w:bookmarkEnd w:id="90"/>
      <w:bookmarkEnd w:id="91"/>
      <w:bookmarkEnd w:id="92"/>
      <w:bookmarkEnd w:id="93"/>
      <w:bookmarkEnd w:id="94"/>
      <w:bookmarkEnd w:id="95"/>
      <w:bookmarkEnd w:id="96"/>
      <w:bookmarkEnd w:id="97"/>
      <w:bookmarkEnd w:id="98"/>
      <w:bookmarkEnd w:id="99"/>
      <w:bookmarkEnd w:id="100"/>
    </w:p>
    <w:p>
      <w:pPr>
        <w:snapToGrid/>
        <w:spacing w:line="560" w:lineRule="exact"/>
        <w:jc w:val="left"/>
        <w:rPr>
          <w:color w:val="000000" w:themeColor="text1"/>
          <w:szCs w:val="28"/>
          <w14:textFill>
            <w14:solidFill>
              <w14:schemeClr w14:val="tx1"/>
            </w14:solidFill>
          </w14:textFill>
        </w:rPr>
      </w:pPr>
      <w:bookmarkStart w:id="101" w:name="OLE_LINK2"/>
      <w:r>
        <w:rPr>
          <w:rFonts w:hint="eastAsia"/>
          <w:color w:val="000000" w:themeColor="text1"/>
          <w:szCs w:val="28"/>
          <w:lang w:eastAsia="zh-CN"/>
          <w14:textFill>
            <w14:solidFill>
              <w14:schemeClr w14:val="tx1"/>
            </w14:solidFill>
          </w14:textFill>
        </w:rPr>
        <w:t>丘北天星正才加油站</w:t>
      </w:r>
      <w:r>
        <w:rPr>
          <w:rFonts w:hint="eastAsia"/>
          <w:color w:val="000000" w:themeColor="text1"/>
          <w:szCs w:val="28"/>
          <w14:textFill>
            <w14:solidFill>
              <w14:schemeClr w14:val="tx1"/>
            </w14:solidFill>
          </w14:textFill>
        </w:rPr>
        <w:t>坐北朝南，平面布置按功能分为加油区、站房、油罐区、卸油区</w:t>
      </w:r>
      <w:r>
        <w:rPr>
          <w:rFonts w:hint="eastAsia"/>
          <w:color w:val="000000" w:themeColor="text1"/>
          <w:szCs w:val="28"/>
          <w:lang w:eastAsia="zh-CN"/>
          <w14:textFill>
            <w14:solidFill>
              <w14:schemeClr w14:val="tx1"/>
            </w14:solidFill>
          </w14:textFill>
        </w:rPr>
        <w:t>、</w:t>
      </w:r>
      <w:r>
        <w:rPr>
          <w:rFonts w:hint="eastAsia"/>
          <w:color w:val="000000" w:themeColor="text1"/>
          <w:szCs w:val="28"/>
          <w:lang w:val="en-US" w:eastAsia="zh-CN"/>
          <w14:textFill>
            <w14:solidFill>
              <w14:schemeClr w14:val="tx1"/>
            </w14:solidFill>
          </w14:textFill>
        </w:rPr>
        <w:t>辅房、卫生间</w:t>
      </w:r>
      <w:r>
        <w:rPr>
          <w:rFonts w:hint="eastAsia"/>
          <w:color w:val="000000" w:themeColor="text1"/>
          <w:szCs w:val="28"/>
          <w14:textFill>
            <w14:solidFill>
              <w14:schemeClr w14:val="tx1"/>
            </w14:solidFill>
          </w14:textFill>
        </w:rPr>
        <w:t>。加油区位于站房</w:t>
      </w:r>
      <w:r>
        <w:rPr>
          <w:rFonts w:hint="eastAsia"/>
          <w:color w:val="000000" w:themeColor="text1"/>
          <w:szCs w:val="28"/>
          <w:lang w:val="en-US" w:eastAsia="zh-CN"/>
          <w14:textFill>
            <w14:solidFill>
              <w14:schemeClr w14:val="tx1"/>
            </w14:solidFill>
          </w14:textFill>
        </w:rPr>
        <w:t>南</w:t>
      </w:r>
      <w:r>
        <w:rPr>
          <w:rFonts w:hint="eastAsia"/>
          <w:color w:val="000000" w:themeColor="text1"/>
          <w:szCs w:val="28"/>
          <w14:textFill>
            <w14:solidFill>
              <w14:schemeClr w14:val="tx1"/>
            </w14:solidFill>
          </w14:textFill>
        </w:rPr>
        <w:t>部，站房位于站区</w:t>
      </w:r>
      <w:r>
        <w:rPr>
          <w:rFonts w:hint="eastAsia"/>
          <w:color w:val="000000" w:themeColor="text1"/>
          <w:szCs w:val="28"/>
          <w:lang w:val="en-US" w:eastAsia="zh-CN"/>
          <w14:textFill>
            <w14:solidFill>
              <w14:schemeClr w14:val="tx1"/>
            </w14:solidFill>
          </w14:textFill>
        </w:rPr>
        <w:t>中</w:t>
      </w:r>
      <w:r>
        <w:rPr>
          <w:rFonts w:hint="eastAsia"/>
          <w:color w:val="000000" w:themeColor="text1"/>
          <w:szCs w:val="28"/>
          <w14:textFill>
            <w14:solidFill>
              <w14:schemeClr w14:val="tx1"/>
            </w14:solidFill>
          </w14:textFill>
        </w:rPr>
        <w:t>部，油罐区位于站</w:t>
      </w:r>
      <w:r>
        <w:rPr>
          <w:rFonts w:hint="eastAsia"/>
          <w:color w:val="000000" w:themeColor="text1"/>
          <w:szCs w:val="28"/>
          <w:lang w:val="en-US" w:eastAsia="zh-CN"/>
          <w14:textFill>
            <w14:solidFill>
              <w14:schemeClr w14:val="tx1"/>
            </w14:solidFill>
          </w14:textFill>
        </w:rPr>
        <w:t>区东北部</w:t>
      </w:r>
      <w:r>
        <w:rPr>
          <w:rFonts w:hint="eastAsia"/>
          <w:color w:val="000000" w:themeColor="text1"/>
          <w:szCs w:val="28"/>
          <w14:textFill>
            <w14:solidFill>
              <w14:schemeClr w14:val="tx1"/>
            </w14:solidFill>
          </w14:textFill>
        </w:rPr>
        <w:t>，卸油区设置在油罐区</w:t>
      </w:r>
      <w:r>
        <w:rPr>
          <w:rFonts w:hint="eastAsia"/>
          <w:color w:val="000000" w:themeColor="text1"/>
          <w:szCs w:val="28"/>
          <w:lang w:val="en-US" w:eastAsia="zh-CN"/>
          <w14:textFill>
            <w14:solidFill>
              <w14:schemeClr w14:val="tx1"/>
            </w14:solidFill>
          </w14:textFill>
        </w:rPr>
        <w:t>南侧</w:t>
      </w:r>
      <w:r>
        <w:rPr>
          <w:rFonts w:hint="eastAsia"/>
          <w:color w:val="000000" w:themeColor="text1"/>
          <w:szCs w:val="28"/>
          <w:lang w:eastAsia="zh-CN"/>
          <w14:textFill>
            <w14:solidFill>
              <w14:schemeClr w14:val="tx1"/>
            </w14:solidFill>
          </w14:textFill>
        </w:rPr>
        <w:t>，</w:t>
      </w:r>
      <w:r>
        <w:rPr>
          <w:rFonts w:hint="eastAsia"/>
          <w:color w:val="000000" w:themeColor="text1"/>
          <w:szCs w:val="28"/>
          <w:lang w:val="en-US" w:eastAsia="zh-CN"/>
          <w14:textFill>
            <w14:solidFill>
              <w14:schemeClr w14:val="tx1"/>
            </w14:solidFill>
          </w14:textFill>
        </w:rPr>
        <w:t>辅房位于站区西北部，卫生间位于站区东南部</w:t>
      </w:r>
      <w:r>
        <w:rPr>
          <w:rFonts w:hint="eastAsia"/>
          <w:color w:val="000000" w:themeColor="text1"/>
          <w:szCs w:val="28"/>
          <w14:textFill>
            <w14:solidFill>
              <w14:schemeClr w14:val="tx1"/>
            </w14:solidFill>
          </w14:textFill>
        </w:rPr>
        <w:t>。加油站站房、罩棚耐火等级均为二级。加油站入口与出口分开设置，加油站</w:t>
      </w:r>
      <w:r>
        <w:rPr>
          <w:rFonts w:hint="eastAsia"/>
          <w:color w:val="000000" w:themeColor="text1"/>
          <w:szCs w:val="28"/>
          <w:lang w:val="en-US" w:eastAsia="zh-CN"/>
          <w14:textFill>
            <w14:solidFill>
              <w14:schemeClr w14:val="tx1"/>
            </w14:solidFill>
          </w14:textFill>
        </w:rPr>
        <w:t>面向公路一侧设置有绿化带与外界隔离</w:t>
      </w:r>
      <w:r>
        <w:rPr>
          <w:rFonts w:hint="eastAsia"/>
          <w:color w:val="000000" w:themeColor="text1"/>
          <w:szCs w:val="28"/>
          <w14:textFill>
            <w14:solidFill>
              <w14:schemeClr w14:val="tx1"/>
            </w14:solidFill>
          </w14:textFill>
        </w:rPr>
        <w:t>，</w:t>
      </w:r>
      <w:r>
        <w:rPr>
          <w:rFonts w:hint="eastAsia"/>
          <w:color w:val="000000" w:themeColor="text1"/>
          <w:szCs w:val="28"/>
          <w:lang w:val="en-US" w:eastAsia="zh-CN"/>
          <w14:textFill>
            <w14:solidFill>
              <w14:schemeClr w14:val="tx1"/>
            </w14:solidFill>
          </w14:textFill>
        </w:rPr>
        <w:t>北面、西面、东面</w:t>
      </w:r>
      <w:r>
        <w:rPr>
          <w:rFonts w:hint="eastAsia"/>
          <w:color w:val="000000" w:themeColor="text1"/>
          <w:szCs w:val="28"/>
          <w14:textFill>
            <w14:solidFill>
              <w14:schemeClr w14:val="tx1"/>
            </w14:solidFill>
          </w14:textFill>
        </w:rPr>
        <w:t>设置不低于2</w:t>
      </w:r>
      <w:r>
        <w:rPr>
          <w:color w:val="000000" w:themeColor="text1"/>
          <w:szCs w:val="28"/>
          <w14:textFill>
            <w14:solidFill>
              <w14:schemeClr w14:val="tx1"/>
            </w14:solidFill>
          </w14:textFill>
        </w:rPr>
        <w:t>.2m</w:t>
      </w:r>
      <w:r>
        <w:rPr>
          <w:rFonts w:hint="eastAsia"/>
          <w:color w:val="000000" w:themeColor="text1"/>
          <w:szCs w:val="28"/>
          <w14:textFill>
            <w14:solidFill>
              <w14:schemeClr w14:val="tx1"/>
            </w14:solidFill>
          </w14:textFill>
        </w:rPr>
        <w:t>的实体围墙与外界隔开，加油站平面布置具体如下：</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加油区：</w:t>
      </w:r>
      <w:r>
        <w:rPr>
          <w:rFonts w:hint="eastAsia"/>
          <w:color w:val="000000" w:themeColor="text1"/>
          <w14:textFill>
            <w14:solidFill>
              <w14:schemeClr w14:val="tx1"/>
            </w14:solidFill>
          </w14:textFill>
        </w:rPr>
        <w:t>加油区设置</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台双枪税控燃油加油机，加油枪软管上设置安全拉断阀，</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台加油机设置在</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座加油岛上；加油岛宽1.</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m，高出站内地坪0.2m；加油区靠站房侧单车道宽度</w:t>
      </w:r>
      <w:r>
        <w:rPr>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m，中间双车道宽</w:t>
      </w:r>
      <w:r>
        <w:rPr>
          <w:rFonts w:hint="eastAsia"/>
          <w:color w:val="000000" w:themeColor="text1"/>
          <w:lang w:val="en-US" w:eastAsia="zh-CN"/>
          <w14:textFill>
            <w14:solidFill>
              <w14:schemeClr w14:val="tx1"/>
            </w14:solidFill>
          </w14:textFill>
        </w:rPr>
        <w:t>6.5</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，外侧单车道宽度</w:t>
      </w:r>
      <w:r>
        <w:rPr>
          <w:color w:val="000000" w:themeColor="text1"/>
          <w14:textFill>
            <w14:solidFill>
              <w14:schemeClr w14:val="tx1"/>
            </w14:solidFill>
          </w14:textFill>
        </w:rPr>
        <w:t>6</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m，加油站在加油岛端部设置了0.</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m高防撞栏杆。</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罩棚：</w:t>
      </w:r>
      <w:r>
        <w:rPr>
          <w:rFonts w:hint="eastAsia"/>
          <w:color w:val="000000" w:themeColor="text1"/>
          <w14:textFill>
            <w14:solidFill>
              <w14:schemeClr w14:val="tx1"/>
            </w14:solidFill>
          </w14:textFill>
        </w:rPr>
        <w:t>加油区设置加油罩棚及加油机，加油站罩棚有效高度为</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m，罩棚边缘与加油机的最小平面距离为</w:t>
      </w:r>
      <w:r>
        <w:rPr>
          <w:rFonts w:hint="eastAsia"/>
          <w:color w:val="000000" w:themeColor="text1"/>
          <w:lang w:val="en-US" w:eastAsia="zh-CN"/>
          <w14:textFill>
            <w14:solidFill>
              <w14:schemeClr w14:val="tx1"/>
            </w14:solidFill>
          </w14:textFill>
        </w:rPr>
        <w:t>2.5</w:t>
      </w:r>
      <w:r>
        <w:rPr>
          <w:rFonts w:hint="eastAsia"/>
          <w:color w:val="000000" w:themeColor="text1"/>
          <w14:textFill>
            <w14:solidFill>
              <w14:schemeClr w14:val="tx1"/>
            </w14:solidFill>
          </w14:textFill>
        </w:rPr>
        <w:t>m，罩棚支柱距加油岛端部0.6m。</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储油区：</w:t>
      </w:r>
      <w:r>
        <w:rPr>
          <w:rFonts w:hint="eastAsia"/>
          <w:color w:val="000000" w:themeColor="text1"/>
          <w14:textFill>
            <w14:solidFill>
              <w14:schemeClr w14:val="tx1"/>
            </w14:solidFill>
          </w14:textFill>
        </w:rPr>
        <w:t>油罐区设置</w:t>
      </w:r>
      <w:r>
        <w:rPr>
          <w:bCs/>
          <w:color w:val="000000" w:themeColor="text1"/>
          <w14:textFill>
            <w14:solidFill>
              <w14:schemeClr w14:val="tx1"/>
            </w14:solidFill>
          </w14:textFill>
        </w:rPr>
        <w:t>在</w:t>
      </w:r>
      <w:r>
        <w:rPr>
          <w:rFonts w:hint="eastAsia"/>
          <w:bCs/>
          <w:color w:val="000000" w:themeColor="text1"/>
          <w14:textFill>
            <w14:solidFill>
              <w14:schemeClr w14:val="tx1"/>
            </w14:solidFill>
          </w14:textFill>
        </w:rPr>
        <w:t>加油站</w:t>
      </w:r>
      <w:r>
        <w:rPr>
          <w:rFonts w:hint="eastAsia"/>
          <w:bCs/>
          <w:color w:val="000000" w:themeColor="text1"/>
          <w:lang w:val="en-US" w:eastAsia="zh-CN"/>
          <w14:textFill>
            <w14:solidFill>
              <w14:schemeClr w14:val="tx1"/>
            </w14:solidFill>
          </w14:textFill>
        </w:rPr>
        <w:t>东北</w:t>
      </w:r>
      <w:r>
        <w:rPr>
          <w:rFonts w:hint="eastAsia"/>
          <w:bCs/>
          <w:color w:val="000000" w:themeColor="text1"/>
          <w14:textFill>
            <w14:solidFill>
              <w14:schemeClr w14:val="tx1"/>
            </w14:solidFill>
          </w14:textFill>
        </w:rPr>
        <w:t>侧</w:t>
      </w:r>
      <w:r>
        <w:rPr>
          <w:rFonts w:hint="eastAsia"/>
          <w:color w:val="000000" w:themeColor="text1"/>
          <w14:textFill>
            <w14:solidFill>
              <w14:schemeClr w14:val="tx1"/>
            </w14:solidFill>
          </w14:textFill>
        </w:rPr>
        <w:t>，设置S</w:t>
      </w:r>
      <w:r>
        <w:rPr>
          <w:color w:val="000000" w:themeColor="text1"/>
          <w14:textFill>
            <w14:solidFill>
              <w14:schemeClr w14:val="tx1"/>
            </w14:solidFill>
          </w14:textFill>
        </w:rPr>
        <w:t>F</w:t>
      </w:r>
      <w:r>
        <w:rPr>
          <w:rFonts w:hint="eastAsia"/>
          <w:color w:val="000000" w:themeColor="text1"/>
          <w14:textFill>
            <w14:solidFill>
              <w14:schemeClr w14:val="tx1"/>
            </w14:solidFill>
          </w14:textFill>
        </w:rPr>
        <w:t>埋地储油罐</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个，0#柴油罐</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0m³，92#汽油罐1个30m³，9</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#汽油罐1个30m³，油罐总容积</w:t>
      </w: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m³，柴油罐容积折半计入油罐总容积为</w:t>
      </w:r>
      <w:r>
        <w:rPr>
          <w:color w:val="000000" w:themeColor="text1"/>
          <w14:textFill>
            <w14:solidFill>
              <w14:schemeClr w14:val="tx1"/>
            </w14:solidFill>
          </w14:textFill>
        </w:rPr>
        <w:t>8</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m³</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为三级加油站</w:t>
      </w:r>
      <w:r>
        <w:rPr>
          <w:rFonts w:hint="eastAsia"/>
          <w:color w:val="000000" w:themeColor="text1"/>
          <w14:textFill>
            <w14:solidFill>
              <w14:schemeClr w14:val="tx1"/>
            </w14:solidFill>
          </w14:textFill>
        </w:rPr>
        <w:t>，油罐埋地布置于罐池内，油罐采用防腐处理，油罐间距0.6m，每个油罐单独采用DN50通气管，通气管沿罩棚立柱铺设，</w:t>
      </w:r>
      <w:r>
        <w:rPr>
          <w:rFonts w:hint="eastAsia"/>
          <w:color w:val="000000" w:themeColor="text1"/>
          <w:szCs w:val="28"/>
          <w14:textFill>
            <w14:solidFill>
              <w14:schemeClr w14:val="tx1"/>
            </w14:solidFill>
          </w14:textFill>
        </w:rPr>
        <w:t>汽油罐的通气管管口装设阻火器，柴油罐通气管管口装设阻火器。每个油罐均设置了检测立管，设置防渗漏报警装置，每个油罐均设置了液位仪，防渗漏报警信号和液位报警信号均引至站房办公室。加油站在爆炸危险区域内工艺管道上法兰两端等连接处，均用铜片跨接。</w:t>
      </w:r>
      <w:r>
        <w:rPr>
          <w:rFonts w:hint="eastAsia"/>
          <w:color w:val="000000" w:themeColor="text1"/>
          <w14:textFill>
            <w14:solidFill>
              <w14:schemeClr w14:val="tx1"/>
            </w14:solidFill>
          </w14:textFill>
        </w:rPr>
        <w:t>每个油罐单独设置人孔操作井，油罐区设置了观察井。</w:t>
      </w:r>
    </w:p>
    <w:p>
      <w:pPr>
        <w:keepNext w:val="0"/>
        <w:keepLines w:val="0"/>
        <w:pageBreakBefore w:val="0"/>
        <w:widowControl w:val="0"/>
        <w:kinsoku w:val="0"/>
        <w:wordWrap/>
        <w:overflowPunct w:val="0"/>
        <w:topLinePunct w:val="0"/>
        <w:autoSpaceDE/>
        <w:autoSpaceDN/>
        <w:bidi w:val="0"/>
        <w:adjustRightInd/>
        <w:snapToGrid/>
        <w:textAlignment w:val="auto"/>
        <w:rPr>
          <w:color w:val="000000" w:themeColor="text1"/>
          <w14:textFill>
            <w14:solidFill>
              <w14:schemeClr w14:val="tx1"/>
            </w14:solidFill>
          </w14:textFill>
        </w:rPr>
      </w:pPr>
      <w:r>
        <w:rPr>
          <w:rFonts w:hint="eastAsia"/>
          <w:color w:val="000000" w:themeColor="text1"/>
          <w:szCs w:val="28"/>
          <w14:textFill>
            <w14:solidFill>
              <w14:schemeClr w14:val="tx1"/>
            </w14:solidFill>
          </w14:textFill>
        </w:rPr>
        <w:t>在油罐区</w:t>
      </w:r>
      <w:r>
        <w:rPr>
          <w:rFonts w:hint="eastAsia"/>
          <w:color w:val="000000" w:themeColor="text1"/>
          <w:szCs w:val="28"/>
          <w:lang w:val="en-US" w:eastAsia="zh-CN"/>
          <w14:textFill>
            <w14:solidFill>
              <w14:schemeClr w14:val="tx1"/>
            </w14:solidFill>
          </w14:textFill>
        </w:rPr>
        <w:t>南侧</w:t>
      </w:r>
      <w:r>
        <w:rPr>
          <w:rFonts w:hint="eastAsia"/>
          <w:color w:val="000000" w:themeColor="text1"/>
          <w:szCs w:val="28"/>
          <w14:textFill>
            <w14:solidFill>
              <w14:schemeClr w14:val="tx1"/>
            </w14:solidFill>
          </w14:textFill>
        </w:rPr>
        <w:t>设置密闭卸油点，密闭卸油点设置了</w:t>
      </w:r>
      <w:r>
        <w:rPr>
          <w:color w:val="000000" w:themeColor="text1"/>
          <w:szCs w:val="28"/>
          <w14:textFill>
            <w14:solidFill>
              <w14:schemeClr w14:val="tx1"/>
            </w14:solidFill>
          </w14:textFill>
        </w:rPr>
        <w:t>3</w:t>
      </w:r>
      <w:r>
        <w:rPr>
          <w:rFonts w:hint="eastAsia"/>
          <w:color w:val="000000" w:themeColor="text1"/>
          <w:szCs w:val="28"/>
          <w14:textFill>
            <w14:solidFill>
              <w14:schemeClr w14:val="tx1"/>
            </w14:solidFill>
          </w14:textFill>
        </w:rPr>
        <w:t>个卸油口和1个汽油卸油油气回收管口，密闭卸油点与汽、柴油通气管的距离均大于3m（规范：汽油通气管与密闭卸油点为3m，柴油为2m），卸油口配备有静电夹及人体静电导除桩。密闭卸油口，每个油罐各自设置卸油接口，接口上有明显的油品标识。卸油接口装设快速接头及密封盖。在卸油</w:t>
      </w:r>
      <w:r>
        <w:rPr>
          <w:rFonts w:hint="eastAsia"/>
          <w:color w:val="000000" w:themeColor="text1"/>
          <w:szCs w:val="28"/>
          <w:lang w:val="en-US" w:eastAsia="zh-CN"/>
          <w14:textFill>
            <w14:solidFill>
              <w14:schemeClr w14:val="tx1"/>
            </w14:solidFill>
          </w14:textFill>
        </w:rPr>
        <w:t>区设置</w:t>
      </w:r>
      <w:r>
        <w:rPr>
          <w:rFonts w:hint="eastAsia"/>
          <w:color w:val="000000" w:themeColor="text1"/>
          <w:szCs w:val="28"/>
          <w14:textFill>
            <w14:solidFill>
              <w14:schemeClr w14:val="tx1"/>
            </w14:solidFill>
          </w14:textFill>
        </w:rPr>
        <w:t>有2m³消防沙</w:t>
      </w:r>
      <w:r>
        <w:rPr>
          <w:rFonts w:hint="eastAsia"/>
          <w:color w:val="000000" w:themeColor="text1"/>
          <w:szCs w:val="28"/>
          <w:lang w:val="en-US" w:eastAsia="zh-CN"/>
          <w14:textFill>
            <w14:solidFill>
              <w14:schemeClr w14:val="tx1"/>
            </w14:solidFill>
          </w14:textFill>
        </w:rPr>
        <w:t>池</w:t>
      </w:r>
      <w:r>
        <w:rPr>
          <w:rFonts w:hint="eastAsia"/>
          <w:color w:val="000000" w:themeColor="text1"/>
          <w:szCs w:val="28"/>
          <w14:textFill>
            <w14:solidFill>
              <w14:schemeClr w14:val="tx1"/>
            </w14:solidFill>
          </w14:textFill>
        </w:rPr>
        <w:t>、消防器材箱。</w:t>
      </w:r>
    </w:p>
    <w:p>
      <w:pPr>
        <w:ind w:firstLine="562"/>
        <w:rPr>
          <w:color w:val="000000" w:themeColor="text1"/>
          <w14:textFill>
            <w14:solidFill>
              <w14:schemeClr w14:val="tx1"/>
            </w14:solidFill>
          </w14:textFill>
        </w:rPr>
      </w:pPr>
      <w:r>
        <w:rPr>
          <w:rFonts w:hint="eastAsia"/>
          <w:b/>
          <w:bCs/>
          <w:color w:val="000000" w:themeColor="text1"/>
          <w14:textFill>
            <w14:solidFill>
              <w14:schemeClr w14:val="tx1"/>
            </w14:solidFill>
          </w14:textFill>
        </w:rPr>
        <w:t>站房：</w:t>
      </w:r>
      <w:r>
        <w:rPr>
          <w:rFonts w:hint="eastAsia"/>
          <w:color w:val="000000" w:themeColor="text1"/>
          <w:szCs w:val="28"/>
          <w14:textFill>
            <w14:solidFill>
              <w14:schemeClr w14:val="tx1"/>
            </w14:solidFill>
          </w14:textFill>
        </w:rPr>
        <w:t>站房</w:t>
      </w:r>
      <w:r>
        <w:rPr>
          <w:rFonts w:hint="eastAsia"/>
          <w:color w:val="000000" w:themeColor="text1"/>
          <w14:textFill>
            <w14:solidFill>
              <w14:schemeClr w14:val="tx1"/>
            </w14:solidFill>
          </w14:textFill>
        </w:rPr>
        <w:t>为一栋2层砖混结构建筑，耐火等级为二级，布置有</w:t>
      </w:r>
      <w:r>
        <w:rPr>
          <w:rFonts w:hint="eastAsia"/>
          <w:color w:val="000000" w:themeColor="text1"/>
          <w:lang w:val="en-US" w:eastAsia="zh-CN"/>
          <w14:textFill>
            <w14:solidFill>
              <w14:schemeClr w14:val="tx1"/>
            </w14:solidFill>
          </w14:textFill>
        </w:rPr>
        <w:t>办公室、储藏室、休息室</w:t>
      </w:r>
      <w:r>
        <w:rPr>
          <w:rFonts w:hint="eastAsia"/>
          <w:color w:val="000000" w:themeColor="text1"/>
          <w14:textFill>
            <w14:solidFill>
              <w14:schemeClr w14:val="tx1"/>
            </w14:solidFill>
          </w14:textFill>
        </w:rPr>
        <w:t>等。</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配电室位于</w:t>
      </w:r>
      <w:r>
        <w:rPr>
          <w:rFonts w:hint="eastAsia"/>
          <w:color w:val="000000" w:themeColor="text1"/>
          <w:lang w:val="en-US" w:eastAsia="zh-CN"/>
          <w14:textFill>
            <w14:solidFill>
              <w14:schemeClr w14:val="tx1"/>
            </w14:solidFill>
          </w14:textFill>
        </w:rPr>
        <w:t>西北</w:t>
      </w:r>
      <w:r>
        <w:rPr>
          <w:rFonts w:hint="eastAsia"/>
          <w:color w:val="000000" w:themeColor="text1"/>
          <w14:textFill>
            <w14:solidFill>
              <w14:schemeClr w14:val="tx1"/>
            </w14:solidFill>
          </w14:textFill>
        </w:rPr>
        <w:t>侧辅房内，配置配电柜一台，外开式防火门，配电柜前设置有绝缘胶垫及安全警示标志。</w:t>
      </w:r>
    </w:p>
    <w:p>
      <w:pPr>
        <w:rPr>
          <w:color w:val="000000" w:themeColor="text1"/>
          <w14:textFill>
            <w14:solidFill>
              <w14:schemeClr w14:val="tx1"/>
            </w14:solidFill>
          </w14:textFill>
        </w:rPr>
      </w:pPr>
      <w:r>
        <w:rPr>
          <w:color w:val="000000" w:themeColor="text1"/>
          <w14:textFill>
            <w14:solidFill>
              <w14:schemeClr w14:val="tx1"/>
            </w14:solidFill>
          </w14:textFill>
        </w:rPr>
        <w:t>加油站发电机房设置了一台功率为</w:t>
      </w:r>
      <w:r>
        <w:rPr>
          <w:rFonts w:hint="eastAsia"/>
          <w:color w:val="000000" w:themeColor="text1"/>
          <w:lang w:val="en-US" w:eastAsia="zh-CN"/>
          <w14:textFill>
            <w14:solidFill>
              <w14:schemeClr w14:val="tx1"/>
            </w14:solidFill>
          </w14:textFill>
        </w:rPr>
        <w:t>15</w:t>
      </w:r>
      <w:r>
        <w:rPr>
          <w:color w:val="000000" w:themeColor="text1"/>
          <w14:textFill>
            <w14:solidFill>
              <w14:schemeClr w14:val="tx1"/>
            </w14:solidFill>
          </w14:textFill>
        </w:rPr>
        <w:t>kW的柴油发电机为备用电源，能够满足本加油站的用电需求，排烟管装设阻火器</w:t>
      </w:r>
      <w:r>
        <w:rPr>
          <w:rFonts w:hint="eastAsia"/>
          <w:color w:val="000000" w:themeColor="text1"/>
          <w14:textFill>
            <w14:solidFill>
              <w14:schemeClr w14:val="tx1"/>
            </w14:solidFill>
          </w14:textFill>
        </w:rPr>
        <w:t>。</w:t>
      </w:r>
    </w:p>
    <w:p>
      <w:pPr>
        <w:snapToGrid/>
        <w:ind w:firstLine="562"/>
        <w:rPr>
          <w:color w:val="000000" w:themeColor="text1"/>
          <w:szCs w:val="28"/>
          <w14:textFill>
            <w14:solidFill>
              <w14:schemeClr w14:val="tx1"/>
            </w14:solidFill>
          </w14:textFill>
        </w:rPr>
      </w:pPr>
      <w:r>
        <w:rPr>
          <w:rFonts w:hint="eastAsia"/>
          <w:b/>
          <w:color w:val="000000" w:themeColor="text1"/>
          <w:szCs w:val="28"/>
          <w14:textFill>
            <w14:solidFill>
              <w14:schemeClr w14:val="tx1"/>
            </w14:solidFill>
          </w14:textFill>
        </w:rPr>
        <w:t>站区道路及出入口设置情况：</w:t>
      </w:r>
      <w:r>
        <w:rPr>
          <w:rFonts w:hint="eastAsia"/>
          <w:color w:val="000000" w:themeColor="text1"/>
          <w14:textFill>
            <w14:solidFill>
              <w14:schemeClr w14:val="tx1"/>
            </w14:solidFill>
          </w14:textFill>
        </w:rPr>
        <w:t>加油站</w:t>
      </w:r>
      <w:r>
        <w:rPr>
          <w:rFonts w:hint="eastAsia"/>
          <w:color w:val="000000" w:themeColor="text1"/>
          <w:lang w:val="en-US" w:eastAsia="zh-CN"/>
          <w14:textFill>
            <w14:solidFill>
              <w14:schemeClr w14:val="tx1"/>
            </w14:solidFill>
          </w14:textFill>
        </w:rPr>
        <w:t>东南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设置“入口”，西南</w:t>
      </w:r>
      <w:r>
        <w:rPr>
          <w:rFonts w:hint="eastAsia"/>
          <w:color w:val="000000" w:themeColor="text1"/>
          <w14:textFill>
            <w14:solidFill>
              <w14:schemeClr w14:val="tx1"/>
            </w14:solidFill>
          </w14:textFill>
        </w:rPr>
        <w:t>面</w:t>
      </w:r>
      <w:r>
        <w:rPr>
          <w:rFonts w:hint="eastAsia"/>
          <w:color w:val="000000" w:themeColor="text1"/>
          <w:lang w:val="en-US" w:eastAsia="zh-CN"/>
          <w14:textFill>
            <w14:solidFill>
              <w14:schemeClr w14:val="tx1"/>
            </w14:solidFill>
          </w14:textFill>
        </w:rPr>
        <w:t>设置“出口”</w:t>
      </w:r>
      <w:r>
        <w:rPr>
          <w:rFonts w:hint="eastAsia"/>
          <w:color w:val="000000" w:themeColor="text1"/>
          <w:szCs w:val="28"/>
          <w:lang w:eastAsia="zh-CN"/>
          <w14:textFill>
            <w14:solidFill>
              <w14:schemeClr w14:val="tx1"/>
            </w14:solidFill>
          </w14:textFill>
        </w:rPr>
        <w:t>；</w:t>
      </w:r>
      <w:r>
        <w:rPr>
          <w:rFonts w:hint="eastAsia"/>
          <w:color w:val="000000" w:themeColor="text1"/>
          <w:szCs w:val="28"/>
          <w14:textFill>
            <w14:solidFill>
              <w14:schemeClr w14:val="tx1"/>
            </w14:solidFill>
          </w14:textFill>
        </w:rPr>
        <w:t>加油站</w:t>
      </w:r>
      <w:r>
        <w:rPr>
          <w:rFonts w:hint="eastAsia"/>
          <w:color w:val="000000" w:themeColor="text1"/>
          <w:szCs w:val="28"/>
          <w:lang w:val="en-US" w:eastAsia="zh-CN"/>
          <w14:textFill>
            <w14:solidFill>
              <w14:schemeClr w14:val="tx1"/>
            </w14:solidFill>
          </w14:textFill>
        </w:rPr>
        <w:t>面向公路一侧设置有绿化带与外界隔离</w:t>
      </w:r>
      <w:r>
        <w:rPr>
          <w:rFonts w:hint="eastAsia"/>
          <w:color w:val="000000" w:themeColor="text1"/>
          <w:szCs w:val="28"/>
          <w14:textFill>
            <w14:solidFill>
              <w14:schemeClr w14:val="tx1"/>
            </w14:solidFill>
          </w14:textFill>
        </w:rPr>
        <w:t>，</w:t>
      </w:r>
      <w:r>
        <w:rPr>
          <w:rFonts w:hint="eastAsia"/>
          <w:color w:val="000000" w:themeColor="text1"/>
          <w:szCs w:val="28"/>
          <w:lang w:val="en-US" w:eastAsia="zh-CN"/>
          <w14:textFill>
            <w14:solidFill>
              <w14:schemeClr w14:val="tx1"/>
            </w14:solidFill>
          </w14:textFill>
        </w:rPr>
        <w:t>北面、西面、东面</w:t>
      </w:r>
      <w:r>
        <w:rPr>
          <w:rFonts w:hint="eastAsia"/>
          <w:color w:val="000000" w:themeColor="text1"/>
          <w:szCs w:val="28"/>
          <w14:textFill>
            <w14:solidFill>
              <w14:schemeClr w14:val="tx1"/>
            </w14:solidFill>
          </w14:textFill>
        </w:rPr>
        <w:t>设置不低于2</w:t>
      </w:r>
      <w:r>
        <w:rPr>
          <w:color w:val="000000" w:themeColor="text1"/>
          <w:szCs w:val="28"/>
          <w14:textFill>
            <w14:solidFill>
              <w14:schemeClr w14:val="tx1"/>
            </w14:solidFill>
          </w14:textFill>
        </w:rPr>
        <w:t>.2m</w:t>
      </w:r>
      <w:r>
        <w:rPr>
          <w:rFonts w:hint="eastAsia"/>
          <w:color w:val="000000" w:themeColor="text1"/>
          <w:szCs w:val="28"/>
          <w14:textFill>
            <w14:solidFill>
              <w14:schemeClr w14:val="tx1"/>
            </w14:solidFill>
          </w14:textFill>
        </w:rPr>
        <w:t>的实体围墙与外界隔开，站内路面为水泥路面。</w:t>
      </w:r>
    </w:p>
    <w:p>
      <w:pPr>
        <w:ind w:firstLine="562"/>
        <w:rPr>
          <w:color w:val="000000" w:themeColor="text1"/>
          <w14:textFill>
            <w14:solidFill>
              <w14:schemeClr w14:val="tx1"/>
            </w14:solidFill>
          </w14:textFill>
        </w:rPr>
      </w:pPr>
      <w:r>
        <w:rPr>
          <w:rFonts w:hint="eastAsia"/>
          <w:b/>
          <w:bCs/>
          <w:color w:val="000000" w:themeColor="text1"/>
          <w:szCs w:val="28"/>
          <w14:textFill>
            <w14:solidFill>
              <w14:schemeClr w14:val="tx1"/>
            </w14:solidFill>
          </w14:textFill>
        </w:rPr>
        <w:t>工艺管线布置</w:t>
      </w:r>
      <w:r>
        <w:rPr>
          <w:rFonts w:hint="eastAsia"/>
          <w:b/>
          <w:color w:val="000000" w:themeColor="text1"/>
          <w14:textFill>
            <w14:solidFill>
              <w14:schemeClr w14:val="tx1"/>
            </w14:solidFill>
          </w14:textFill>
        </w:rPr>
        <w:t>：</w:t>
      </w:r>
      <w:r>
        <w:rPr>
          <w:rFonts w:hint="eastAsia"/>
          <w:color w:val="000000" w:themeColor="text1"/>
          <w14:textFill>
            <w14:solidFill>
              <w14:schemeClr w14:val="tx1"/>
            </w14:solidFill>
          </w14:textFill>
        </w:rPr>
        <w:t>根据企业提供资料，加油站进油管线采用DN80的无缝钢管，出油管线采用DN50的聚乙烯复合管，卸油油气回收管及加油油气回收管采用DN80的无缝钢管，通气管为DN50的无缝钢管；加油工艺为潜油泵发油，输油管线从油罐顶部通过埋地敷设至加油机，工艺管线敷设在混凝土场地下，未穿越站房。</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加油站的油罐区、油品卸车点、加油区以及通气管口周边属于加油站的防火防爆区域，除了保持安全防护距离足够的前提，在电气选型、防雷防静电、防火器材、通风状况等按加油站防火防爆的相关规定执行。</w:t>
      </w:r>
    </w:p>
    <w:p>
      <w:pPr>
        <w:rPr>
          <w:snapToGrid w:val="0"/>
          <w:color w:val="000000" w:themeColor="text1"/>
          <w:kern w:val="0"/>
          <w:szCs w:val="28"/>
          <w14:textFill>
            <w14:solidFill>
              <w14:schemeClr w14:val="tx1"/>
            </w14:solidFill>
          </w14:textFill>
        </w:rPr>
      </w:pPr>
      <w:r>
        <w:rPr>
          <w:rFonts w:hint="eastAsia"/>
          <w:color w:val="000000" w:themeColor="text1"/>
          <w:kern w:val="3"/>
          <w:szCs w:val="28"/>
          <w14:textFill>
            <w14:solidFill>
              <w14:schemeClr w14:val="tx1"/>
            </w14:solidFill>
          </w14:textFill>
        </w:rPr>
        <w:t>加油站站内设施之间的防火距离如表2-3，</w:t>
      </w:r>
      <w:r>
        <w:rPr>
          <w:rFonts w:hint="eastAsia"/>
          <w:color w:val="000000" w:themeColor="text1"/>
          <w14:textFill>
            <w14:solidFill>
              <w14:schemeClr w14:val="tx1"/>
            </w14:solidFill>
          </w14:textFill>
        </w:rPr>
        <w:t>加油站平面布置详见图2-</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eastAsia="宋体"/>
          <w:b/>
          <w:bCs/>
          <w:snapToGrid w:val="0"/>
          <w:color w:val="000000" w:themeColor="text1"/>
          <w:kern w:val="0"/>
          <w:szCs w:val="28"/>
          <w:lang w:eastAsia="zh-CN"/>
          <w14:textFill>
            <w14:solidFill>
              <w14:schemeClr w14:val="tx1"/>
            </w14:solidFill>
          </w14:textFill>
        </w:rPr>
      </w:pPr>
      <w:r>
        <w:drawing>
          <wp:inline distT="0" distB="0" distL="114300" distR="114300">
            <wp:extent cx="4819650" cy="5876290"/>
            <wp:effectExtent l="0" t="0" r="0" b="1016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3"/>
                    <a:srcRect b="2142"/>
                    <a:stretch>
                      <a:fillRect/>
                    </a:stretch>
                  </pic:blipFill>
                  <pic:spPr>
                    <a:xfrm>
                      <a:off x="0" y="0"/>
                      <a:ext cx="4819650" cy="5876290"/>
                    </a:xfrm>
                    <a:prstGeom prst="rect">
                      <a:avLst/>
                    </a:prstGeom>
                    <a:noFill/>
                    <a:ln>
                      <a:noFill/>
                    </a:ln>
                  </pic:spPr>
                </pic:pic>
              </a:graphicData>
            </a:graphic>
          </wp:inline>
        </w:drawing>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图2-</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加油站平面布置示意图</w:t>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表2-3 站内设施的防火间距（单位：m）</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37"/>
        <w:gridCol w:w="1056"/>
        <w:gridCol w:w="876"/>
        <w:gridCol w:w="792"/>
        <w:gridCol w:w="936"/>
        <w:gridCol w:w="972"/>
        <w:gridCol w:w="708"/>
        <w:gridCol w:w="768"/>
        <w:gridCol w:w="612"/>
        <w:gridCol w:w="732"/>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2093" w:type="dxa"/>
            <w:gridSpan w:val="2"/>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设施名称</w:t>
            </w:r>
          </w:p>
        </w:tc>
        <w:tc>
          <w:tcPr>
            <w:tcW w:w="876"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汽油罐</w:t>
            </w:r>
          </w:p>
        </w:tc>
        <w:tc>
          <w:tcPr>
            <w:tcW w:w="792"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柴油罐</w:t>
            </w:r>
          </w:p>
        </w:tc>
        <w:tc>
          <w:tcPr>
            <w:tcW w:w="936"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汽油通气管管口</w:t>
            </w:r>
          </w:p>
        </w:tc>
        <w:tc>
          <w:tcPr>
            <w:tcW w:w="972"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柴油通气管管口</w:t>
            </w:r>
          </w:p>
        </w:tc>
        <w:tc>
          <w:tcPr>
            <w:tcW w:w="708"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油品卸车点</w:t>
            </w:r>
          </w:p>
        </w:tc>
        <w:tc>
          <w:tcPr>
            <w:tcW w:w="768"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加油机</w:t>
            </w:r>
          </w:p>
        </w:tc>
        <w:tc>
          <w:tcPr>
            <w:tcW w:w="612"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站房</w:t>
            </w:r>
          </w:p>
        </w:tc>
        <w:tc>
          <w:tcPr>
            <w:tcW w:w="732" w:type="dxa"/>
            <w:vAlign w:val="center"/>
          </w:tcPr>
          <w:p>
            <w:pPr>
              <w:pStyle w:val="92"/>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发配电室                                                       </w:t>
            </w:r>
          </w:p>
        </w:tc>
        <w:tc>
          <w:tcPr>
            <w:tcW w:w="582" w:type="dxa"/>
            <w:vAlign w:val="center"/>
          </w:tcPr>
          <w:p>
            <w:pPr>
              <w:pStyle w:val="9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站区围墙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汽油罐</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0.6</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11.2</w:t>
            </w:r>
          </w:p>
        </w:tc>
        <w:tc>
          <w:tcPr>
            <w:tcW w:w="73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16.4</w:t>
            </w:r>
          </w:p>
        </w:tc>
        <w:tc>
          <w:tcPr>
            <w:tcW w:w="58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柴油罐</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3                                                                                                                                                                                                               </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0.6</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w:t>
            </w:r>
          </w:p>
        </w:tc>
        <w:tc>
          <w:tcPr>
            <w:tcW w:w="73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23.6</w:t>
            </w:r>
          </w:p>
        </w:tc>
        <w:tc>
          <w:tcPr>
            <w:tcW w:w="58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汽油通气管管口</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9.4</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19</w:t>
            </w:r>
          </w:p>
        </w:tc>
        <w:tc>
          <w:tcPr>
            <w:tcW w:w="73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w:t>
            </w:r>
          </w:p>
        </w:tc>
        <w:tc>
          <w:tcPr>
            <w:tcW w:w="58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柴油通气管管口</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3.5</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9.4</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19.4</w:t>
            </w:r>
          </w:p>
        </w:tc>
        <w:tc>
          <w:tcPr>
            <w:tcW w:w="73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22.4</w:t>
            </w:r>
          </w:p>
        </w:tc>
        <w:tc>
          <w:tcPr>
            <w:tcW w:w="58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油品卸车点</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9.4</w:t>
            </w:r>
          </w:p>
        </w:tc>
        <w:tc>
          <w:tcPr>
            <w:tcW w:w="97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9.4</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732" w:type="dxa"/>
            <w:vAlign w:val="center"/>
          </w:tcPr>
          <w:p>
            <w:pPr>
              <w:pStyle w:val="92"/>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restart"/>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加油机</w:t>
            </w:r>
          </w:p>
        </w:tc>
        <w:tc>
          <w:tcPr>
            <w:tcW w:w="1056"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规范要求</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5（4）</w:t>
            </w:r>
          </w:p>
        </w:tc>
        <w:tc>
          <w:tcPr>
            <w:tcW w:w="732" w:type="dxa"/>
            <w:vAlign w:val="center"/>
          </w:tcPr>
          <w:p>
            <w:pPr>
              <w:pStyle w:val="92"/>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8（6）</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37" w:type="dxa"/>
            <w:vMerge w:val="continue"/>
            <w:vAlign w:val="center"/>
          </w:tcPr>
          <w:p>
            <w:pPr>
              <w:pStyle w:val="92"/>
              <w:rPr>
                <w:color w:val="000000" w:themeColor="text1"/>
                <w14:textFill>
                  <w14:solidFill>
                    <w14:schemeClr w14:val="tx1"/>
                  </w14:solidFill>
                </w14:textFill>
              </w:rPr>
            </w:pPr>
          </w:p>
        </w:tc>
        <w:tc>
          <w:tcPr>
            <w:tcW w:w="105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实测</w:t>
            </w:r>
          </w:p>
        </w:tc>
        <w:tc>
          <w:tcPr>
            <w:tcW w:w="87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9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36"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7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0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768"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612" w:type="dxa"/>
            <w:vAlign w:val="center"/>
          </w:tcPr>
          <w:p>
            <w:pPr>
              <w:pStyle w:val="9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6.1</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w:t>
            </w:r>
          </w:p>
        </w:tc>
        <w:tc>
          <w:tcPr>
            <w:tcW w:w="732" w:type="dxa"/>
            <w:vAlign w:val="center"/>
          </w:tcPr>
          <w:p>
            <w:pPr>
              <w:pStyle w:val="92"/>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w:t>
            </w:r>
          </w:p>
        </w:tc>
        <w:tc>
          <w:tcPr>
            <w:tcW w:w="582" w:type="dxa"/>
            <w:vAlign w:val="center"/>
          </w:tcPr>
          <w:p>
            <w:pPr>
              <w:pStyle w:val="92"/>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pPr>
        <w:pStyle w:val="45"/>
        <w:spacing w:line="24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注：表中（</w:t>
      </w:r>
      <w:r>
        <w:rPr>
          <w:color w:val="000000" w:themeColor="text1"/>
          <w:sz w:val="24"/>
          <w:szCs w:val="24"/>
          <w:lang w:val="zh-CN"/>
          <w14:textFill>
            <w14:solidFill>
              <w14:schemeClr w14:val="tx1"/>
            </w14:solidFill>
          </w14:textFill>
        </w:rPr>
        <w:t>—</w:t>
      </w:r>
      <w:r>
        <w:rPr>
          <w:rFonts w:hint="eastAsia"/>
          <w:color w:val="000000" w:themeColor="text1"/>
          <w:sz w:val="24"/>
          <w:szCs w:val="24"/>
          <w14:textFill>
            <w14:solidFill>
              <w14:schemeClr w14:val="tx1"/>
            </w14:solidFill>
          </w14:textFill>
        </w:rPr>
        <w:t>）表示无防火间距要求。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从表2-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可得知，该加油站的各设施间的防火间距符合《汽车加油加气站加氢技术标准》（GB50156-2021）表5.0.13-1的要求。</w:t>
      </w:r>
      <w:bookmarkEnd w:id="101"/>
    </w:p>
    <w:p>
      <w:pPr>
        <w:pStyle w:val="3"/>
        <w:rPr>
          <w:color w:val="000000" w:themeColor="text1"/>
          <w14:textFill>
            <w14:solidFill>
              <w14:schemeClr w14:val="tx1"/>
            </w14:solidFill>
          </w14:textFill>
        </w:rPr>
      </w:pPr>
      <w:bookmarkStart w:id="102" w:name="_Toc101358807"/>
      <w:bookmarkStart w:id="103" w:name="_Toc231975880"/>
      <w:bookmarkStart w:id="104" w:name="_Toc95275616"/>
      <w:bookmarkStart w:id="105" w:name="_Toc231976602"/>
      <w:bookmarkStart w:id="106" w:name="_Toc148078262"/>
      <w:bookmarkStart w:id="107" w:name="_Toc95275426"/>
      <w:bookmarkStart w:id="108" w:name="_Toc387163397"/>
      <w:bookmarkStart w:id="109" w:name="_Toc26613"/>
      <w:bookmarkStart w:id="110" w:name="_Toc3420"/>
      <w:bookmarkStart w:id="111" w:name="_Toc248220527"/>
      <w:bookmarkStart w:id="112" w:name="_Toc233515709"/>
      <w:bookmarkStart w:id="113" w:name="_Toc235587817"/>
      <w:bookmarkStart w:id="114" w:name="_Toc236123681"/>
      <w:bookmarkStart w:id="115" w:name="_Toc232084132"/>
      <w:bookmarkStart w:id="116" w:name="_Toc231983394"/>
      <w:bookmarkStart w:id="117" w:name="_Toc231982085"/>
      <w:bookmarkStart w:id="118" w:name="_Toc231835949"/>
      <w:bookmarkStart w:id="119" w:name="_Toc275268728"/>
      <w:r>
        <w:rPr>
          <w:color w:val="000000" w:themeColor="text1"/>
          <w14:textFill>
            <w14:solidFill>
              <w14:schemeClr w14:val="tx1"/>
            </w14:solidFill>
          </w14:textFill>
        </w:rPr>
        <w:t>加油站</w:t>
      </w:r>
      <w:bookmarkEnd w:id="102"/>
      <w:bookmarkEnd w:id="103"/>
      <w:bookmarkEnd w:id="104"/>
      <w:bookmarkEnd w:id="105"/>
      <w:bookmarkEnd w:id="106"/>
      <w:bookmarkEnd w:id="107"/>
      <w:r>
        <w:rPr>
          <w:color w:val="000000" w:themeColor="text1"/>
          <w14:textFill>
            <w14:solidFill>
              <w14:schemeClr w14:val="tx1"/>
            </w14:solidFill>
          </w14:textFill>
        </w:rPr>
        <w:t>工艺</w:t>
      </w:r>
      <w:bookmarkEnd w:id="108"/>
      <w:r>
        <w:rPr>
          <w:rFonts w:hint="eastAsia"/>
          <w:color w:val="000000" w:themeColor="text1"/>
          <w14:textFill>
            <w14:solidFill>
              <w14:schemeClr w14:val="tx1"/>
            </w14:solidFill>
          </w14:textFill>
        </w:rPr>
        <w:t>流程</w:t>
      </w:r>
      <w:bookmarkEnd w:id="109"/>
      <w:bookmarkEnd w:id="11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pt-BR"/>
          <w14:textFill>
            <w14:solidFill>
              <w14:schemeClr w14:val="tx1"/>
            </w14:solidFill>
          </w14:textFill>
        </w:rPr>
        <w:t>汽油卸油及加油工艺</w:t>
      </w:r>
    </w:p>
    <w:p>
      <w:pPr>
        <w:pStyle w:val="101"/>
        <w:keepNext w:val="0"/>
        <w:keepLines w:val="0"/>
        <w:pageBreakBefore w:val="0"/>
        <w:widowControl w:val="0"/>
        <w:kinsoku/>
        <w:wordWrap/>
        <w:overflowPunct/>
        <w:topLinePunct/>
        <w:autoSpaceDE/>
        <w:autoSpaceDN/>
        <w:bidi w:val="0"/>
        <w:adjustRightInd w:val="0"/>
        <w:snapToGrid w:val="0"/>
        <w:spacing w:line="500" w:lineRule="exact"/>
        <w:ind w:firstLine="560"/>
        <w:textAlignment w:val="auto"/>
        <w:rPr>
          <w:rFonts w:hint="eastAsia" w:ascii="宋体" w:hAnsi="宋体" w:eastAsia="宋体" w:cs="宋体"/>
          <w:color w:val="000000" w:themeColor="text1"/>
          <w:kern w:val="2"/>
          <w:sz w:val="28"/>
          <w:lang w:val="en-US" w:eastAsia="zh-CN" w:bidi="ar-SA"/>
          <w14:textFill>
            <w14:solidFill>
              <w14:schemeClr w14:val="tx1"/>
            </w14:solidFill>
          </w14:textFill>
        </w:rPr>
      </w:pPr>
      <w:r>
        <w:rPr>
          <w:rFonts w:hint="eastAsia" w:ascii="宋体" w:hAnsi="宋体" w:eastAsia="宋体" w:cs="宋体"/>
          <w:color w:val="000000" w:themeColor="text1"/>
          <w:kern w:val="2"/>
          <w:sz w:val="28"/>
          <w:lang w:val="en-US" w:eastAsia="zh-CN" w:bidi="ar-SA"/>
          <w14:textFill>
            <w14:solidFill>
              <w14:schemeClr w14:val="tx1"/>
            </w14:solidFill>
          </w14:textFill>
        </w:rPr>
        <w:t>该项目汽油加油采用潜油泵工艺流程，即汽油经油罐车运输至加油站，静置5min后，在卸车点采用密闭卸油方式及潜油泵发油、自封式加油枪加油工艺。工艺流程为：油品经油罐车运输至加油站，在卸车点采用密闭卸油方式将油品卸入埋地储油罐；常温常压条件下，油品在储油罐内以液体形式存在；加油时，通过装设在油罐上的潜油泵将油罐内的油品送至加油机，加油机再通过自封式加油枪注入用户汽车油箱。</w:t>
      </w:r>
    </w:p>
    <w:p>
      <w:pPr>
        <w:keepNext w:val="0"/>
        <w:keepLines w:val="0"/>
        <w:pageBreakBefore w:val="0"/>
        <w:widowControl w:val="0"/>
        <w:kinsoku/>
        <w:wordWrap/>
        <w:overflowPunct/>
        <w:autoSpaceDE/>
        <w:autoSpaceDN/>
        <w:bidi w:val="0"/>
        <w:snapToGrid w:val="0"/>
        <w:spacing w:line="500" w:lineRule="exact"/>
        <w:textAlignment w:val="auto"/>
        <w:rPr>
          <w:rFonts w:hint="eastAsia" w:ascii="宋体" w:hAnsi="宋体" w:eastAsia="宋体" w:cs="宋体"/>
          <w:color w:val="000000" w:themeColor="text1"/>
          <w:kern w:val="2"/>
          <w:sz w:val="28"/>
          <w:lang w:val="en-US" w:eastAsia="zh-CN" w:bidi="ar-SA"/>
          <w14:textFill>
            <w14:solidFill>
              <w14:schemeClr w14:val="tx1"/>
            </w14:solidFill>
          </w14:textFill>
        </w:rPr>
      </w:pPr>
      <w:r>
        <w:rPr>
          <w:rFonts w:hint="eastAsia" w:ascii="宋体" w:hAnsi="宋体" w:eastAsia="宋体" w:cs="宋体"/>
          <w:color w:val="000000" w:themeColor="text1"/>
          <w:kern w:val="2"/>
          <w:sz w:val="28"/>
          <w:lang w:val="en-US" w:eastAsia="zh-CN" w:bidi="ar-SA"/>
          <w14:textFill>
            <w14:solidFill>
              <w14:schemeClr w14:val="tx1"/>
            </w14:solidFill>
          </w14:textFill>
        </w:rPr>
        <w:t>卸油时埋地油罐因注入汽油而排出的油气，由油气回收管收集回油罐车中，由油罐车带回油库后，再经冷凝、吸附等方式处理。加油时车辆油箱因注入汽油而向外排的油气，由加油枪前端油气回收管通过加油机内真空泵抽吸，经油气回收管道送回</w:t>
      </w:r>
      <w:r>
        <w:rPr>
          <w:rFonts w:hint="eastAsia" w:cs="宋体"/>
          <w:color w:val="000000" w:themeColor="text1"/>
          <w:kern w:val="2"/>
          <w:sz w:val="28"/>
          <w:lang w:val="en-US" w:eastAsia="zh-CN" w:bidi="ar-SA"/>
          <w14:textFill>
            <w14:solidFill>
              <w14:schemeClr w14:val="tx1"/>
            </w14:solidFill>
          </w14:textFill>
        </w:rPr>
        <w:t>集液器，再送回</w:t>
      </w:r>
      <w:r>
        <w:rPr>
          <w:rFonts w:hint="eastAsia" w:ascii="宋体" w:hAnsi="宋体" w:eastAsia="宋体" w:cs="宋体"/>
          <w:color w:val="000000" w:themeColor="text1"/>
          <w:kern w:val="2"/>
          <w:sz w:val="28"/>
          <w:lang w:val="en-US" w:eastAsia="zh-CN" w:bidi="ar-SA"/>
          <w14:textFill>
            <w14:solidFill>
              <w14:schemeClr w14:val="tx1"/>
            </w14:solidFill>
          </w14:textFill>
        </w:rPr>
        <w:t>油罐中暂存。</w:t>
      </w:r>
    </w:p>
    <w:p>
      <w:pPr>
        <w:keepNext w:val="0"/>
        <w:keepLines w:val="0"/>
        <w:pageBreakBefore w:val="0"/>
        <w:widowControl w:val="0"/>
        <w:kinsoku/>
        <w:wordWrap/>
        <w:overflowPunct/>
        <w:autoSpaceDE/>
        <w:autoSpaceDN/>
        <w:bidi w:val="0"/>
        <w:snapToGrid w:val="0"/>
        <w:spacing w:line="500" w:lineRule="exact"/>
        <w:textAlignment w:val="auto"/>
        <w:rPr>
          <w:rFonts w:hint="eastAsia" w:ascii="宋体" w:hAnsi="宋体" w:eastAsia="宋体" w:cs="宋体"/>
          <w:color w:val="000000" w:themeColor="text1"/>
          <w:kern w:val="2"/>
          <w:sz w:val="28"/>
          <w:lang w:val="en-US" w:eastAsia="zh-CN" w:bidi="ar-SA"/>
          <w14:textFill>
            <w14:solidFill>
              <w14:schemeClr w14:val="tx1"/>
            </w14:solidFill>
          </w14:textFill>
        </w:rPr>
      </w:pPr>
      <w:r>
        <w:rPr>
          <w:rFonts w:hint="eastAsia" w:ascii="宋体" w:hAnsi="宋体" w:eastAsia="宋体" w:cs="宋体"/>
          <w:color w:val="000000" w:themeColor="text1"/>
          <w:kern w:val="2"/>
          <w:sz w:val="28"/>
          <w:lang w:val="en-US" w:eastAsia="zh-CN" w:bidi="ar-SA"/>
          <w14:textFill>
            <w14:solidFill>
              <w14:schemeClr w14:val="tx1"/>
            </w14:solidFill>
          </w14:textFill>
        </w:rPr>
        <w:t>汽油卸油及加油工艺流程图（有卸油、加油油气回收）：</w:t>
      </w:r>
    </w:p>
    <w:p>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000000" w:themeColor="text1"/>
          <w:kern w:val="3"/>
          <w14:textFill>
            <w14:solidFill>
              <w14:schemeClr w14:val="tx1"/>
            </w14:solidFill>
          </w14:textFill>
        </w:rPr>
      </w:pPr>
      <w:r>
        <w:rPr>
          <w:rFonts w:hint="eastAsia"/>
          <w:color w:val="000000" w:themeColor="text1"/>
          <w:kern w:val="3"/>
          <w14:textFill>
            <w14:solidFill>
              <w14:schemeClr w14:val="tx1"/>
            </w14:solidFill>
          </w14:textFill>
        </w:rPr>
        <w:object>
          <v:shape id="_x0000_i1026" o:spt="75" type="#_x0000_t75" style="height:150.4pt;width:459.1pt;" o:ole="t" filled="f" o:preferrelative="t" stroked="f" coordsize="21600,21600">
            <v:path/>
            <v:fill on="f" focussize="0,0"/>
            <v:stroke on="f"/>
            <v:imagedata r:id="rId55" o:title=""/>
            <o:lock v:ext="edit" aspectratio="f"/>
            <w10:wrap type="none"/>
            <w10:anchorlock/>
          </v:shape>
          <o:OLEObject Type="Embed" ProgID="Visio.Drawing.15" ShapeID="_x0000_i1026" DrawAspect="Content" ObjectID="_1468075726" r:id="rId54">
            <o:LockedField>false</o:LockedField>
          </o:OLEObject>
        </w:object>
      </w:r>
    </w:p>
    <w:p>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000000" w:themeColor="text1"/>
          <w14:textFill>
            <w14:solidFill>
              <w14:schemeClr w14:val="tx1"/>
            </w14:solidFill>
          </w14:textFill>
        </w:rPr>
      </w:pPr>
      <w:r>
        <w:rPr>
          <w:rFonts w:hint="eastAsia"/>
          <w:color w:val="000000" w:themeColor="text1"/>
          <w:kern w:val="3"/>
          <w14:textFill>
            <w14:solidFill>
              <w14:schemeClr w14:val="tx1"/>
            </w14:solidFill>
          </w14:textFill>
        </w:rPr>
        <w:t>图2-</w:t>
      </w:r>
      <w:r>
        <w:rPr>
          <w:color w:val="000000" w:themeColor="text1"/>
          <w:kern w:val="3"/>
          <w14:textFill>
            <w14:solidFill>
              <w14:schemeClr w14:val="tx1"/>
            </w14:solidFill>
          </w14:textFill>
        </w:rPr>
        <w:t>4</w:t>
      </w:r>
      <w:r>
        <w:rPr>
          <w:rFonts w:hint="eastAsia"/>
          <w:color w:val="000000" w:themeColor="text1"/>
          <w:kern w:val="3"/>
          <w14:textFill>
            <w14:solidFill>
              <w14:schemeClr w14:val="tx1"/>
            </w14:solidFill>
          </w14:textFill>
        </w:rPr>
        <w:t>汽油卸油及加油工艺流程示意图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项目柴油加油采用潜油泵工艺流程，即柴油经油罐车运输至加油站，静置5min后，在卸车点采用密闭卸油方式将柴油卸入埋地柴油储罐；常温常压条件下，柴油在储油罐内以液体形式存在；加油时，与加油机相对应的潜油泵，将油品由油罐中泵出，经出油管道送入加油机，通过自封式加油枪注入汽车油箱。</w:t>
      </w:r>
    </w:p>
    <w:p>
      <w:pPr>
        <w:spacing w:after="50"/>
        <w:ind w:firstLine="576" w:firstLineChars="206"/>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柴油加油工艺流程图：</w:t>
      </w:r>
    </w:p>
    <w:p>
      <w:pPr>
        <w:pStyle w:val="39"/>
        <w:ind w:firstLine="48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column">
                  <wp:posOffset>316230</wp:posOffset>
                </wp:positionH>
                <wp:positionV relativeFrom="paragraph">
                  <wp:posOffset>158750</wp:posOffset>
                </wp:positionV>
                <wp:extent cx="5061585" cy="396240"/>
                <wp:effectExtent l="4445" t="4445" r="8890" b="10795"/>
                <wp:wrapNone/>
                <wp:docPr id="52" name="组合 52"/>
                <wp:cNvGraphicFramePr/>
                <a:graphic xmlns:a="http://schemas.openxmlformats.org/drawingml/2006/main">
                  <a:graphicData uri="http://schemas.microsoft.com/office/word/2010/wordprocessingGroup">
                    <wpg:wgp>
                      <wpg:cNvGrpSpPr/>
                      <wpg:grpSpPr>
                        <a:xfrm>
                          <a:off x="0" y="0"/>
                          <a:ext cx="5061585" cy="396240"/>
                          <a:chOff x="0" y="0"/>
                          <a:chExt cx="9345" cy="624"/>
                        </a:xfrm>
                      </wpg:grpSpPr>
                      <wps:wsp>
                        <wps:cNvPr id="33" name="文本框 33"/>
                        <wps:cNvSpPr txBox="1"/>
                        <wps:spPr>
                          <a:xfrm>
                            <a:off x="0"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80" w:lineRule="exact"/>
                                <w:ind w:firstLine="0" w:firstLineChars="0"/>
                                <w:rPr>
                                  <w:sz w:val="21"/>
                                  <w:szCs w:val="21"/>
                                </w:rPr>
                              </w:pPr>
                              <w:r>
                                <w:rPr>
                                  <w:rFonts w:hint="eastAsia"/>
                                  <w:sz w:val="21"/>
                                  <w:szCs w:val="21"/>
                                </w:rPr>
                                <w:t>油罐车</w:t>
                              </w:r>
                            </w:p>
                          </w:txbxContent>
                        </wps:txbx>
                        <wps:bodyPr upright="1"/>
                      </wps:wsp>
                      <wps:wsp>
                        <wps:cNvPr id="34" name="文本框 34"/>
                        <wps:cNvSpPr txBox="1"/>
                        <wps:spPr>
                          <a:xfrm>
                            <a:off x="1980"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80" w:lineRule="exact"/>
                                <w:ind w:firstLine="0" w:firstLineChars="0"/>
                                <w:rPr>
                                  <w:sz w:val="21"/>
                                  <w:szCs w:val="21"/>
                                </w:rPr>
                              </w:pPr>
                              <w:r>
                                <w:rPr>
                                  <w:rFonts w:hint="eastAsia"/>
                                  <w:sz w:val="21"/>
                                  <w:szCs w:val="21"/>
                                </w:rPr>
                                <w:t>储油罐</w:t>
                              </w:r>
                            </w:p>
                          </w:txbxContent>
                        </wps:txbx>
                        <wps:bodyPr upright="1"/>
                      </wps:wsp>
                      <wps:wsp>
                        <wps:cNvPr id="41" name="文本框 41"/>
                        <wps:cNvSpPr txBox="1"/>
                        <wps:spPr>
                          <a:xfrm>
                            <a:off x="3960"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80" w:lineRule="exact"/>
                                <w:ind w:firstLine="0" w:firstLineChars="0"/>
                                <w:rPr>
                                  <w:sz w:val="21"/>
                                  <w:szCs w:val="21"/>
                                </w:rPr>
                              </w:pPr>
                              <w:r>
                                <w:rPr>
                                  <w:rFonts w:hint="eastAsia"/>
                                  <w:sz w:val="21"/>
                                  <w:szCs w:val="21"/>
                                </w:rPr>
                                <w:t>潜油泵</w:t>
                              </w:r>
                            </w:p>
                          </w:txbxContent>
                        </wps:txbx>
                        <wps:bodyPr upright="1"/>
                      </wps:wsp>
                      <wps:wsp>
                        <wps:cNvPr id="42" name="文本框 42"/>
                        <wps:cNvSpPr txBox="1"/>
                        <wps:spPr>
                          <a:xfrm>
                            <a:off x="5925"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80" w:lineRule="exact"/>
                                <w:ind w:firstLine="0" w:firstLineChars="0"/>
                                <w:rPr>
                                  <w:sz w:val="21"/>
                                  <w:szCs w:val="21"/>
                                </w:rPr>
                              </w:pPr>
                              <w:r>
                                <w:rPr>
                                  <w:rFonts w:hint="eastAsia"/>
                                  <w:sz w:val="21"/>
                                  <w:szCs w:val="21"/>
                                </w:rPr>
                                <w:t>加油机</w:t>
                              </w:r>
                            </w:p>
                          </w:txbxContent>
                        </wps:txbx>
                        <wps:bodyPr upright="1"/>
                      </wps:wsp>
                      <wps:wsp>
                        <wps:cNvPr id="46" name="文本框 46"/>
                        <wps:cNvSpPr txBox="1"/>
                        <wps:spPr>
                          <a:xfrm>
                            <a:off x="7905" y="0"/>
                            <a:ext cx="144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80" w:lineRule="exact"/>
                                <w:ind w:firstLine="0" w:firstLineChars="0"/>
                                <w:rPr>
                                  <w:sz w:val="21"/>
                                  <w:szCs w:val="21"/>
                                </w:rPr>
                              </w:pPr>
                              <w:r>
                                <w:rPr>
                                  <w:rFonts w:hint="eastAsia"/>
                                  <w:sz w:val="21"/>
                                  <w:szCs w:val="21"/>
                                </w:rPr>
                                <w:t>加油车辆</w:t>
                              </w:r>
                            </w:p>
                          </w:txbxContent>
                        </wps:txbx>
                        <wps:bodyPr upright="1"/>
                      </wps:wsp>
                      <wps:wsp>
                        <wps:cNvPr id="47" name="直接连接符 47"/>
                        <wps:cNvCnPr/>
                        <wps:spPr>
                          <a:xfrm>
                            <a:off x="1245" y="312"/>
                            <a:ext cx="720" cy="1"/>
                          </a:xfrm>
                          <a:prstGeom prst="line">
                            <a:avLst/>
                          </a:prstGeom>
                          <a:ln w="9525" cap="flat" cmpd="sng">
                            <a:solidFill>
                              <a:srgbClr val="000000"/>
                            </a:solidFill>
                            <a:prstDash val="solid"/>
                            <a:headEnd type="none" w="med" len="med"/>
                            <a:tailEnd type="triangle" w="med" len="med"/>
                          </a:ln>
                        </wps:spPr>
                        <wps:bodyPr/>
                      </wps:wsp>
                      <wps:wsp>
                        <wps:cNvPr id="48" name="直接连接符 48"/>
                        <wps:cNvCnPr/>
                        <wps:spPr>
                          <a:xfrm>
                            <a:off x="3240" y="312"/>
                            <a:ext cx="720" cy="1"/>
                          </a:xfrm>
                          <a:prstGeom prst="line">
                            <a:avLst/>
                          </a:prstGeom>
                          <a:ln w="9525" cap="flat" cmpd="sng">
                            <a:solidFill>
                              <a:srgbClr val="000000"/>
                            </a:solidFill>
                            <a:prstDash val="solid"/>
                            <a:headEnd type="none" w="med" len="med"/>
                            <a:tailEnd type="triangle" w="med" len="med"/>
                          </a:ln>
                        </wps:spPr>
                        <wps:bodyPr/>
                      </wps:wsp>
                      <wps:wsp>
                        <wps:cNvPr id="49" name="直接连接符 49"/>
                        <wps:cNvCnPr/>
                        <wps:spPr>
                          <a:xfrm>
                            <a:off x="5220" y="312"/>
                            <a:ext cx="720" cy="1"/>
                          </a:xfrm>
                          <a:prstGeom prst="line">
                            <a:avLst/>
                          </a:prstGeom>
                          <a:ln w="9525" cap="flat" cmpd="sng">
                            <a:solidFill>
                              <a:srgbClr val="000000"/>
                            </a:solidFill>
                            <a:prstDash val="solid"/>
                            <a:headEnd type="none" w="med" len="med"/>
                            <a:tailEnd type="triangle" w="med" len="med"/>
                          </a:ln>
                        </wps:spPr>
                        <wps:bodyPr/>
                      </wps:wsp>
                      <wps:wsp>
                        <wps:cNvPr id="51" name="直接连接符 51"/>
                        <wps:cNvCnPr/>
                        <wps:spPr>
                          <a:xfrm>
                            <a:off x="7185" y="312"/>
                            <a:ext cx="720" cy="1"/>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24.9pt;margin-top:12.5pt;height:31.2pt;width:398.55pt;z-index:251663360;mso-width-relative:page;mso-height-relative:page;" coordsize="9345,624" o:gfxdata="UEsDBAoAAAAAAIdO4kAAAAAAAAAAAAAAAAAEAAAAZHJzL1BLAwQUAAAACACHTuJARKumotkAAAAI&#10;AQAADwAAAGRycy9kb3ducmV2LnhtbE2PQUvDQBCF74L/YRnBm92kprWN2RQp6qkUbAXxNk2mSWh2&#10;NmS3SfvvHU96e8Mb3vtetrrYVg3U+8axgXgSgSIuXNlwZeBz//awAOUDcomtYzJwJQ+r/PYmw7R0&#10;I3/QsAuVkhD2KRqoQ+hSrX1Rk0U/cR2xeEfXWwxy9pUuexwl3LZ6GkVzbbFhaaixo3VNxWl3tgbe&#10;RxxfHuPXYXM6rq/f+9n2axOTMfd3cfQMKtAl/D3DL76gQy5MB3fm0qvWQLIU8mBgOpNJ4i+S+RLU&#10;QcRTAjrP9P8B+Q9QSwMEFAAAAAgAh07iQJojUj5+AwAAvRYAAA4AAABkcnMvZTJvRG9jLnhtbO1Y&#10;S28TMRC+I/EfLN/pZjeb16ppJfq6IKhU+AHOrvch7dqW7TbJHQEnxIkLCIkDnHrkxoFfQ8rPYOzd&#10;Tdo0lZrwkKpuDhs/xuOZz5/tGW/vToocnVGpMs6G2N1qYURZyKOMJUP84vnhoz5GShMWkZwzOsRT&#10;qvDuzsMH22MRUI+nPI+oRKCEqWAshjjVWgSOo8KUFkRtcUEZdMZcFkRDVSZOJMkYtBe547VaXWfM&#10;ZSQkD6lS0LpfduJKo7yNQh7HWUj3eXhaUKZLrZLmRINLKs2EwjvW2jimoX4Wx4pqlA8xeKrtFyaB&#10;8sh8nZ1tEiSSiDQLKxPIbUxY8qkgGYNJ56r2iSboVGbXVBVZKLnisd4KeeGUjlhEwAu3tYTNkeSn&#10;wvqSBONEzEGHhVpCfWO14dOzY4myaIg7HkaMFLDiF99f/nz3BkEDoDMWSQBCR1KciGNZNSRlzTg8&#10;iWVh/sEVNLG4Tue40olGITR2Wl230+9gFEJfe9D1/Ar4MIXVuTYsTA+qgYO2X42CMcYap57QMXbN&#10;zRgL4KJaAKT+DKCTlAhqcVfG9wqgdrsGaPb+9ezj+ezzKwRtFhIrZwBCevKYg8tu3a6g8bY4uV4X&#10;eGlAWnaXBEIqfUR5gUxhiCUw2xKOnD1RukSmFjHTKZ5n0WGW57Yik9FeLtEZgV1waH8VmFfEcobG&#10;QzzoeAZzAls7hi0FxUIAPRRL7HxXRqjLilv2t0qxMWyfqLQ0wGowYiQoMk2lLaWURAcsQnoqgIEM&#10;Th5sjClohFFO4aAyJSupSZbfRhKokjNgjOFGuQimpCejCagxxRGPprBgp0JmSQqQ2iWz4kClUuTf&#10;c8pfwSnLdGMhcG8dTrmDPtDn+vZraHXfaOW712kFbRXx16QVHNgNrZrTCu4Afx4iLG5AaNuMVp2B&#10;uWea06q5BP3uitOquyGteoPWalr5EHQ2sdU9iq38Xk2riw/fZm+//PrxCb4X518R9CzOrD1WpTV1&#10;mFinGPOcxvVMFmJSF9cediSoE5ueV3GqjB0XI+tQvIrW8wziWXOF3BCt///Ie9N4W8uMsCS/ITpf&#10;HXOXgTYg/p+Dax9eMqqMdpkA/bUI0DYJa0MAm5rdKQIMbiTAYC0CdDyz0ZsTwOTmd4kAnXketHwF&#10;QM86V0DPNc9XDQH+IgHsCx68atpHveoF1jybXq7bK2Px6rz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ESrpqLZAAAACAEAAA8AAAAAAAAAAQAgAAAAIgAAAGRycy9kb3ducmV2LnhtbFBLAQIUABQA&#10;AAAIAIdO4kCaI1I+fgMAAL0WAAAOAAAAAAAAAAEAIAAAACgBAABkcnMvZTJvRG9jLnhtbFBLBQYA&#10;AAAABgAGAFkBAAAYBwAAAAA=&#10;">
                <o:lock v:ext="edit" aspectratio="f"/>
                <v:shape id="_x0000_s1026" o:spid="_x0000_s1026" o:spt="202" type="#_x0000_t202" style="position:absolute;left:0;top:0;height:624;width:1260;"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380" w:lineRule="exact"/>
                          <w:ind w:firstLine="0" w:firstLineChars="0"/>
                          <w:rPr>
                            <w:sz w:val="21"/>
                            <w:szCs w:val="21"/>
                          </w:rPr>
                        </w:pPr>
                        <w:r>
                          <w:rPr>
                            <w:rFonts w:hint="eastAsia"/>
                            <w:sz w:val="21"/>
                            <w:szCs w:val="21"/>
                          </w:rPr>
                          <w:t>油罐车</w:t>
                        </w:r>
                      </w:p>
                    </w:txbxContent>
                  </v:textbox>
                </v:shape>
                <v:shape id="_x0000_s1026" o:spid="_x0000_s1026" o:spt="202" type="#_x0000_t202" style="position:absolute;left:1980;top:0;height:624;width:1260;" fillcolor="#FFFFFF" filled="t" stroked="t" coordsize="21600,21600" o:gfxdata="UEsDBAoAAAAAAIdO4kAAAAAAAAAAAAAAAAAEAAAAZHJzL1BLAwQUAAAACACHTuJATcqFur0AAADb&#10;AAAADwAAAGRycy9kb3ducmV2LnhtbEWPS4sCMRCE78L+h9ALXkQzPvAxGj0ILnrzxe61mbQzw046&#10;s0l21H9vBMFjUVVfUYvVzVSiIedLywr6vQQEcWZ1ybmC82nTnYLwAVljZZkU3MnDavnRWmCq7ZUP&#10;1BxDLiKEfYoKihDqVEqfFWTQ92xNHL2LdQZDlC6X2uE1wk0lB0kylgZLjgsF1rQuKPs9/hsF09G2&#10;+fG74f47G1+qWehMmq8/p1T7s5/MQQS6hXf41d5qBcMR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oW6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80" w:lineRule="exact"/>
                          <w:ind w:firstLine="0" w:firstLineChars="0"/>
                          <w:rPr>
                            <w:sz w:val="21"/>
                            <w:szCs w:val="21"/>
                          </w:rPr>
                        </w:pPr>
                        <w:r>
                          <w:rPr>
                            <w:rFonts w:hint="eastAsia"/>
                            <w:sz w:val="21"/>
                            <w:szCs w:val="21"/>
                          </w:rPr>
                          <w:t>储油罐</w:t>
                        </w:r>
                      </w:p>
                    </w:txbxContent>
                  </v:textbox>
                </v:shape>
                <v:shape id="_x0000_s1026" o:spid="_x0000_s1026" o:spt="202" type="#_x0000_t202" style="position:absolute;left:3960;top:0;height:624;width:1260;" fillcolor="#FFFFFF" filled="t" stroked="t" coordsize="21600,21600" o:gfxdata="UEsDBAoAAAAAAIdO4kAAAAAAAAAAAAAAAAAEAAAAZHJzL1BLAwQUAAAACACHTuJABbtVX70AAADb&#10;AAAADwAAAGRycy9kb3ducmV2LnhtbEWPQWvCQBSE70L/w/IKvYhu0oq10dWD0KI3jcVeH9lnEsy+&#10;jbvbqP/eFQSPw8x8w8wWF9OIjpyvLStIhwkI4sLqmksFv7vvwQSED8gaG8uk4EoeFvOX3gwzbc+8&#10;pS4PpYgQ9hkqqEJoMyl9UZFBP7QtcfQO1hkMUbpSaofnCDeNfE+SsTRYc1yosKVlRcUx/zcKJqNV&#10;9+fXH5t9MT40X6H/2f2cnFJvr2kyBRHoEp7hR3ulFYxSuH+JP0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1V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80" w:lineRule="exact"/>
                          <w:ind w:firstLine="0" w:firstLineChars="0"/>
                          <w:rPr>
                            <w:sz w:val="21"/>
                            <w:szCs w:val="21"/>
                          </w:rPr>
                        </w:pPr>
                        <w:r>
                          <w:rPr>
                            <w:rFonts w:hint="eastAsia"/>
                            <w:sz w:val="21"/>
                            <w:szCs w:val="21"/>
                          </w:rPr>
                          <w:t>潜油泵</w:t>
                        </w:r>
                      </w:p>
                    </w:txbxContent>
                  </v:textbox>
                </v:shape>
                <v:shape id="_x0000_s1026" o:spid="_x0000_s1026" o:spt="202" type="#_x0000_t202" style="position:absolute;left:5925;top:0;height:624;width:1260;"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spacing w:line="380" w:lineRule="exact"/>
                          <w:ind w:firstLine="0" w:firstLineChars="0"/>
                          <w:rPr>
                            <w:sz w:val="21"/>
                            <w:szCs w:val="21"/>
                          </w:rPr>
                        </w:pPr>
                        <w:r>
                          <w:rPr>
                            <w:rFonts w:hint="eastAsia"/>
                            <w:sz w:val="21"/>
                            <w:szCs w:val="21"/>
                          </w:rPr>
                          <w:t>加油机</w:t>
                        </w:r>
                      </w:p>
                    </w:txbxContent>
                  </v:textbox>
                </v:shape>
                <v:shape id="_x0000_s1026" o:spid="_x0000_s1026" o:spt="202" type="#_x0000_t202" style="position:absolute;left:7905;top:0;height:624;width:1440;"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380" w:lineRule="exact"/>
                          <w:ind w:firstLine="0" w:firstLineChars="0"/>
                          <w:rPr>
                            <w:sz w:val="21"/>
                            <w:szCs w:val="21"/>
                          </w:rPr>
                        </w:pPr>
                        <w:r>
                          <w:rPr>
                            <w:rFonts w:hint="eastAsia"/>
                            <w:sz w:val="21"/>
                            <w:szCs w:val="21"/>
                          </w:rPr>
                          <w:t>加油车辆</w:t>
                        </w:r>
                      </w:p>
                    </w:txbxContent>
                  </v:textbox>
                </v:shape>
                <v:line id="_x0000_s1026" o:spid="_x0000_s1026" o:spt="20" style="position:absolute;left:1245;top:312;height:1;width:720;"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3240;top:312;height:1;width:720;" filled="f" stroked="t" coordsize="21600,21600" o:gfxdata="UEsDBAoAAAAAAIdO4kAAAAAAAAAAAAAAAAAEAAAAZHJzL1BLAwQUAAAACACHTuJAhGzfsLsAAADb&#10;AAAADwAAAGRycy9kb3ducmV2LnhtbEVPy4rCMBTdC/MP4Q6407Qi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Gzfs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5220;top:312;height:1;width:720;" filled="f" stroked="t" coordsize="21600,21600" o:gfxdata="UEsDBAoAAAAAAIdO4kAAAAAAAAAAAAAAAAAEAAAAZHJzL1BLAwQUAAAACACHTuJA6yB6K78AAADb&#10;AAAADwAAAGRycy9kb3ducmV2LnhtbEWPT2vCQBTE7wW/w/KE3uomU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gei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7185;top:312;height:1;width:720;"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pPr>
        <w:pStyle w:val="39"/>
        <w:ind w:firstLine="480"/>
        <w:rPr>
          <w:color w:val="000000" w:themeColor="text1"/>
          <w14:textFill>
            <w14:solidFill>
              <w14:schemeClr w14:val="tx1"/>
            </w14:solidFill>
          </w14:textFill>
        </w:rPr>
      </w:pP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图2-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柴油卸油及加油工艺流程示意图</w:t>
      </w:r>
    </w:p>
    <w:p>
      <w:pPr>
        <w:pStyle w:val="3"/>
        <w:rPr>
          <w:color w:val="000000" w:themeColor="text1"/>
          <w14:textFill>
            <w14:solidFill>
              <w14:schemeClr w14:val="tx1"/>
            </w14:solidFill>
          </w14:textFill>
        </w:rPr>
      </w:pPr>
      <w:bookmarkStart w:id="120" w:name="_Toc25101"/>
      <w:bookmarkStart w:id="121" w:name="_Toc28158"/>
      <w:r>
        <w:rPr>
          <w:color w:val="000000" w:themeColor="text1"/>
          <w14:textFill>
            <w14:solidFill>
              <w14:schemeClr w14:val="tx1"/>
            </w14:solidFill>
          </w14:textFill>
        </w:rPr>
        <w:t>主要设施、设备及建构筑物</w:t>
      </w:r>
      <w:bookmarkEnd w:id="120"/>
      <w:bookmarkEnd w:id="121"/>
    </w:p>
    <w:p>
      <w:pPr>
        <w:pStyle w:val="4"/>
        <w:ind w:firstLine="562"/>
        <w:rPr>
          <w:color w:val="000000" w:themeColor="text1"/>
          <w14:textFill>
            <w14:solidFill>
              <w14:schemeClr w14:val="tx1"/>
            </w14:solidFill>
          </w14:textFill>
        </w:rPr>
      </w:pPr>
      <w:bookmarkStart w:id="122" w:name="_Toc17258"/>
      <w:bookmarkStart w:id="123" w:name="_Toc13041"/>
      <w:r>
        <w:rPr>
          <w:color w:val="000000" w:themeColor="text1"/>
          <w14:textFill>
            <w14:solidFill>
              <w14:schemeClr w14:val="tx1"/>
            </w14:solidFill>
          </w14:textFill>
        </w:rPr>
        <w:t>建、构筑物</w:t>
      </w:r>
      <w:bookmarkEnd w:id="122"/>
      <w:bookmarkEnd w:id="123"/>
    </w:p>
    <w:p>
      <w:pPr>
        <w:adjustRightInd w:val="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主要建（构）筑物包括站房、罩棚、辅房、油罐区等，具体情况见表2-4。</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表2-4主要建（构）筑物情况表</w:t>
      </w:r>
    </w:p>
    <w:tbl>
      <w:tblPr>
        <w:tblStyle w:val="3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374"/>
        <w:gridCol w:w="1048"/>
        <w:gridCol w:w="1271"/>
        <w:gridCol w:w="1333"/>
        <w:gridCol w:w="1152"/>
        <w:gridCol w:w="1151"/>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5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1374"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104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层数</w:t>
            </w:r>
          </w:p>
        </w:tc>
        <w:tc>
          <w:tcPr>
            <w:tcW w:w="127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结构形式</w:t>
            </w:r>
          </w:p>
        </w:tc>
        <w:tc>
          <w:tcPr>
            <w:tcW w:w="1333"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建筑面积（㎡）</w:t>
            </w:r>
          </w:p>
        </w:tc>
        <w:tc>
          <w:tcPr>
            <w:tcW w:w="115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高度</w:t>
            </w:r>
          </w:p>
        </w:tc>
        <w:tc>
          <w:tcPr>
            <w:tcW w:w="115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耐火等级</w:t>
            </w:r>
          </w:p>
        </w:tc>
        <w:tc>
          <w:tcPr>
            <w:tcW w:w="109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137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罩棚</w:t>
            </w:r>
          </w:p>
        </w:tc>
        <w:tc>
          <w:tcPr>
            <w:tcW w:w="104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一层</w:t>
            </w:r>
          </w:p>
        </w:tc>
        <w:tc>
          <w:tcPr>
            <w:tcW w:w="12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钢架结构</w:t>
            </w:r>
          </w:p>
        </w:tc>
        <w:tc>
          <w:tcPr>
            <w:tcW w:w="1333"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165.3</w:t>
            </w:r>
          </w:p>
        </w:tc>
        <w:tc>
          <w:tcPr>
            <w:tcW w:w="1152"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6.5</w:t>
            </w:r>
          </w:p>
        </w:tc>
        <w:tc>
          <w:tcPr>
            <w:tcW w:w="11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二</w:t>
            </w:r>
          </w:p>
        </w:tc>
        <w:tc>
          <w:tcPr>
            <w:tcW w:w="1091"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6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137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w:t>
            </w:r>
          </w:p>
        </w:tc>
        <w:tc>
          <w:tcPr>
            <w:tcW w:w="104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二层</w:t>
            </w:r>
          </w:p>
        </w:tc>
        <w:tc>
          <w:tcPr>
            <w:tcW w:w="12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砖混结构</w:t>
            </w:r>
          </w:p>
        </w:tc>
        <w:tc>
          <w:tcPr>
            <w:tcW w:w="1333"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106.2</w:t>
            </w:r>
          </w:p>
        </w:tc>
        <w:tc>
          <w:tcPr>
            <w:tcW w:w="1152"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7.5</w:t>
            </w:r>
          </w:p>
        </w:tc>
        <w:tc>
          <w:tcPr>
            <w:tcW w:w="11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二</w:t>
            </w:r>
          </w:p>
        </w:tc>
        <w:tc>
          <w:tcPr>
            <w:tcW w:w="1091" w:type="dxa"/>
            <w:vAlign w:val="center"/>
          </w:tcPr>
          <w:p>
            <w:pPr>
              <w:pStyle w:val="77"/>
              <w:rPr>
                <w:color w:val="000000" w:themeColor="text1"/>
                <w14:textFill>
                  <w14:solidFill>
                    <w14:schemeClr w14:val="tx1"/>
                  </w14:solidFill>
                </w14:textFill>
              </w:rPr>
            </w:pPr>
          </w:p>
        </w:tc>
      </w:tr>
    </w:tbl>
    <w:p>
      <w:pPr>
        <w:pStyle w:val="4"/>
        <w:ind w:firstLine="562"/>
        <w:rPr>
          <w:color w:val="000000" w:themeColor="text1"/>
          <w14:textFill>
            <w14:solidFill>
              <w14:schemeClr w14:val="tx1"/>
            </w14:solidFill>
          </w14:textFill>
        </w:rPr>
      </w:pPr>
      <w:bookmarkStart w:id="124" w:name="_Toc7120"/>
      <w:bookmarkStart w:id="125" w:name="_Toc14077"/>
      <w:r>
        <w:rPr>
          <w:color w:val="000000" w:themeColor="text1"/>
          <w14:textFill>
            <w14:solidFill>
              <w14:schemeClr w14:val="tx1"/>
            </w14:solidFill>
          </w14:textFill>
        </w:rPr>
        <w:t>主要设备</w:t>
      </w:r>
      <w:bookmarkEnd w:id="124"/>
      <w:bookmarkEnd w:id="125"/>
    </w:p>
    <w:p>
      <w:pPr>
        <w:autoSpaceDE w:val="0"/>
        <w:autoSpaceDN w:val="0"/>
        <w:adjustRightInd w:val="0"/>
        <w:snapToGrid/>
        <w:spacing w:line="560" w:lineRule="exact"/>
        <w:rPr>
          <w:color w:val="000000" w:themeColor="text1"/>
          <w:szCs w:val="28"/>
          <w:lang w:val="zh-CN"/>
          <w14:textFill>
            <w14:solidFill>
              <w14:schemeClr w14:val="tx1"/>
            </w14:solidFill>
          </w14:textFill>
        </w:rPr>
      </w:pPr>
      <w:r>
        <w:rPr>
          <w:color w:val="000000" w:themeColor="text1"/>
          <w:szCs w:val="28"/>
          <w:lang w:val="zh-CN"/>
          <w14:textFill>
            <w14:solidFill>
              <w14:schemeClr w14:val="tx1"/>
            </w14:solidFill>
          </w14:textFill>
        </w:rPr>
        <w:t>涉及的主要设备详见表</w:t>
      </w:r>
      <w:r>
        <w:rPr>
          <w:rFonts w:hint="eastAsia"/>
          <w:color w:val="000000" w:themeColor="text1"/>
          <w:szCs w:val="28"/>
          <w:lang w:val="zh-CN"/>
          <w14:textFill>
            <w14:solidFill>
              <w14:schemeClr w14:val="tx1"/>
            </w14:solidFill>
          </w14:textFill>
        </w:rPr>
        <w:t>2-</w:t>
      </w:r>
      <w:r>
        <w:rPr>
          <w:rFonts w:hint="eastAsia"/>
          <w:color w:val="000000" w:themeColor="text1"/>
          <w:szCs w:val="28"/>
          <w14:textFill>
            <w14:solidFill>
              <w14:schemeClr w14:val="tx1"/>
            </w14:solidFill>
          </w14:textFill>
        </w:rPr>
        <w:t>5</w:t>
      </w:r>
      <w:r>
        <w:rPr>
          <w:color w:val="000000" w:themeColor="text1"/>
          <w:szCs w:val="28"/>
          <w:lang w:val="zh-CN"/>
          <w14:textFill>
            <w14:solidFill>
              <w14:schemeClr w14:val="tx1"/>
            </w14:solidFill>
          </w14:textFill>
        </w:rPr>
        <w:t>。</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表2-5 加油站主要设备一览表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75"/>
        <w:gridCol w:w="1110"/>
        <w:gridCol w:w="690"/>
        <w:gridCol w:w="2924"/>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17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设备名称</w:t>
            </w:r>
          </w:p>
        </w:tc>
        <w:tc>
          <w:tcPr>
            <w:tcW w:w="111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型号规格</w:t>
            </w:r>
          </w:p>
        </w:tc>
        <w:tc>
          <w:tcPr>
            <w:tcW w:w="69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2924"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设置位置</w:t>
            </w:r>
          </w:p>
        </w:tc>
        <w:tc>
          <w:tcPr>
            <w:tcW w:w="1503"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加油机</w:t>
            </w:r>
          </w:p>
        </w:tc>
        <w:tc>
          <w:tcPr>
            <w:tcW w:w="111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双枪</w:t>
            </w:r>
          </w:p>
        </w:tc>
        <w:tc>
          <w:tcPr>
            <w:tcW w:w="69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台</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加油枪</w:t>
            </w:r>
          </w:p>
        </w:tc>
        <w:tc>
          <w:tcPr>
            <w:tcW w:w="111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自封式</w:t>
            </w:r>
          </w:p>
        </w:tc>
        <w:tc>
          <w:tcPr>
            <w:tcW w:w="69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只</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0#柴油储罐</w:t>
            </w:r>
          </w:p>
        </w:tc>
        <w:tc>
          <w:tcPr>
            <w:tcW w:w="1110" w:type="dxa"/>
            <w:vAlign w:val="center"/>
          </w:tcPr>
          <w:p>
            <w:pPr>
              <w:pStyle w:val="7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0m³</w:t>
            </w:r>
          </w:p>
        </w:tc>
        <w:tc>
          <w:tcPr>
            <w:tcW w:w="69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92#汽油储罐</w:t>
            </w:r>
          </w:p>
        </w:tc>
        <w:tc>
          <w:tcPr>
            <w:tcW w:w="111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0m³</w:t>
            </w: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1个</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#汽油储罐</w:t>
            </w:r>
          </w:p>
        </w:tc>
        <w:tc>
          <w:tcPr>
            <w:tcW w:w="111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0m³</w:t>
            </w: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1个</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配电柜</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1台</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配电室</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柴油发电机</w:t>
            </w:r>
          </w:p>
        </w:tc>
        <w:tc>
          <w:tcPr>
            <w:tcW w:w="1110" w:type="dxa"/>
            <w:vAlign w:val="center"/>
          </w:tcPr>
          <w:p>
            <w:pPr>
              <w:pStyle w:val="7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kW</w:t>
            </w: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1台</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发电机房</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监控系统</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1套</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站房内</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2175" w:type="dxa"/>
            <w:vAlign w:val="center"/>
          </w:tcPr>
          <w:p>
            <w:pPr>
              <w:pStyle w:val="77"/>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液位</w:t>
            </w:r>
            <w:r>
              <w:rPr>
                <w:rFonts w:hint="eastAsia"/>
                <w:color w:val="000000" w:themeColor="text1"/>
                <w:lang w:val="en-US" w:eastAsia="zh-CN"/>
                <w14:textFill>
                  <w14:solidFill>
                    <w14:schemeClr w14:val="tx1"/>
                  </w14:solidFill>
                </w14:textFill>
              </w:rPr>
              <w:t>计</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台</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液位监控仪</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1套</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站房内</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11</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防渗漏监测立管</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套</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1503"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12</w:t>
            </w:r>
          </w:p>
        </w:tc>
        <w:tc>
          <w:tcPr>
            <w:tcW w:w="217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防渗漏监测报警装置</w:t>
            </w:r>
          </w:p>
        </w:tc>
        <w:tc>
          <w:tcPr>
            <w:tcW w:w="1110" w:type="dxa"/>
            <w:vAlign w:val="center"/>
          </w:tcPr>
          <w:p>
            <w:pPr>
              <w:pStyle w:val="77"/>
              <w:rPr>
                <w:color w:val="000000" w:themeColor="text1"/>
                <w14:textFill>
                  <w14:solidFill>
                    <w14:schemeClr w14:val="tx1"/>
                  </w14:solidFill>
                </w14:textFill>
              </w:rPr>
            </w:pPr>
          </w:p>
        </w:tc>
        <w:tc>
          <w:tcPr>
            <w:tcW w:w="6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1套</w:t>
            </w:r>
          </w:p>
        </w:tc>
        <w:tc>
          <w:tcPr>
            <w:tcW w:w="29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站房内</w:t>
            </w:r>
          </w:p>
        </w:tc>
        <w:tc>
          <w:tcPr>
            <w:tcW w:w="1503" w:type="dxa"/>
            <w:vAlign w:val="center"/>
          </w:tcPr>
          <w:p>
            <w:pPr>
              <w:pStyle w:val="77"/>
              <w:rPr>
                <w:color w:val="000000" w:themeColor="text1"/>
                <w14:textFill>
                  <w14:solidFill>
                    <w14:schemeClr w14:val="tx1"/>
                  </w14:solidFill>
                </w14:textFill>
              </w:rPr>
            </w:pPr>
          </w:p>
        </w:tc>
      </w:tr>
      <w:bookmarkEnd w:id="111"/>
      <w:bookmarkEnd w:id="112"/>
      <w:bookmarkEnd w:id="113"/>
      <w:bookmarkEnd w:id="114"/>
      <w:bookmarkEnd w:id="115"/>
      <w:bookmarkEnd w:id="116"/>
      <w:bookmarkEnd w:id="117"/>
      <w:bookmarkEnd w:id="118"/>
      <w:bookmarkEnd w:id="119"/>
    </w:tbl>
    <w:p>
      <w:pPr>
        <w:pStyle w:val="3"/>
        <w:rPr>
          <w:color w:val="auto"/>
        </w:rPr>
      </w:pPr>
      <w:bookmarkStart w:id="126" w:name="_Toc16746"/>
      <w:bookmarkStart w:id="127" w:name="_Toc13637"/>
      <w:bookmarkStart w:id="128" w:name="_Toc275268731"/>
      <w:r>
        <w:rPr>
          <w:color w:val="auto"/>
        </w:rPr>
        <w:t>公用工程及辅助设施</w:t>
      </w:r>
      <w:bookmarkEnd w:id="126"/>
      <w:bookmarkEnd w:id="127"/>
      <w:bookmarkEnd w:id="128"/>
    </w:p>
    <w:p>
      <w:pPr>
        <w:pStyle w:val="4"/>
        <w:ind w:firstLine="562"/>
        <w:rPr>
          <w:color w:val="000000" w:themeColor="text1"/>
          <w14:textFill>
            <w14:solidFill>
              <w14:schemeClr w14:val="tx1"/>
            </w14:solidFill>
          </w14:textFill>
        </w:rPr>
      </w:pPr>
      <w:bookmarkStart w:id="129" w:name="_Toc30879"/>
      <w:bookmarkStart w:id="130" w:name="_Toc275268732"/>
      <w:bookmarkStart w:id="131" w:name="_Toc28831"/>
      <w:r>
        <w:rPr>
          <w:color w:val="000000" w:themeColor="text1"/>
          <w14:textFill>
            <w14:solidFill>
              <w14:schemeClr w14:val="tx1"/>
            </w14:solidFill>
          </w14:textFill>
        </w:rPr>
        <w:t>供配电</w:t>
      </w:r>
      <w:bookmarkEnd w:id="129"/>
      <w:bookmarkEnd w:id="130"/>
      <w:bookmarkEnd w:id="131"/>
    </w:p>
    <w:p>
      <w:pPr>
        <w:rPr>
          <w:color w:val="000000" w:themeColor="text1"/>
          <w14:textFill>
            <w14:solidFill>
              <w14:schemeClr w14:val="tx1"/>
            </w14:solidFill>
          </w14:textFill>
        </w:rPr>
      </w:pPr>
      <w:bookmarkStart w:id="132" w:name="_Toc231983399"/>
      <w:bookmarkStart w:id="133" w:name="_Toc236123686"/>
      <w:bookmarkStart w:id="134" w:name="_Toc248220532"/>
      <w:bookmarkStart w:id="135" w:name="_Toc235587822"/>
      <w:bookmarkStart w:id="136" w:name="_Toc231982090"/>
      <w:bookmarkStart w:id="137" w:name="_Toc233515714"/>
      <w:bookmarkStart w:id="138" w:name="_Toc231835954"/>
      <w:bookmarkStart w:id="139" w:name="_Toc232084137"/>
      <w:bookmarkStart w:id="140" w:name="_Toc275268733"/>
      <w:r>
        <w:rPr>
          <w:rFonts w:hint="eastAsia"/>
          <w:color w:val="000000" w:themeColor="text1"/>
          <w14:textFill>
            <w14:solidFill>
              <w14:schemeClr w14:val="tx1"/>
            </w14:solidFill>
          </w14:textFill>
        </w:rPr>
        <w:t>1.供电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用电为三级负荷，从当地站外供电网引入站内，经配电柜后送至站内的各用电设备。配电系统接地方式采用TN-C-S系统接地系统，进线电缆入户前PEN线重复接地，经站内总空气断路器开关端接地形式转变为TN-S系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2.配电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站内配电室至站内各用电设备的电器线路采用埋地敷设。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加油站设置</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kW的柴油发电机组作为停电时的备用电源。</w:t>
      </w:r>
    </w:p>
    <w:p>
      <w:pPr>
        <w:pStyle w:val="4"/>
        <w:ind w:firstLine="562"/>
        <w:rPr>
          <w:color w:val="000000" w:themeColor="text1"/>
          <w14:textFill>
            <w14:solidFill>
              <w14:schemeClr w14:val="tx1"/>
            </w14:solidFill>
          </w14:textFill>
        </w:rPr>
      </w:pPr>
      <w:bookmarkStart w:id="141" w:name="_Toc7061"/>
      <w:bookmarkStart w:id="142" w:name="_Toc15805"/>
      <w:r>
        <w:rPr>
          <w:color w:val="000000" w:themeColor="text1"/>
          <w14:textFill>
            <w14:solidFill>
              <w14:schemeClr w14:val="tx1"/>
            </w14:solidFill>
          </w14:textFill>
        </w:rPr>
        <w:t>给排水</w:t>
      </w:r>
      <w:bookmarkEnd w:id="132"/>
      <w:bookmarkEnd w:id="133"/>
      <w:bookmarkEnd w:id="134"/>
      <w:bookmarkEnd w:id="135"/>
      <w:bookmarkEnd w:id="136"/>
      <w:bookmarkEnd w:id="137"/>
      <w:bookmarkEnd w:id="138"/>
      <w:bookmarkEnd w:id="139"/>
      <w:bookmarkEnd w:id="140"/>
      <w:bookmarkEnd w:id="141"/>
      <w:bookmarkEnd w:id="14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供水：加油站的用水主要为生活用水，水源取自自来水管网，供水能够满足需要。</w:t>
      </w:r>
    </w:p>
    <w:p>
      <w:pPr>
        <w:autoSpaceDE w:val="0"/>
        <w:autoSpaceDN w:val="0"/>
        <w:adjustRightInd w:val="0"/>
        <w:rPr>
          <w:color w:val="000000" w:themeColor="text1"/>
          <w:szCs w:val="28"/>
          <w:lang w:val="zh-CN"/>
          <w14:textFill>
            <w14:solidFill>
              <w14:schemeClr w14:val="tx1"/>
            </w14:solidFill>
          </w14:textFill>
        </w:rPr>
      </w:pPr>
      <w:r>
        <w:rPr>
          <w:rFonts w:hint="eastAsia"/>
          <w:color w:val="000000" w:themeColor="text1"/>
          <w14:textFill>
            <w14:solidFill>
              <w14:schemeClr w14:val="tx1"/>
            </w14:solidFill>
          </w14:textFill>
        </w:rPr>
        <w:t>排水：站区排水采用雨污分流排水方式；室内排水系统采用污废合流排水方式；罩棚雨水经管道收集后排至站外</w:t>
      </w:r>
      <w:r>
        <w:rPr>
          <w:rFonts w:hint="eastAsia"/>
          <w:color w:val="000000" w:themeColor="text1"/>
          <w:lang w:val="en-US" w:eastAsia="zh-CN"/>
          <w14:textFill>
            <w14:solidFill>
              <w14:schemeClr w14:val="tx1"/>
            </w14:solidFill>
          </w14:textFill>
        </w:rPr>
        <w:t>排水沟</w:t>
      </w:r>
      <w:r>
        <w:rPr>
          <w:rFonts w:hint="eastAsia"/>
          <w:color w:val="000000" w:themeColor="text1"/>
          <w14:textFill>
            <w14:solidFill>
              <w14:schemeClr w14:val="tx1"/>
            </w14:solidFill>
          </w14:textFill>
        </w:rPr>
        <w:t>；</w:t>
      </w:r>
      <w:r>
        <w:rPr>
          <w:rFonts w:hint="eastAsia"/>
          <w:color w:val="000000" w:themeColor="text1"/>
          <w:szCs w:val="28"/>
          <w:lang w:val="zh-CN"/>
          <w14:textFill>
            <w14:solidFill>
              <w14:schemeClr w14:val="tx1"/>
            </w14:solidFill>
          </w14:textFill>
        </w:rPr>
        <w:t>加油区设置了环保水沟。</w:t>
      </w:r>
    </w:p>
    <w:p>
      <w:pPr>
        <w:pStyle w:val="3"/>
        <w:rPr>
          <w:color w:val="000000" w:themeColor="text1"/>
          <w14:textFill>
            <w14:solidFill>
              <w14:schemeClr w14:val="tx1"/>
            </w14:solidFill>
          </w14:textFill>
        </w:rPr>
      </w:pPr>
      <w:bookmarkStart w:id="143" w:name="_Toc13214"/>
      <w:bookmarkStart w:id="144" w:name="_Toc22293"/>
      <w:bookmarkStart w:id="145" w:name="_Toc387163399"/>
      <w:r>
        <w:rPr>
          <w:color w:val="000000" w:themeColor="text1"/>
          <w14:textFill>
            <w14:solidFill>
              <w14:schemeClr w14:val="tx1"/>
            </w14:solidFill>
          </w14:textFill>
        </w:rPr>
        <w:t>安全设施</w:t>
      </w:r>
      <w:bookmarkEnd w:id="143"/>
      <w:bookmarkEnd w:id="144"/>
      <w:bookmarkEnd w:id="145"/>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t>加油站消防</w:t>
      </w:r>
      <w:r>
        <w:rPr>
          <w:rFonts w:hint="eastAsia"/>
          <w:color w:val="000000" w:themeColor="text1"/>
          <w:lang w:val="zh-CN"/>
          <w14:textFill>
            <w14:solidFill>
              <w14:schemeClr w14:val="tx1"/>
            </w14:solidFill>
          </w14:textFill>
        </w:rPr>
        <w:t>和相关设备均按照《</w:t>
      </w:r>
      <w:r>
        <w:rPr>
          <w:rFonts w:hint="eastAsia"/>
          <w:color w:val="000000" w:themeColor="text1"/>
          <w14:textFill>
            <w14:solidFill>
              <w14:schemeClr w14:val="tx1"/>
            </w14:solidFill>
          </w14:textFill>
        </w:rPr>
        <w:t>汽车加油加气加氢技术标准</w:t>
      </w:r>
      <w:r>
        <w:rPr>
          <w:rFonts w:hint="eastAsia"/>
          <w:color w:val="000000" w:themeColor="text1"/>
          <w:lang w:val="zh-CN"/>
          <w14:textFill>
            <w14:solidFill>
              <w14:schemeClr w14:val="tx1"/>
            </w14:solidFill>
          </w14:textFill>
        </w:rPr>
        <w:t>》（GB50156-</w:t>
      </w:r>
      <w:r>
        <w:rPr>
          <w:rFonts w:hint="eastAsia"/>
          <w:color w:val="000000" w:themeColor="text1"/>
          <w14:textFill>
            <w14:solidFill>
              <w14:schemeClr w14:val="tx1"/>
            </w14:solidFill>
          </w14:textFill>
        </w:rPr>
        <w:t>2021</w:t>
      </w:r>
      <w:r>
        <w:rPr>
          <w:color w:val="000000" w:themeColor="text1"/>
          <w:lang w:val="zh-CN"/>
          <w14:textFill>
            <w14:solidFill>
              <w14:schemeClr w14:val="tx1"/>
            </w14:solidFill>
          </w14:textFill>
        </w:rPr>
        <w:t>）</w:t>
      </w:r>
      <w:r>
        <w:rPr>
          <w:rFonts w:hint="eastAsia"/>
          <w:color w:val="000000" w:themeColor="text1"/>
          <w:lang w:val="zh-CN"/>
          <w14:textFill>
            <w14:solidFill>
              <w14:schemeClr w14:val="tx1"/>
            </w14:solidFill>
          </w14:textFill>
        </w:rPr>
        <w:t>来配备和执行</w:t>
      </w:r>
      <w:r>
        <w:rPr>
          <w:color w:val="000000" w:themeColor="text1"/>
          <w:lang w:val="zh-CN"/>
          <w14:textFill>
            <w14:solidFill>
              <w14:schemeClr w14:val="tx1"/>
            </w14:solidFill>
          </w14:textFill>
        </w:rPr>
        <w:t>。</w:t>
      </w:r>
    </w:p>
    <w:p>
      <w:pPr>
        <w:pStyle w:val="4"/>
        <w:ind w:firstLine="562"/>
        <w:rPr>
          <w:color w:val="000000" w:themeColor="text1"/>
          <w14:textFill>
            <w14:solidFill>
              <w14:schemeClr w14:val="tx1"/>
            </w14:solidFill>
          </w14:textFill>
        </w:rPr>
      </w:pPr>
      <w:bookmarkStart w:id="146" w:name="_Toc13594"/>
      <w:bookmarkStart w:id="147" w:name="_Toc12797"/>
      <w:r>
        <w:rPr>
          <w:color w:val="000000" w:themeColor="text1"/>
          <w14:textFill>
            <w14:solidFill>
              <w14:schemeClr w14:val="tx1"/>
            </w14:solidFill>
          </w14:textFill>
        </w:rPr>
        <w:t>预防事故设施</w:t>
      </w:r>
      <w:bookmarkEnd w:id="146"/>
      <w:bookmarkEnd w:id="14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1.检测、报警设施</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）加油站储油罐均设置了液位检测报警装置，并集中显示报警。</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）密闭卸油点设有静电夹，</w:t>
      </w:r>
      <w:r>
        <w:rPr>
          <w:rFonts w:hint="eastAsia"/>
          <w:color w:val="000000" w:themeColor="text1"/>
          <w14:textFill>
            <w14:solidFill>
              <w14:schemeClr w14:val="tx1"/>
            </w14:solidFill>
          </w14:textFill>
        </w:rPr>
        <w:t>油罐区入口处设置了</w:t>
      </w:r>
      <w:r>
        <w:rPr>
          <w:rFonts w:hint="eastAsia"/>
          <w:color w:val="000000" w:themeColor="text1"/>
          <w:lang w:val="zh-CN"/>
          <w14:textFill>
            <w14:solidFill>
              <w14:schemeClr w14:val="tx1"/>
            </w14:solidFill>
          </w14:textFill>
        </w:rPr>
        <w:t>静电接地</w:t>
      </w:r>
      <w:r>
        <w:rPr>
          <w:rFonts w:hint="eastAsia"/>
          <w:color w:val="000000" w:themeColor="text1"/>
          <w14:textFill>
            <w14:solidFill>
              <w14:schemeClr w14:val="tx1"/>
            </w14:solidFill>
          </w14:textFill>
        </w:rPr>
        <w:t>导除</w:t>
      </w:r>
      <w:r>
        <w:rPr>
          <w:rFonts w:hint="eastAsia"/>
          <w:color w:val="000000" w:themeColor="text1"/>
          <w:lang w:val="zh-CN"/>
          <w14:textFill>
            <w14:solidFill>
              <w14:schemeClr w14:val="tx1"/>
            </w14:solidFill>
          </w14:textFill>
        </w:rPr>
        <w:t>桩，用于监测卸油过程中静电接地状况。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（3）各区域设置监控设施（存储时间大于3个月）</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设置9个监控探头</w:t>
      </w:r>
      <w:r>
        <w:rPr>
          <w:rFonts w:hint="eastAsia"/>
          <w:color w:val="000000" w:themeColor="text1"/>
          <w14:textFill>
            <w14:solidFill>
              <w14:schemeClr w14:val="tx1"/>
            </w14:solidFill>
          </w14:textFill>
        </w:rPr>
        <w:t>，监控范围应包括油罐区、加油区、站区出入口、办公室、卸油区。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2.设备安全防护设施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（1）防触电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加油站对配电柜及发电机做了接地处理，并按要求在配电柜及发电机前设置绝缘手套、绝缘鞋、绝缘胶垫等防护设施，确保加油站从业人员的作业安全。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（2）防雷、防静电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按照《汽车加油加气加氢站技术标准》的要求，油罐进行防雷接地，接地点2处，在加油罩棚设置避雷针；埋地油罐的罐体与非埋地部分的工艺管道、量油孔、阻火器、法兰等金属附件，作电气跨接并接地：在爆炸危险区域内工艺管道上的法兰、胶管两端等连接处，用金属线跨接；油罐车卸油场地设置有汽车油罐车卸油接地桩和静电接地报警仪。</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加油站防雷防静电设施已于202</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日经云南省气象灾害防御技术中心签发“检测报告”，检测结论为符合，有效期至</w:t>
      </w:r>
      <w:r>
        <w:rPr>
          <w:color w:val="000000" w:themeColor="text1"/>
          <w14:textFill>
            <w14:solidFill>
              <w14:schemeClr w14:val="tx1"/>
            </w14:solidFill>
          </w14:textFill>
        </w:rPr>
        <w:t>2024年</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16</w:t>
      </w:r>
      <w:r>
        <w:rPr>
          <w:color w:val="000000" w:themeColor="text1"/>
          <w14:textFill>
            <w14:solidFill>
              <w14:schemeClr w14:val="tx1"/>
            </w14:solidFill>
          </w14:textFill>
        </w:rPr>
        <w:t>日</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（3）防腐</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加油站油罐人孔等外露钢制部分和金属工艺管道外表面的防腐采用加强级防腐。油罐埋地前进行防腐处理，符合国家现行标准《石油化工设备和管道涂料防腐蚀设计标准》（SH/T3022-2019）的有关规定。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（4）抗漂浮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抗漂浮为用扁钢与抗浮锚栓连接固定。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（5）安装了加油油气回收和卸油油气回收系统。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3.防火防爆设施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加油机电机为防爆型，处于爆炸危险区域以外的站房、附属设施用房等建筑物内的照明灯具采用非防爆型，罩棚下的灯具选用防护等级不低于IP44级的节能型照明灯具。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w:t>
      </w:r>
      <w:r>
        <w:rPr>
          <w:rFonts w:hint="eastAsia"/>
          <w:color w:val="000000" w:themeColor="text1"/>
          <w:lang w:val="en-US" w:eastAsia="zh-CN"/>
          <w14:textFill>
            <w14:solidFill>
              <w14:schemeClr w14:val="tx1"/>
            </w14:solidFill>
          </w14:textFill>
        </w:rPr>
        <w:t>办公室</w:t>
      </w:r>
      <w:r>
        <w:rPr>
          <w:rFonts w:hint="eastAsia"/>
          <w:color w:val="000000" w:themeColor="text1"/>
          <w14:textFill>
            <w14:solidFill>
              <w14:schemeClr w14:val="tx1"/>
            </w14:solidFill>
          </w14:textFill>
        </w:rPr>
        <w:t>、加油机操作面板处均设置了紧急停机装置。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4.安全警示标志</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加油站安全警示标志设置情况，见表2-6。</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表2-6 安全警示标志情况一览表</w:t>
      </w:r>
    </w:p>
    <w:tbl>
      <w:tblPr>
        <w:tblStyle w:val="3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5352"/>
        <w:gridCol w:w="2044"/>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535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警示标志名称</w:t>
            </w:r>
          </w:p>
        </w:tc>
        <w:tc>
          <w:tcPr>
            <w:tcW w:w="2044"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设置位置</w:t>
            </w:r>
          </w:p>
        </w:tc>
        <w:tc>
          <w:tcPr>
            <w:tcW w:w="88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352"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禁止吸烟</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“严禁烟火”、“停车熄火”、“禁打手机”、“</w:t>
            </w:r>
            <w:r>
              <w:rPr>
                <w:rFonts w:hint="eastAsia"/>
                <w:color w:val="000000" w:themeColor="text1"/>
                <w:lang w:val="en-US" w:eastAsia="zh-CN"/>
                <w14:textFill>
                  <w14:solidFill>
                    <w14:schemeClr w14:val="tx1"/>
                  </w14:solidFill>
                </w14:textFill>
              </w:rPr>
              <w:t>限速行驶</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24小时监控</w:t>
            </w:r>
            <w:r>
              <w:rPr>
                <w:rFonts w:hint="eastAsia"/>
                <w:color w:val="000000" w:themeColor="text1"/>
                <w14:textFill>
                  <w14:solidFill>
                    <w14:schemeClr w14:val="tx1"/>
                  </w14:solidFill>
                </w14:textFill>
              </w:rPr>
              <w:t>”</w:t>
            </w:r>
          </w:p>
        </w:tc>
        <w:tc>
          <w:tcPr>
            <w:tcW w:w="204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罩棚立柱、加油区</w:t>
            </w:r>
          </w:p>
        </w:tc>
        <w:tc>
          <w:tcPr>
            <w:tcW w:w="880"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535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“油库重地、</w:t>
            </w:r>
            <w:r>
              <w:rPr>
                <w:rFonts w:hint="eastAsia"/>
                <w:color w:val="000000" w:themeColor="text1"/>
                <w:lang w:val="en-US" w:eastAsia="zh-CN"/>
                <w14:textFill>
                  <w14:solidFill>
                    <w14:schemeClr w14:val="tx1"/>
                  </w14:solidFill>
                </w14:textFill>
              </w:rPr>
              <w:t>禁止</w:t>
            </w:r>
            <w:r>
              <w:rPr>
                <w:rFonts w:hint="eastAsia"/>
                <w:color w:val="000000" w:themeColor="text1"/>
                <w14:textFill>
                  <w14:solidFill>
                    <w14:schemeClr w14:val="tx1"/>
                  </w14:solidFill>
                </w14:textFill>
              </w:rPr>
              <w:t>烟火”</w:t>
            </w:r>
          </w:p>
        </w:tc>
        <w:tc>
          <w:tcPr>
            <w:tcW w:w="204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w:t>
            </w:r>
          </w:p>
        </w:tc>
        <w:tc>
          <w:tcPr>
            <w:tcW w:w="880" w:type="dxa"/>
            <w:vAlign w:val="center"/>
          </w:tcPr>
          <w:p>
            <w:pPr>
              <w:pStyle w:val="77"/>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535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当心触电</w:t>
            </w:r>
            <w:r>
              <w:rPr>
                <w:rFonts w:hint="eastAsia"/>
                <w:color w:val="000000" w:themeColor="text1"/>
                <w14:textFill>
                  <w14:solidFill>
                    <w14:schemeClr w14:val="tx1"/>
                  </w14:solidFill>
                </w14:textFill>
              </w:rPr>
              <w:t>”</w:t>
            </w:r>
          </w:p>
        </w:tc>
        <w:tc>
          <w:tcPr>
            <w:tcW w:w="204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配电室</w:t>
            </w:r>
          </w:p>
        </w:tc>
        <w:tc>
          <w:tcPr>
            <w:tcW w:w="880" w:type="dxa"/>
            <w:vAlign w:val="center"/>
          </w:tcPr>
          <w:p>
            <w:pPr>
              <w:pStyle w:val="77"/>
              <w:rPr>
                <w:color w:val="000000" w:themeColor="text1"/>
                <w14:textFill>
                  <w14:solidFill>
                    <w14:schemeClr w14:val="tx1"/>
                  </w14:solidFill>
                </w14:textFill>
              </w:rPr>
            </w:pPr>
          </w:p>
        </w:tc>
      </w:tr>
    </w:tbl>
    <w:p>
      <w:pPr>
        <w:rPr>
          <w:color w:val="000000" w:themeColor="text1"/>
          <w14:textFill>
            <w14:solidFill>
              <w14:schemeClr w14:val="tx1"/>
            </w14:solidFill>
          </w14:textFill>
        </w:rPr>
      </w:pPr>
      <w:r>
        <w:rPr>
          <w:rFonts w:hint="eastAsia"/>
          <w:color w:val="000000" w:themeColor="text1"/>
          <w14:textFill>
            <w14:solidFill>
              <w14:schemeClr w14:val="tx1"/>
            </w14:solidFill>
          </w14:textFill>
        </w:rPr>
        <w:t>5.作业场所防护设施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（1）卸油采用快速接头。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（2）卸油点设置静电接地报警仪，油罐区入口处设置消除人体静电桩。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（3）加油岛端部的加油机附近设置了防撞柱（栏），其高度为0.</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m。</w:t>
      </w:r>
    </w:p>
    <w:p>
      <w:pPr>
        <w:pStyle w:val="4"/>
        <w:ind w:firstLine="562"/>
        <w:rPr>
          <w:color w:val="000000" w:themeColor="text1"/>
          <w14:textFill>
            <w14:solidFill>
              <w14:schemeClr w14:val="tx1"/>
            </w14:solidFill>
          </w14:textFill>
        </w:rPr>
      </w:pPr>
      <w:bookmarkStart w:id="148" w:name="_Toc16871"/>
      <w:bookmarkStart w:id="149" w:name="_Toc24100"/>
      <w:bookmarkStart w:id="150" w:name="_Toc28619"/>
      <w:bookmarkStart w:id="151" w:name="_Toc12396"/>
      <w:r>
        <w:rPr>
          <w:color w:val="000000" w:themeColor="text1"/>
          <w14:textFill>
            <w14:solidFill>
              <w14:schemeClr w14:val="tx1"/>
            </w14:solidFill>
          </w14:textFill>
        </w:rPr>
        <w:t>控制事故设施</w:t>
      </w:r>
      <w:bookmarkEnd w:id="148"/>
      <w:bookmarkEnd w:id="149"/>
      <w:bookmarkEnd w:id="150"/>
      <w:bookmarkEnd w:id="15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1.泄压和止逆设施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每个油罐单独设置通气管。通气管设置阻火器，汽油通气管还设置了机械呼吸阀。</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2.应急照明</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该站配备了一台</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kW柴油发电机。配备发电机为了预防油站突然停电时临时使用，防止无电带来的不便和及时的消除了隐患，降低事故发生机率，柴油发电机排烟管口安装阻火器。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3.紧急处理设施</w:t>
      </w:r>
    </w:p>
    <w:p>
      <w:pP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站区设置防爆型应急照明，配电室设置应急照明灯，发电机房设置应急照明灯</w:t>
      </w:r>
      <w:r>
        <w:rPr>
          <w:rFonts w:hint="eastAsia"/>
          <w:color w:val="000000" w:themeColor="text1"/>
          <w:lang w:eastAsia="zh-CN"/>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4.应急灯及防爆配备情况</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应急灯、防爆灯及监控设备设置情况，见2-</w:t>
      </w:r>
      <w:r>
        <w:rPr>
          <w:rFonts w:hint="eastAsia"/>
          <w:color w:val="000000" w:themeColor="text1"/>
          <w14:textFill>
            <w14:solidFill>
              <w14:schemeClr w14:val="tx1"/>
            </w14:solidFill>
          </w14:textFill>
        </w:rPr>
        <w:t>7</w:t>
      </w:r>
      <w:r>
        <w:rPr>
          <w:rFonts w:hint="eastAsia"/>
          <w:color w:val="000000" w:themeColor="text1"/>
          <w:lang w:val="zh-CN"/>
          <w14:textFill>
            <w14:solidFill>
              <w14:schemeClr w14:val="tx1"/>
            </w14:solidFill>
          </w14:textFill>
        </w:rPr>
        <w:t>表。</w:t>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表2-</w:t>
      </w:r>
      <w:r>
        <w:rPr>
          <w:rFonts w:hint="eastAsia"/>
          <w:color w:val="000000" w:themeColor="text1"/>
          <w14:textFill>
            <w14:solidFill>
              <w14:schemeClr w14:val="tx1"/>
            </w14:solidFill>
          </w14:textFill>
        </w:rPr>
        <w:t>7</w:t>
      </w:r>
      <w:r>
        <w:rPr>
          <w:rFonts w:hint="eastAsia"/>
          <w:color w:val="000000" w:themeColor="text1"/>
          <w:lang w:val="zh-CN"/>
          <w14:textFill>
            <w14:solidFill>
              <w14:schemeClr w14:val="tx1"/>
            </w14:solidFill>
          </w14:textFill>
        </w:rPr>
        <w:t xml:space="preserve"> 应急灯、防爆灯及监控设备设置一览表</w:t>
      </w:r>
    </w:p>
    <w:tbl>
      <w:tblPr>
        <w:tblStyle w:val="3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072"/>
        <w:gridCol w:w="4591"/>
        <w:gridCol w:w="796"/>
        <w:gridCol w:w="765"/>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27"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1072" w:type="dxa"/>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459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设置地点</w:t>
            </w:r>
          </w:p>
        </w:tc>
        <w:tc>
          <w:tcPr>
            <w:tcW w:w="796"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76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单位</w:t>
            </w:r>
          </w:p>
        </w:tc>
        <w:tc>
          <w:tcPr>
            <w:tcW w:w="1109"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是否有效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2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107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应急灯</w:t>
            </w:r>
          </w:p>
        </w:tc>
        <w:tc>
          <w:tcPr>
            <w:tcW w:w="4591" w:type="dxa"/>
            <w:vAlign w:val="center"/>
          </w:tcPr>
          <w:p>
            <w:pPr>
              <w:pStyle w:val="77"/>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加油现场、营业室、配电室、</w:t>
            </w:r>
            <w:r>
              <w:rPr>
                <w:rFonts w:hint="eastAsia"/>
                <w:color w:val="000000" w:themeColor="text1"/>
                <w:lang w:val="en-US" w:eastAsia="zh-CN"/>
                <w14:textFill>
                  <w14:solidFill>
                    <w14:schemeClr w14:val="tx1"/>
                  </w14:solidFill>
                </w14:textFill>
              </w:rPr>
              <w:t>发电机房</w:t>
            </w:r>
          </w:p>
        </w:tc>
        <w:tc>
          <w:tcPr>
            <w:tcW w:w="796" w:type="dxa"/>
            <w:vAlign w:val="center"/>
          </w:tcPr>
          <w:p>
            <w:pPr>
              <w:pStyle w:val="77"/>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76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盏</w:t>
            </w:r>
          </w:p>
        </w:tc>
        <w:tc>
          <w:tcPr>
            <w:tcW w:w="11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2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107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防爆灯</w:t>
            </w:r>
          </w:p>
        </w:tc>
        <w:tc>
          <w:tcPr>
            <w:tcW w:w="459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罩棚下、油罐区</w:t>
            </w:r>
          </w:p>
        </w:tc>
        <w:tc>
          <w:tcPr>
            <w:tcW w:w="796"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76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盏</w:t>
            </w:r>
          </w:p>
        </w:tc>
        <w:tc>
          <w:tcPr>
            <w:tcW w:w="11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2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107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监控设施</w:t>
            </w:r>
          </w:p>
        </w:tc>
        <w:tc>
          <w:tcPr>
            <w:tcW w:w="459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油罐区、加油区、站房</w:t>
            </w:r>
          </w:p>
        </w:tc>
        <w:tc>
          <w:tcPr>
            <w:tcW w:w="796"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9</w:t>
            </w:r>
          </w:p>
        </w:tc>
        <w:tc>
          <w:tcPr>
            <w:tcW w:w="76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个</w:t>
            </w:r>
          </w:p>
        </w:tc>
        <w:tc>
          <w:tcPr>
            <w:tcW w:w="11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bl>
    <w:p>
      <w:pPr>
        <w:pStyle w:val="4"/>
        <w:ind w:firstLine="562"/>
        <w:rPr>
          <w:color w:val="000000" w:themeColor="text1"/>
          <w14:textFill>
            <w14:solidFill>
              <w14:schemeClr w14:val="tx1"/>
            </w14:solidFill>
          </w14:textFill>
        </w:rPr>
      </w:pPr>
      <w:bookmarkStart w:id="152" w:name="_Toc16591"/>
      <w:bookmarkStart w:id="153" w:name="_Toc27010"/>
      <w:bookmarkStart w:id="154" w:name="_Toc16940"/>
      <w:bookmarkStart w:id="155" w:name="_Toc5864"/>
      <w:r>
        <w:rPr>
          <w:color w:val="000000" w:themeColor="text1"/>
          <w14:textFill>
            <w14:solidFill>
              <w14:schemeClr w14:val="tx1"/>
            </w14:solidFill>
          </w14:textFill>
        </w:rPr>
        <w:t>减少与消除影响事故设施</w:t>
      </w:r>
      <w:bookmarkEnd w:id="152"/>
      <w:bookmarkEnd w:id="153"/>
      <w:bookmarkEnd w:id="154"/>
      <w:bookmarkEnd w:id="15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1.防止事故蔓延设施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潜油泵供油，加油机上设置有油泵紧急停泵按钮，加油软管上设有安全拉断阀，加油机底部的供油管道上设有剪切阀，当加油机被撞或起火或加油枪被外力拉拽断裂时，剪切阀能自动关闭进油，防止油料大量泄漏引发火灾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2.灭火设施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该加油站灭火设施配置情况，见表2-8。</w:t>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表2-8加油站灭火设施配置情况一览表</w:t>
      </w:r>
    </w:p>
    <w:tbl>
      <w:tblPr>
        <w:tblStyle w:val="3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35"/>
        <w:gridCol w:w="698"/>
        <w:gridCol w:w="764"/>
        <w:gridCol w:w="4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4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33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安全防护设施</w:t>
            </w:r>
          </w:p>
        </w:tc>
        <w:tc>
          <w:tcPr>
            <w:tcW w:w="69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764"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单位</w:t>
            </w:r>
          </w:p>
        </w:tc>
        <w:tc>
          <w:tcPr>
            <w:tcW w:w="419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配备地点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推车式干粉灭火器</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台</w:t>
            </w:r>
          </w:p>
        </w:tc>
        <w:tc>
          <w:tcPr>
            <w:tcW w:w="764"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35kg</w:t>
            </w: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手提式干粉灭火器</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具</w:t>
            </w:r>
          </w:p>
        </w:tc>
        <w:tc>
          <w:tcPr>
            <w:tcW w:w="764"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5kg</w:t>
            </w: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加油区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2335" w:type="dxa"/>
            <w:vAlign w:val="center"/>
          </w:tcPr>
          <w:p>
            <w:pPr>
              <w:pStyle w:val="93"/>
              <w:ind w:firstLine="0" w:firstLineChars="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手提式干粉灭火器</w:t>
            </w:r>
          </w:p>
        </w:tc>
        <w:tc>
          <w:tcPr>
            <w:tcW w:w="698" w:type="dxa"/>
            <w:vAlign w:val="center"/>
          </w:tcPr>
          <w:p>
            <w:pPr>
              <w:pStyle w:val="93"/>
              <w:ind w:firstLine="0" w:firstLine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具</w:t>
            </w:r>
          </w:p>
        </w:tc>
        <w:tc>
          <w:tcPr>
            <w:tcW w:w="764" w:type="dxa"/>
            <w:vAlign w:val="center"/>
          </w:tcPr>
          <w:p>
            <w:pPr>
              <w:pStyle w:val="93"/>
              <w:ind w:firstLine="0" w:firstLineChars="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kg</w:t>
            </w:r>
          </w:p>
        </w:tc>
        <w:tc>
          <w:tcPr>
            <w:tcW w:w="4195" w:type="dxa"/>
            <w:vAlign w:val="center"/>
          </w:tcPr>
          <w:p>
            <w:pPr>
              <w:pStyle w:val="93"/>
              <w:ind w:firstLine="0" w:firstLineChars="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配电室、</w:t>
            </w:r>
            <w:r>
              <w:rPr>
                <w:rFonts w:hint="eastAsia"/>
                <w:color w:val="000000" w:themeColor="text1"/>
                <w14:textFill>
                  <w14:solidFill>
                    <w14:schemeClr w14:val="tx1"/>
                  </w14:solidFill>
                </w14:textFill>
              </w:rPr>
              <w:t>消防器材箱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二氧化碳灭火器</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2具</w:t>
            </w:r>
          </w:p>
        </w:tc>
        <w:tc>
          <w:tcPr>
            <w:tcW w:w="764" w:type="dxa"/>
            <w:vAlign w:val="center"/>
          </w:tcPr>
          <w:p>
            <w:pPr>
              <w:pStyle w:val="93"/>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kg</w:t>
            </w: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配电室、发电机房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ind w:firstLine="0" w:firstLineChars="0"/>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2335" w:type="dxa"/>
            <w:vAlign w:val="center"/>
          </w:tcPr>
          <w:p>
            <w:pPr>
              <w:pStyle w:val="93"/>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消防沙</w:t>
            </w:r>
            <w:r>
              <w:rPr>
                <w:rFonts w:hint="eastAsia"/>
                <w:color w:val="000000" w:themeColor="text1"/>
                <w:lang w:val="en-US" w:eastAsia="zh-CN"/>
                <w14:textFill>
                  <w14:solidFill>
                    <w14:schemeClr w14:val="tx1"/>
                  </w14:solidFill>
                </w14:textFill>
              </w:rPr>
              <w:t>池</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1个</w:t>
            </w:r>
          </w:p>
        </w:tc>
        <w:tc>
          <w:tcPr>
            <w:tcW w:w="764"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2m³</w:t>
            </w: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ind w:firstLine="0" w:firstLineChars="0"/>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消防铲</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把</w:t>
            </w:r>
          </w:p>
        </w:tc>
        <w:tc>
          <w:tcPr>
            <w:tcW w:w="764" w:type="dxa"/>
            <w:vAlign w:val="center"/>
          </w:tcPr>
          <w:p>
            <w:pPr>
              <w:pStyle w:val="93"/>
              <w:rPr>
                <w:color w:val="000000" w:themeColor="text1"/>
                <w14:textFill>
                  <w14:solidFill>
                    <w14:schemeClr w14:val="tx1"/>
                  </w14:solidFill>
                </w14:textFill>
              </w:rPr>
            </w:pP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ind w:firstLine="0" w:firstLineChars="0"/>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消防桶</w:t>
            </w:r>
          </w:p>
        </w:tc>
        <w:tc>
          <w:tcPr>
            <w:tcW w:w="698" w:type="dxa"/>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个</w:t>
            </w:r>
          </w:p>
        </w:tc>
        <w:tc>
          <w:tcPr>
            <w:tcW w:w="764" w:type="dxa"/>
            <w:vAlign w:val="center"/>
          </w:tcPr>
          <w:p>
            <w:pPr>
              <w:pStyle w:val="93"/>
              <w:rPr>
                <w:color w:val="000000" w:themeColor="text1"/>
                <w14:textFill>
                  <w14:solidFill>
                    <w14:schemeClr w14:val="tx1"/>
                  </w14:solidFill>
                </w14:textFill>
              </w:rPr>
            </w:pP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648" w:type="dxa"/>
            <w:vAlign w:val="center"/>
          </w:tcPr>
          <w:p>
            <w:pPr>
              <w:pStyle w:val="77"/>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233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灭火毯</w:t>
            </w:r>
          </w:p>
        </w:tc>
        <w:tc>
          <w:tcPr>
            <w:tcW w:w="698" w:type="dxa"/>
            <w:vAlign w:val="center"/>
          </w:tcPr>
          <w:p>
            <w:pPr>
              <w:pStyle w:val="93"/>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块</w:t>
            </w:r>
          </w:p>
        </w:tc>
        <w:tc>
          <w:tcPr>
            <w:tcW w:w="764" w:type="dxa"/>
            <w:vAlign w:val="center"/>
          </w:tcPr>
          <w:p>
            <w:pPr>
              <w:pStyle w:val="93"/>
              <w:rPr>
                <w:color w:val="000000" w:themeColor="text1"/>
                <w14:textFill>
                  <w14:solidFill>
                    <w14:schemeClr w14:val="tx1"/>
                  </w14:solidFill>
                </w14:textFill>
              </w:rPr>
            </w:pPr>
          </w:p>
        </w:tc>
        <w:tc>
          <w:tcPr>
            <w:tcW w:w="4195" w:type="dxa"/>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加油区、消防器材箱</w:t>
            </w:r>
          </w:p>
        </w:tc>
      </w:tr>
    </w:tbl>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、劳动防护用品</w:t>
      </w:r>
    </w:p>
    <w:p>
      <w:pPr>
        <w:rPr>
          <w:color w:val="000000" w:themeColor="text1"/>
          <w14:textFill>
            <w14:solidFill>
              <w14:schemeClr w14:val="tx1"/>
            </w14:solidFill>
          </w14:textFill>
        </w:rPr>
      </w:pPr>
      <w:r>
        <w:rPr>
          <w:color w:val="000000" w:themeColor="text1"/>
          <w:lang w:val="zh-CN"/>
          <w14:textFill>
            <w14:solidFill>
              <w14:schemeClr w14:val="tx1"/>
            </w14:solidFill>
          </w14:textFill>
        </w:rPr>
        <w:t>该加油站为从业人员定期发放防静电工作服、工作鞋、手套、口罩</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并有发放记录。</w:t>
      </w:r>
    </w:p>
    <w:p>
      <w:pPr>
        <w:pStyle w:val="3"/>
        <w:rPr>
          <w:color w:val="000000" w:themeColor="text1"/>
          <w14:textFill>
            <w14:solidFill>
              <w14:schemeClr w14:val="tx1"/>
            </w14:solidFill>
          </w14:textFill>
        </w:rPr>
      </w:pPr>
      <w:bookmarkStart w:id="156" w:name="_Toc20202"/>
      <w:bookmarkStart w:id="157" w:name="_Toc15242"/>
      <w:bookmarkStart w:id="158" w:name="_Toc275268741"/>
      <w:r>
        <w:rPr>
          <w:color w:val="000000" w:themeColor="text1"/>
          <w14:textFill>
            <w14:solidFill>
              <w14:schemeClr w14:val="tx1"/>
            </w14:solidFill>
          </w14:textFill>
        </w:rPr>
        <w:t>安全管理</w:t>
      </w:r>
      <w:bookmarkEnd w:id="156"/>
      <w:bookmarkEnd w:id="157"/>
      <w:bookmarkEnd w:id="158"/>
    </w:p>
    <w:p>
      <w:pPr>
        <w:pStyle w:val="4"/>
        <w:ind w:firstLine="562"/>
        <w:rPr>
          <w:color w:val="000000" w:themeColor="text1"/>
          <w14:textFill>
            <w14:solidFill>
              <w14:schemeClr w14:val="tx1"/>
            </w14:solidFill>
          </w14:textFill>
        </w:rPr>
      </w:pPr>
      <w:bookmarkStart w:id="159" w:name="_Toc4680"/>
      <w:bookmarkStart w:id="160" w:name="_Toc275268742"/>
      <w:bookmarkStart w:id="161" w:name="_Toc32722"/>
      <w:r>
        <w:rPr>
          <w:color w:val="000000" w:themeColor="text1"/>
          <w14:textFill>
            <w14:solidFill>
              <w14:schemeClr w14:val="tx1"/>
            </w14:solidFill>
          </w14:textFill>
        </w:rPr>
        <w:t>组织机构及人员</w:t>
      </w:r>
      <w:bookmarkEnd w:id="159"/>
      <w:bookmarkEnd w:id="160"/>
      <w:bookmarkEnd w:id="161"/>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丘北天星正才加油站</w:t>
      </w:r>
      <w:r>
        <w:rPr>
          <w:color w:val="000000" w:themeColor="text1"/>
          <w14:textFill>
            <w14:solidFill>
              <w14:schemeClr w14:val="tx1"/>
            </w14:solidFill>
          </w14:textFill>
        </w:rPr>
        <w:t>安全生产</w:t>
      </w:r>
      <w:r>
        <w:rPr>
          <w:rFonts w:hint="eastAsia"/>
          <w:color w:val="000000" w:themeColor="text1"/>
          <w14:textFill>
            <w14:solidFill>
              <w14:schemeClr w14:val="tx1"/>
            </w14:solidFill>
          </w14:textFill>
        </w:rPr>
        <w:t>主要负责人</w:t>
      </w:r>
      <w:r>
        <w:rPr>
          <w:color w:val="000000" w:themeColor="text1"/>
          <w14:textFill>
            <w14:solidFill>
              <w14:schemeClr w14:val="tx1"/>
            </w14:solidFill>
          </w14:textFill>
        </w:rPr>
        <w:t>为</w:t>
      </w:r>
      <w:r>
        <w:rPr>
          <w:rFonts w:hint="eastAsia"/>
          <w:color w:val="000000" w:themeColor="text1"/>
          <w:lang w:eastAsia="zh-CN"/>
          <w14:textFill>
            <w14:solidFill>
              <w14:schemeClr w14:val="tx1"/>
            </w14:solidFill>
          </w14:textFill>
        </w:rPr>
        <w:t>梁正才</w:t>
      </w:r>
      <w:r>
        <w:rPr>
          <w:rFonts w:hint="eastAsia"/>
          <w:color w:val="000000" w:themeColor="text1"/>
          <w14:textFill>
            <w14:solidFill>
              <w14:schemeClr w14:val="tx1"/>
            </w14:solidFill>
          </w14:textFill>
        </w:rPr>
        <w:t>，同时配置了安全管理人员。</w:t>
      </w:r>
      <w:r>
        <w:rPr>
          <w:rFonts w:hint="eastAsia"/>
          <w:color w:val="000000" w:themeColor="text1"/>
          <w:lang w:val="en-GB"/>
          <w14:textFill>
            <w14:solidFill>
              <w14:schemeClr w14:val="tx1"/>
            </w14:solidFill>
          </w14:textFill>
        </w:rPr>
        <w:t>站内设有安全生产领导小组，小组组长由</w:t>
      </w:r>
      <w:r>
        <w:rPr>
          <w:rFonts w:hint="eastAsia"/>
          <w:color w:val="000000" w:themeColor="text1"/>
          <w14:textFill>
            <w14:solidFill>
              <w14:schemeClr w14:val="tx1"/>
            </w14:solidFill>
          </w14:textFill>
        </w:rPr>
        <w:t>主要负责人</w:t>
      </w:r>
      <w:r>
        <w:rPr>
          <w:rFonts w:hint="eastAsia"/>
          <w:color w:val="000000" w:themeColor="text1"/>
          <w:lang w:val="en-GB"/>
          <w14:textFill>
            <w14:solidFill>
              <w14:schemeClr w14:val="tx1"/>
            </w14:solidFill>
          </w14:textFill>
        </w:rPr>
        <w:t>担任，并设有专职安全员。</w:t>
      </w:r>
      <w:r>
        <w:rPr>
          <w:rFonts w:hint="eastAsia"/>
          <w:color w:val="000000" w:themeColor="text1"/>
          <w:lang w:eastAsia="zh-CN"/>
          <w14:textFill>
            <w14:solidFill>
              <w14:schemeClr w14:val="tx1"/>
            </w14:solidFill>
          </w14:textFill>
        </w:rPr>
        <w:t>丘北天星正才加油站</w:t>
      </w:r>
      <w:r>
        <w:rPr>
          <w:color w:val="000000" w:themeColor="text1"/>
          <w14:textFill>
            <w14:solidFill>
              <w14:schemeClr w14:val="tx1"/>
            </w14:solidFill>
          </w14:textFill>
        </w:rPr>
        <w:t>还成立了由</w:t>
      </w:r>
      <w:r>
        <w:rPr>
          <w:rFonts w:hint="eastAsia"/>
          <w:color w:val="000000" w:themeColor="text1"/>
          <w14:textFill>
            <w14:solidFill>
              <w14:schemeClr w14:val="tx1"/>
            </w14:solidFill>
          </w14:textFill>
        </w:rPr>
        <w:t>主要负责人</w:t>
      </w:r>
      <w:r>
        <w:rPr>
          <w:color w:val="000000" w:themeColor="text1"/>
          <w14:textFill>
            <w14:solidFill>
              <w14:schemeClr w14:val="tx1"/>
            </w14:solidFill>
          </w14:textFill>
        </w:rPr>
        <w:t>负责的事故应急救援指挥领导小组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针对可能发生的事故制定了应采取的相关措施。</w:t>
      </w:r>
      <w:r>
        <w:rPr>
          <w:rFonts w:hint="eastAsia"/>
          <w:color w:val="000000" w:themeColor="text1"/>
          <w14:textFill>
            <w14:solidFill>
              <w14:schemeClr w14:val="tx1"/>
            </w14:solidFill>
          </w14:textFill>
        </w:rPr>
        <w:t>安全领导</w:t>
      </w:r>
      <w:r>
        <w:rPr>
          <w:color w:val="000000" w:themeColor="text1"/>
          <w14:textFill>
            <w14:solidFill>
              <w14:schemeClr w14:val="tx1"/>
            </w14:solidFill>
          </w14:textFill>
        </w:rPr>
        <w:t>小组具体组成如下：</w:t>
      </w:r>
    </w:p>
    <w:p>
      <w:pP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组长：</w:t>
      </w:r>
      <w:r>
        <w:rPr>
          <w:rFonts w:hint="eastAsia"/>
          <w:color w:val="000000" w:themeColor="text1"/>
          <w:lang w:eastAsia="zh-CN"/>
          <w14:textFill>
            <w14:solidFill>
              <w14:schemeClr w14:val="tx1"/>
            </w14:solidFill>
          </w14:textFill>
        </w:rPr>
        <w:t>梁正才</w:t>
      </w:r>
    </w:p>
    <w:p>
      <w:pP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副组长：陈清忠</w:t>
      </w:r>
    </w:p>
    <w:p>
      <w:pP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组员：</w:t>
      </w:r>
      <w:r>
        <w:rPr>
          <w:rFonts w:hint="eastAsia"/>
          <w:color w:val="000000" w:themeColor="text1"/>
          <w:lang w:eastAsia="zh-CN"/>
          <w14:textFill>
            <w14:solidFill>
              <w14:schemeClr w14:val="tx1"/>
            </w14:solidFill>
          </w14:textFill>
        </w:rPr>
        <w:t>高鹏、郭瑞龙</w:t>
      </w:r>
    </w:p>
    <w:p>
      <w:pPr>
        <w:rPr>
          <w:color w:val="000000" w:themeColor="text1"/>
          <w14:textFill>
            <w14:solidFill>
              <w14:schemeClr w14:val="tx1"/>
            </w14:solidFill>
          </w14:textFill>
        </w:rPr>
      </w:pPr>
      <w:r>
        <w:rPr>
          <w:color w:val="000000" w:themeColor="text1"/>
          <w14:textFill>
            <w14:solidFill>
              <w14:schemeClr w14:val="tx1"/>
            </w14:solidFill>
          </w14:textFill>
        </w:rPr>
        <w:t>加油站安全管理网络图见图2-</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p>
    <w:p>
      <w:pPr>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1813560</wp:posOffset>
                </wp:positionH>
                <wp:positionV relativeFrom="paragraph">
                  <wp:posOffset>226695</wp:posOffset>
                </wp:positionV>
                <wp:extent cx="1828165" cy="314325"/>
                <wp:effectExtent l="7620" t="7620" r="12065" b="20955"/>
                <wp:wrapNone/>
                <wp:docPr id="487" name="文本框 487"/>
                <wp:cNvGraphicFramePr/>
                <a:graphic xmlns:a="http://schemas.openxmlformats.org/drawingml/2006/main">
                  <a:graphicData uri="http://schemas.microsoft.com/office/word/2010/wordprocessingShape">
                    <wps:wsp>
                      <wps:cNvSpPr txBox="1"/>
                      <wps:spPr>
                        <a:xfrm>
                          <a:off x="0" y="0"/>
                          <a:ext cx="1828165" cy="314325"/>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hint="eastAsia"/>
                                <w:sz w:val="24"/>
                                <w:szCs w:val="24"/>
                                <w:lang w:val="en-US" w:eastAsia="zh-CN"/>
                              </w:rPr>
                            </w:pPr>
                            <w:r>
                              <w:rPr>
                                <w:rFonts w:hint="eastAsia"/>
                                <w:sz w:val="24"/>
                                <w:szCs w:val="24"/>
                                <w:lang w:val="en-US" w:eastAsia="zh-CN"/>
                              </w:rPr>
                              <w:t>法定代表人</w:t>
                            </w:r>
                          </w:p>
                        </w:txbxContent>
                      </wps:txbx>
                      <wps:bodyPr upright="1"/>
                    </wps:wsp>
                  </a:graphicData>
                </a:graphic>
              </wp:anchor>
            </w:drawing>
          </mc:Choice>
          <mc:Fallback>
            <w:pict>
              <v:shape id="_x0000_s1026" o:spid="_x0000_s1026" o:spt="202" type="#_x0000_t202" style="position:absolute;left:0pt;margin-left:142.8pt;margin-top:17.85pt;height:24.75pt;width:143.95pt;z-index:251659264;mso-width-relative:page;mso-height-relative:page;" fillcolor="#FFFFFF" filled="t" stroked="t" coordsize="21600,21600" o:gfxdata="UEsDBAoAAAAAAIdO4kAAAAAAAAAAAAAAAAAEAAAAZHJzL1BLAwQUAAAACACHTuJAt4E+5tcAAAAJ&#10;AQAADwAAAGRycy9kb3ducmV2LnhtbE2PQU7DMBBF90jcwRokNog6SeUmCplUqBIHoETt1o2HOGps&#10;R7bbFE6PWcFy9J/+f9Nsb2ZiV/JhdBYhX2XAyPZOjXZA6D7enitgIUqr5OQsIXxRgG17f9fIWrnF&#10;vtN1HweWSmyoJYKOca45D70mI8PKzWRT9um8kTGdfuDKyyWVm4kXWbbhRo42LWg5005Tf95fDIKY&#10;jkXu425envRrd6ZDVx6+O8THhzx7ARbpFv9g+NVP6tAmp5O7WBXYhFBUYpNQhLUogSVAlGsB7IRQ&#10;iQJ42/D/H7Q/UEsDBBQAAAAIAIdO4kBBPZxWSQIAAMIEAAAOAAAAZHJzL2Uyb0RvYy54bWytVM2O&#10;0zAQviPxDpbvNG13u1tFTVeCUi4IEAvi7DpOYsl/8rhN+gLwBpy4cOe5+hyMnbTb3ZVQD+SQTDzj&#10;b2a++ezFXacV2QkP0pqCTkZjSoThtpSmLujXL+tXc0ogMFMyZY0o6F4AvVu+fLFoXS6mtrGqFJ4g&#10;iIG8dQVtQnB5lgFvhGYwsk4YdFbWaxbw19dZ6VmL6Fpl0/H4JmutL523XADg6qp30gHRXwJoq0py&#10;sbJ8q4UJPaoXigVsCRrpgC5TtVUlePhYVSACUQXFTkN6YxK0N/GdLRcsrz1zjeRDCeySEp70pJk0&#10;mPQEtWKBka2Xz6C05N6CrcKIW531jSRGsIvJ+Ak39w1zIvWCVIM7kQ7/D5Z/2H3yRJYFvZ7fUmKY&#10;xpEffv44/Ppz+P2dxEWkqHWQY+S9w9jQvbYdCue4DrgYO+8qr+MXeyLoR4L3J4JFFwiPm+bT+eRm&#10;RglH39Xk+mo6izDZw27nIbwTVpNoFNTjABOvbPceQh96DBnoLtdSKeJt+CZDkxiLaZMTcE9vEGeR&#10;tH4ZfL15ozzZMdTEOj1DETWcR0/G8UlI/96C5dfHVEoawuJJGqQVpBKfsYm+dBRaKjemUYa0yMhs&#10;fhv5YHiSKlQwmtrhNMDUfWar5GnLozJSdSkL5ofzsEjQikHTd5hcsUGWaxmET1YjWPnWlCTsHc7b&#10;4EGnsRotSkqUwHshWikyMKkuicQilMFRRqn0kohW6DYdwkRzY8s9ymfrvKwbHG0SUApHaScNDMcw&#10;np3z/wT6cPUs/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3gT7m1wAAAAkBAAAPAAAAAAAAAAEA&#10;IAAAACIAAABkcnMvZG93bnJldi54bWxQSwECFAAUAAAACACHTuJAQT2cVkkCAADCBAAADgAAAAAA&#10;AAABACAAAAAmAQAAZHJzL2Uyb0RvYy54bWxQSwUGAAAAAAYABgBZAQAA4QUAAAAA&#10;">
                <v:fill type="gradient" on="t" color2="#FFFFFF" angle="90" focus="100%" focussize="0,0">
                  <o:fill type="gradientUnscaled" v:ext="backwardCompatible"/>
                </v:fill>
                <v:stroke weight="1.25pt" color="#000000" joinstyle="miter"/>
                <v:imagedata o:title=""/>
                <o:lock v:ext="edit" aspectratio="f"/>
                <v:textbox>
                  <w:txbxContent>
                    <w:p>
                      <w:pPr>
                        <w:spacing w:line="240" w:lineRule="auto"/>
                        <w:ind w:firstLine="0" w:firstLineChars="0"/>
                        <w:jc w:val="center"/>
                        <w:rPr>
                          <w:rFonts w:hint="eastAsia"/>
                          <w:sz w:val="24"/>
                          <w:szCs w:val="24"/>
                          <w:lang w:val="en-US" w:eastAsia="zh-CN"/>
                        </w:rPr>
                      </w:pPr>
                      <w:r>
                        <w:rPr>
                          <w:rFonts w:hint="eastAsia"/>
                          <w:sz w:val="24"/>
                          <w:szCs w:val="24"/>
                          <w:lang w:val="en-US" w:eastAsia="zh-CN"/>
                        </w:rPr>
                        <w:t>法定代表人</w:t>
                      </w:r>
                    </w:p>
                  </w:txbxContent>
                </v:textbox>
              </v:shape>
            </w:pict>
          </mc:Fallback>
        </mc:AlternateContent>
      </w:r>
    </w:p>
    <w:p>
      <w:pPr>
        <w:snapToGrid/>
        <w:rPr>
          <w:color w:val="000000" w:themeColor="text1"/>
          <w:szCs w:val="28"/>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2754630</wp:posOffset>
                </wp:positionH>
                <wp:positionV relativeFrom="paragraph">
                  <wp:posOffset>226695</wp:posOffset>
                </wp:positionV>
                <wp:extent cx="635" cy="276225"/>
                <wp:effectExtent l="52070" t="0" r="61595" b="3175"/>
                <wp:wrapNone/>
                <wp:docPr id="482" name="直接连接符 482"/>
                <wp:cNvGraphicFramePr/>
                <a:graphic xmlns:a="http://schemas.openxmlformats.org/drawingml/2006/main">
                  <a:graphicData uri="http://schemas.microsoft.com/office/word/2010/wordprocessingShape">
                    <wps:wsp>
                      <wps:cNvCnPr/>
                      <wps:spPr>
                        <a:xfrm>
                          <a:off x="0" y="0"/>
                          <a:ext cx="635" cy="276225"/>
                        </a:xfrm>
                        <a:prstGeom prst="line">
                          <a:avLst/>
                        </a:prstGeom>
                        <a:ln w="15875"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216.9pt;margin-top:17.85pt;height:21.75pt;width:0.05pt;z-index:251660288;mso-width-relative:page;mso-height-relative:page;" filled="f" stroked="t" coordsize="21600,21600" o:gfxdata="UEsDBAoAAAAAAIdO4kAAAAAAAAAAAAAAAAAEAAAAZHJzL1BLAwQUAAAACACHTuJA7mbM99sAAAAJ&#10;AQAADwAAAGRycy9kb3ducmV2LnhtbE2PwU7DMBBE70j8g7VI3KjdptA2xOkBxIFKSKWtEEc33iYh&#10;8TrEblP4epYTHHd2NPMmW55dK07Yh9qThvFIgUAqvK2p1LDbPt3MQYRoyJrWE2r4wgDL/PIiM6n1&#10;A73iaRNLwSEUUqOhirFLpQxFhc6Eke+Q+HfwvTORz76UtjcDh7tWTpS6k87UxA2V6fChwqLZHJ2G&#10;71WzmjZqvh4eD58fb+9NV7/EZ62vr8bqHkTEc/wzwy8+o0POTHt/JBtEq2GaJIweNSS3MxBsYGEB&#10;Yq9htpiAzDP5f0H+A1BLAwQUAAAACACHTuJALwgMEPQBAADfAwAADgAAAGRycy9lMm9Eb2MueG1s&#10;rVPNjtMwEL4j8Q6W7zTdQLtV1HQPW5YLgkrAA0wdp7HkP3m8TfsSvAASNzhx5M7bsDwGYye0sHDY&#10;Azk44/Hnz/N9Hi+vDkazvQyonK35xWTKmbTCNcruav7u7c2TBWcYwTagnZU1P0rkV6vHj5a9r2Tp&#10;OqcbGRiRWKx6X/MuRl8VBYpOGsCJ89LSYuuCgUjTsCuaAD2xG12U0+m86F1ofHBCIlJ2PSzykTE8&#10;hNC1rRJy7cStkTYOrEFqiCQJO+WRr3K1bStFfN22KCPTNSelMY90CMXbNBarJVS7AL5TYiwBHlLC&#10;PU0GlKVDT1RriMBug/qLyigRHLo2ToQzxSAkO0IqLqb3vHnTgZdZC1mN/mQ6/j9a8Wq/CUw1NX+2&#10;KDmzYOjK7z58/f7+049vH2m8+/KZpSUyqvdYEf7absI4Q78JSfWhDSb9SQ87ZHOPJ3PlITJByfnT&#10;GWeC8uXlvCxnibA47/QB4wvpDEtBzbWySThUsH+JcYD+gqS0tqyn5p0tLhMpUBu2dP0UGk9S0O7y&#10;ZnRaNTdK67QFw257rQPbQ2qF/I01/AFLp6wBuwGXlxIMqk5C89w2LB49WWTpbfBUg5ENZ1rSU0pR&#10;RkZQ+oyEEFz/byjp15ZsSMYOVqZo65pjdjjn6d6zUWOPpsb6fZ53n9/l6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uZsz32wAAAAkBAAAPAAAAAAAAAAEAIAAAACIAAABkcnMvZG93bnJldi54bWxQ&#10;SwECFAAUAAAACACHTuJALwgMEPQBAADfAwAADgAAAAAAAAABACAAAAAqAQAAZHJzL2Uyb0RvYy54&#10;bWxQSwUGAAAAAAYABgBZAQAAkAUAAAAA&#10;">
                <v:fill on="f" focussize="0,0"/>
                <v:stroke weight="1.25pt" color="#000000" joinstyle="round" endarrow="open"/>
                <v:imagedata o:title=""/>
                <o:lock v:ext="edit" aspectratio="f"/>
              </v:line>
            </w:pict>
          </mc:Fallback>
        </mc:AlternateContent>
      </w:r>
    </w:p>
    <w:p>
      <w:pPr>
        <w:snapToGrid/>
        <w:rPr>
          <w:color w:val="000000" w:themeColor="text1"/>
          <w:szCs w:val="28"/>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1967230</wp:posOffset>
                </wp:positionH>
                <wp:positionV relativeFrom="paragraph">
                  <wp:posOffset>213995</wp:posOffset>
                </wp:positionV>
                <wp:extent cx="1479550" cy="295275"/>
                <wp:effectExtent l="7620" t="7620" r="11430" b="14605"/>
                <wp:wrapNone/>
                <wp:docPr id="477" name="文本框 477"/>
                <wp:cNvGraphicFramePr/>
                <a:graphic xmlns:a="http://schemas.openxmlformats.org/drawingml/2006/main">
                  <a:graphicData uri="http://schemas.microsoft.com/office/word/2010/wordprocessingShape">
                    <wps:wsp>
                      <wps:cNvSpPr txBox="1"/>
                      <wps:spPr>
                        <a:xfrm>
                          <a:off x="0" y="0"/>
                          <a:ext cx="1479550" cy="295275"/>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hint="default" w:eastAsia="宋体"/>
                                <w:sz w:val="24"/>
                                <w:szCs w:val="24"/>
                                <w:lang w:val="en-US" w:eastAsia="zh-CN"/>
                              </w:rPr>
                            </w:pPr>
                            <w:r>
                              <w:rPr>
                                <w:rFonts w:hint="eastAsia"/>
                                <w:sz w:val="24"/>
                                <w:szCs w:val="24"/>
                                <w:lang w:val="en-US" w:eastAsia="zh-CN"/>
                              </w:rPr>
                              <w:t>站长</w:t>
                            </w:r>
                          </w:p>
                        </w:txbxContent>
                      </wps:txbx>
                      <wps:bodyPr upright="1"/>
                    </wps:wsp>
                  </a:graphicData>
                </a:graphic>
              </wp:anchor>
            </w:drawing>
          </mc:Choice>
          <mc:Fallback>
            <w:pict>
              <v:shape id="_x0000_s1026" o:spid="_x0000_s1026" o:spt="202" type="#_x0000_t202" style="position:absolute;left:0pt;margin-left:154.9pt;margin-top:16.85pt;height:23.25pt;width:116.5pt;z-index:251661312;mso-width-relative:page;mso-height-relative:page;" fillcolor="#FFFFFF" filled="t" stroked="t" coordsize="21600,21600" o:gfxdata="UEsDBAoAAAAAAIdO4kAAAAAAAAAAAAAAAAAEAAAAZHJzL1BLAwQUAAAACACHTuJAoWq+uNgAAAAJ&#10;AQAADwAAAGRycy9kb3ducmV2LnhtbE2PzU7DMBCE70i8g7VIXFBrJ6W0hDgVqsQDUKJydeNtHNU/&#10;ke02hadnOcFtd3Y08229uTrLLhjTELyEYi6Aoe+CHnwvof14m62Bpay8VjZ4lPCFCTbN7U2tKh0m&#10;/46XXe4ZhfhUKQkm57HiPHUGnUrzMKKn2zFEpzKtsec6qonCneWlEE/cqcFTg1Ejbg12p93ZSVja&#10;z7KIeTtOD+a1PeG+Xe2/Wynv7wrxAizjNf+Z4Ref0KEhpkM4e52YlbAQz4SeaVisgJFh+ViScJCw&#10;FiXwpub/P2h+AFBLAwQUAAAACACHTuJAzHqMJkgCAADCBAAADgAAAGRycy9lMm9Eb2MueG1srVTN&#10;jtMwEL4j8Q6W7zRttaW7UdOVoJQLAsSC9uw6TmLJf/K4TfoC8AacuHDf5+pzMHbSbneRUA/kkEw8&#10;429mvvnsxW2nFdkJD9Kagk5GY0qE4baUpi7ot6/rV9eUQGCmZMoaUdC9AHq7fPli0bpcTG1jVSk8&#10;QRADeesK2oTg8iwD3gjNYGSdMOisrNcs4K+vs9KzFtG1yqbj8eustb503nIBgKur3kkHRH8JoK0q&#10;ycXK8q0WJvSoXigWsCVopAO6TNVWleDhU1WBCEQVFDsN6Y1J0N7Ed7ZcsLz2zDWSDyWwS0p41pNm&#10;0mDSE9SKBUa2Xv4FpSX3FmwVRtzqrG8kMYJdTMbPuLlrmBOpF6Qa3Il0+H+w/OPusyeyLOjVfE6J&#10;YRpHfvj54/Dr4fD7O4mLSFHrIMfIO4exoXtjOxTOcR1wMXbeVV7HL/ZE0I8E708Eiy4QHjddzW9m&#10;M3Rx9E1vZtP5LMJkj7udh/BeWE2iUVCPA0y8st0HCH3oMWSgu1xLpYi34V6GJjEW0yYn4J7eIM4i&#10;af0y+HrzVnmyY6iJdXqGImo4j56M45OQ/r0Fy6+PqZQ0hMWTNEgrSCW+YBN96Si0VG5MowxpkZHZ&#10;NXJAOMOTVKGC0dQOpwGm7jNbJU9bnpSRqktZMD+ch0WCVgyavsPkig2yXMsgfLIawcp3piRh73De&#10;Bg86jdVoUVKiBN4L0UqRgUl1SSQWoQyOMkqll0S0QrfpECaaG1vuUT5b52Xd4GiTgFI4SjtpYDiG&#10;8eyc/yfQx6tn+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har642AAAAAkBAAAPAAAAAAAAAAEA&#10;IAAAACIAAABkcnMvZG93bnJldi54bWxQSwECFAAUAAAACACHTuJAzHqMJkgCAADCBAAADgAAAAAA&#10;AAABACAAAAAnAQAAZHJzL2Uyb0RvYy54bWxQSwUGAAAAAAYABgBZAQAA4QUAAAAA&#10;">
                <v:fill type="gradient" on="t" color2="#FFFFFF" angle="90" focus="100%" focussize="0,0">
                  <o:fill type="gradientUnscaled" v:ext="backwardCompatible"/>
                </v:fill>
                <v:stroke weight="1.25pt" color="#000000" joinstyle="miter"/>
                <v:imagedata o:title=""/>
                <o:lock v:ext="edit" aspectratio="f"/>
                <v:textbox>
                  <w:txbxContent>
                    <w:p>
                      <w:pPr>
                        <w:spacing w:line="240" w:lineRule="auto"/>
                        <w:ind w:firstLine="0" w:firstLineChars="0"/>
                        <w:jc w:val="center"/>
                        <w:rPr>
                          <w:rFonts w:hint="default" w:eastAsia="宋体"/>
                          <w:sz w:val="24"/>
                          <w:szCs w:val="24"/>
                          <w:lang w:val="en-US" w:eastAsia="zh-CN"/>
                        </w:rPr>
                      </w:pPr>
                      <w:r>
                        <w:rPr>
                          <w:rFonts w:hint="eastAsia"/>
                          <w:sz w:val="24"/>
                          <w:szCs w:val="24"/>
                          <w:lang w:val="en-US" w:eastAsia="zh-CN"/>
                        </w:rPr>
                        <w:t>站长</w:t>
                      </w:r>
                    </w:p>
                  </w:txbxContent>
                </v:textbox>
              </v:shape>
            </w:pict>
          </mc:Fallback>
        </mc:AlternateContent>
      </w:r>
    </w:p>
    <w:p>
      <w:pPr>
        <w:snapToGrid/>
        <w:rPr>
          <w:color w:val="000000" w:themeColor="text1"/>
          <w:szCs w:val="28"/>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2748280</wp:posOffset>
                </wp:positionH>
                <wp:positionV relativeFrom="paragraph">
                  <wp:posOffset>204470</wp:posOffset>
                </wp:positionV>
                <wp:extent cx="635" cy="304800"/>
                <wp:effectExtent l="52070" t="0" r="61595" b="0"/>
                <wp:wrapNone/>
                <wp:docPr id="473" name="直接连接符 473"/>
                <wp:cNvGraphicFramePr/>
                <a:graphic xmlns:a="http://schemas.openxmlformats.org/drawingml/2006/main">
                  <a:graphicData uri="http://schemas.microsoft.com/office/word/2010/wordprocessingShape">
                    <wps:wsp>
                      <wps:cNvCnPr/>
                      <wps:spPr>
                        <a:xfrm>
                          <a:off x="0" y="0"/>
                          <a:ext cx="635" cy="304800"/>
                        </a:xfrm>
                        <a:prstGeom prst="line">
                          <a:avLst/>
                        </a:prstGeom>
                        <a:ln w="15875" cap="flat" cmpd="sng">
                          <a:solidFill>
                            <a:srgbClr val="000000"/>
                          </a:solidFill>
                          <a:prstDash val="solid"/>
                          <a:headEnd type="none" w="med" len="med"/>
                          <a:tailEnd type="arrow" w="med" len="med"/>
                        </a:ln>
                      </wps:spPr>
                      <wps:bodyPr/>
                    </wps:wsp>
                  </a:graphicData>
                </a:graphic>
              </wp:anchor>
            </w:drawing>
          </mc:Choice>
          <mc:Fallback>
            <w:pict>
              <v:line id="_x0000_s1026" o:spid="_x0000_s1026" o:spt="20" style="position:absolute;left:0pt;margin-left:216.4pt;margin-top:16.1pt;height:24pt;width:0.05pt;z-index:251662336;mso-width-relative:page;mso-height-relative:page;" filled="f" stroked="t" coordsize="21600,21600" o:gfxdata="UEsDBAoAAAAAAIdO4kAAAAAAAAAAAAAAAAAEAAAAZHJzL1BLAwQUAAAACACHTuJAuDRUeNkAAAAJ&#10;AQAADwAAAGRycy9kb3ducmV2LnhtbE2PwU7DMBBE70j8g7VI3Khdt0IhZNMDiAOVkKAgxNGNt0lI&#10;bIfYbQpfz/YEx50dzbwpVkfXiwONsQ0eYT5TIMhXwba+Rnh7fbjKQMRkvDV98ITwTRFW5flZYXIb&#10;Jv9Ch02qBYf4mBuEJqUhlzJWDTkTZ2Egz79dGJ1JfI61tKOZONz1Uit1LZ1pPTc0ZqC7hqpus3cI&#10;P+tuvexU9jzd774+3z+6oX1Kj4iXF3N1CyLRMf2Z4YTP6FAy0zbsvY2iR1guNKMnhIXWINjAwg2I&#10;LUKmNMiykP8XlL9QSwMEFAAAAAgAh07iQBdwBIn3AQAA3wMAAA4AAABkcnMvZTJvRG9jLnhtbK1T&#10;S44TMRDdI3EHy3vSPZP5RK10ZjFh2CAYCThAxXanLfknlyedXIILILGDFUv23IbhGJTdIYGBxSzo&#10;hbtcrnpV77k8v9pawzYqovau5SeTmjPlhJfarVv+7u3NsxlnmMBJMN6plu8U8qvF0yfzITTq1Pfe&#10;SBUZgThshtDyPqXQVBWKXlnAiQ/K0WHno4VE27iuZISB0K2pTuv6ohp8lCF6oRDJuxwP+R4xPgbQ&#10;d50WaunFnVUujahRGUhECXsdkC9Kt12nRHrddagSMy0npqmsVITsVV6rxRyadYTQa7FvAR7TwgNO&#10;FrSjogeoJSRgd1H/BWW1iB59lybC22okUhQhFif1A23e9BBU4UJSYziIjv8PVrza3EamZcvPLqec&#10;ObB05fcfvn5//+nHt4+03n/5zPIRCTUEbCj+2t3G/Q7Dbcyst120+U982LaIuzuIq7aJCXJeTM85&#10;E+Sf1mezuihfHTNDxPRCecuy0XKjXSYODWxeYqJqFPorJLuNYwMN7/nsMoMCjWFH10+mDUQF3bok&#10;ozda3mhjcgrG9eraRLaBPArly6QI+I+wXGUJ2I9x5Wgckl6BfO4kS7tAEjl6Gzz3YJXkzCh6Stki&#10;QGgSaHOMhBj98O9Qqm0ctZCFHaXM1srLXVG4+OneS5P7Gc2D9fu+ZB/f5e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DRUeNkAAAAJAQAADwAAAAAAAAABACAAAAAiAAAAZHJzL2Rvd25yZXYueG1s&#10;UEsBAhQAFAAAAAgAh07iQBdwBIn3AQAA3wMAAA4AAAAAAAAAAQAgAAAAKAEAAGRycy9lMm9Eb2Mu&#10;eG1sUEsFBgAAAAAGAAYAWQEAAJEFAAAAAA==&#10;">
                <v:fill on="f" focussize="0,0"/>
                <v:stroke weight="1.25pt" color="#000000" joinstyle="round" endarrow="open"/>
                <v:imagedata o:title=""/>
                <o:lock v:ext="edit" aspectratio="f"/>
              </v:line>
            </w:pict>
          </mc:Fallback>
        </mc:AlternateContent>
      </w:r>
    </w:p>
    <w:p>
      <w:pPr>
        <w:snapToGrid/>
        <w:rPr>
          <w:color w:val="000000" w:themeColor="text1"/>
          <w:szCs w:val="28"/>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1995805</wp:posOffset>
                </wp:positionH>
                <wp:positionV relativeFrom="paragraph">
                  <wp:posOffset>198120</wp:posOffset>
                </wp:positionV>
                <wp:extent cx="1440815" cy="313690"/>
                <wp:effectExtent l="7620" t="7620" r="12065" b="8890"/>
                <wp:wrapNone/>
                <wp:docPr id="478" name="文本框 478"/>
                <wp:cNvGraphicFramePr/>
                <a:graphic xmlns:a="http://schemas.openxmlformats.org/drawingml/2006/main">
                  <a:graphicData uri="http://schemas.microsoft.com/office/word/2010/wordprocessingShape">
                    <wps:wsp>
                      <wps:cNvSpPr txBox="1"/>
                      <wps:spPr>
                        <a:xfrm>
                          <a:off x="0" y="0"/>
                          <a:ext cx="1440815" cy="313690"/>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hint="eastAsia" w:eastAsia="宋体"/>
                                <w:sz w:val="24"/>
                                <w:szCs w:val="24"/>
                                <w:lang w:val="en-US" w:eastAsia="zh-CN"/>
                              </w:rPr>
                            </w:pPr>
                            <w:r>
                              <w:rPr>
                                <w:rFonts w:hint="eastAsia"/>
                                <w:sz w:val="24"/>
                                <w:szCs w:val="24"/>
                                <w:lang w:val="en-US" w:eastAsia="zh-CN"/>
                              </w:rPr>
                              <w:t>员工</w:t>
                            </w:r>
                          </w:p>
                        </w:txbxContent>
                      </wps:txbx>
                      <wps:bodyPr upright="1"/>
                    </wps:wsp>
                  </a:graphicData>
                </a:graphic>
              </wp:anchor>
            </w:drawing>
          </mc:Choice>
          <mc:Fallback>
            <w:pict>
              <v:shape id="_x0000_s1026" o:spid="_x0000_s1026" o:spt="202" type="#_x0000_t202" style="position:absolute;left:0pt;margin-left:157.15pt;margin-top:15.6pt;height:24.7pt;width:113.45pt;z-index:251664384;mso-width-relative:page;mso-height-relative:page;" fillcolor="#FFFFFF" filled="t" stroked="t" coordsize="21600,21600" o:gfxdata="UEsDBAoAAAAAAIdO4kAAAAAAAAAAAAAAAAAEAAAAZHJzL1BLAwQUAAAACACHTuJAbeAZ7NcAAAAJ&#10;AQAADwAAAGRycy9kb3ducmV2LnhtbE2Py07DMBBF90j8gzVIbBC1kz6oQpwKVeIDWqJ268ZDEtUe&#10;R7bbFL4eZ1V2dzRHd86Um5s17Io+9I4kZDMBDKlxuqdWQv31+boGFqIirYwjlPCDATbV40OpCu1G&#10;2uF1H1uWSigUSkIX41BwHpoOrQozNyCl3bfzVsU0+pZrr8ZUbg3PhVhxq3pKFzo14LbD5ry/WAlL&#10;c8wzH7fD+NJ91Gc81G+H31rK56dMvAOLeIt3GCb9pA5Vcjq5C+nAjIR5tpgndAo5sAQsF1M4SViL&#10;FfCq5P8/qP4AUEsDBBQAAAAIAIdO4kBKoEAFSAIAAMIEAAAOAAAAZHJzL2Uyb0RvYy54bWytVM2O&#10;0zAQviPxDpbvNOlud7dETVeCUi4IEAvi7DpOYsl/8rhN+gLwBpy47J3n6nMwdtJuWSS0B3pIJ56Z&#10;b+b7ZpzFba8V2QkP0pqSTic5JcJwW0nTlPTL5/WLOSUQmKmYskaUdC+A3i6fP1t0rhAXtrWqEp4g&#10;iIGicyVtQ3BFlgFvhWYwsU4YdNbWaxbw1TdZ5VmH6FplF3l+nXXWV85bLgDwdDU46YjonwJo61py&#10;sbJ8q4UJA6oXigWkBK10QJep27oWPHyoaxCBqJIi05CeWATtTXxmywUrGs9cK/nYAntKC484aSYN&#10;Fj1BrVhgZOvlX1Bacm/B1mHCrc4GIkkRZDHNH2lz1zInEheUGtxJdPh/sPz97qMnsirp7AYHb5jG&#10;kR9+fD/8/HW4/0biIUrUOSgw8s5hbOhf2R4X53gOeBiZ97XX8R85EfSjwPuTwKIPhMek2SyfT68o&#10;4ei7nF5ev0wTyB6ynYfwVlhNolFSjwNMurLdOwjYCYYeQ0a5q7VUingbvsrQJsVi2eQEzBkM4iyK&#10;NhyDbzavlSc7hjuxTr/IBZEbOI+e5vGXkP6dkjLHUkoawuJNGlcrSCU+IYmxgGep3VhGGdKhIlfz&#10;m6gHw5tU4wajqR1OA0wzVLZKnlL+aCN1d5QPzsOiQCsG7cAwuYY91zIIj52wohWsemMqEvYO523w&#10;otPYjRYVJUrgdyFaKTIwqZ4SiSIogyrGVRlWIlqh3/QIE82Nrfa4PlvnZdPiaNMCpXBc7UH+4RrG&#10;u3P+nkAfPj3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3gGezXAAAACQEAAA8AAAAAAAAAAQAg&#10;AAAAIgAAAGRycy9kb3ducmV2LnhtbFBLAQIUABQAAAAIAIdO4kBKoEAFSAIAAMIEAAAOAAAAAAAA&#10;AAEAIAAAACYBAABkcnMvZTJvRG9jLnhtbFBLBQYAAAAABgAGAFkBAADgBQAAAAA=&#10;">
                <v:fill type="gradient" on="t" color2="#FFFFFF" angle="90" focus="100%" focussize="0,0">
                  <o:fill type="gradientUnscaled" v:ext="backwardCompatible"/>
                </v:fill>
                <v:stroke weight="1.25pt" color="#000000" joinstyle="miter"/>
                <v:imagedata o:title=""/>
                <o:lock v:ext="edit" aspectratio="f"/>
                <v:textbox>
                  <w:txbxContent>
                    <w:p>
                      <w:pPr>
                        <w:spacing w:line="240" w:lineRule="auto"/>
                        <w:ind w:firstLine="0" w:firstLineChars="0"/>
                        <w:jc w:val="center"/>
                        <w:rPr>
                          <w:rFonts w:hint="eastAsia" w:eastAsia="宋体"/>
                          <w:sz w:val="24"/>
                          <w:szCs w:val="24"/>
                          <w:lang w:val="en-US" w:eastAsia="zh-CN"/>
                        </w:rPr>
                      </w:pPr>
                      <w:r>
                        <w:rPr>
                          <w:rFonts w:hint="eastAsia"/>
                          <w:sz w:val="24"/>
                          <w:szCs w:val="24"/>
                          <w:lang w:val="en-US" w:eastAsia="zh-CN"/>
                        </w:rPr>
                        <w:t>员工</w:t>
                      </w:r>
                    </w:p>
                  </w:txbxContent>
                </v:textbox>
              </v:shape>
            </w:pict>
          </mc:Fallback>
        </mc:AlternateContent>
      </w:r>
    </w:p>
    <w:p>
      <w:pPr>
        <w:snapToGrid/>
        <w:rPr>
          <w:color w:val="000000" w:themeColor="text1"/>
          <w:szCs w:val="28"/>
          <w14:textFill>
            <w14:solidFill>
              <w14:schemeClr w14:val="tx1"/>
            </w14:solidFill>
          </w14:textFill>
        </w:rPr>
      </w:pP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图2-6加油站安全管理网络图</w:t>
      </w:r>
    </w:p>
    <w:p>
      <w:pPr>
        <w:pStyle w:val="4"/>
        <w:ind w:firstLine="562"/>
        <w:rPr>
          <w:color w:val="000000" w:themeColor="text1"/>
          <w14:textFill>
            <w14:solidFill>
              <w14:schemeClr w14:val="tx1"/>
            </w14:solidFill>
          </w14:textFill>
        </w:rPr>
      </w:pPr>
      <w:bookmarkStart w:id="162" w:name="_Toc32608"/>
      <w:bookmarkStart w:id="163" w:name="_Toc236123693"/>
      <w:bookmarkStart w:id="164" w:name="_Toc191728141"/>
      <w:bookmarkStart w:id="165" w:name="_Toc191729701"/>
      <w:bookmarkStart w:id="166" w:name="_Toc191729997"/>
      <w:bookmarkStart w:id="167" w:name="_Toc248220542"/>
      <w:bookmarkStart w:id="168" w:name="_Toc275268743"/>
      <w:bookmarkStart w:id="169" w:name="_Toc6531"/>
      <w:bookmarkStart w:id="170" w:name="_Toc208398699"/>
      <w:bookmarkStart w:id="171" w:name="_Toc235587829"/>
      <w:bookmarkStart w:id="172" w:name="_Toc194389905"/>
      <w:r>
        <w:rPr>
          <w:color w:val="000000" w:themeColor="text1"/>
          <w14:textFill>
            <w14:solidFill>
              <w14:schemeClr w14:val="tx1"/>
            </w14:solidFill>
          </w14:textFill>
        </w:rPr>
        <w:t>安全生产责任制</w:t>
      </w:r>
      <w:bookmarkEnd w:id="162"/>
      <w:bookmarkEnd w:id="163"/>
      <w:bookmarkEnd w:id="164"/>
      <w:bookmarkEnd w:id="165"/>
      <w:bookmarkEnd w:id="166"/>
      <w:bookmarkEnd w:id="167"/>
      <w:bookmarkEnd w:id="168"/>
      <w:bookmarkEnd w:id="169"/>
      <w:bookmarkEnd w:id="170"/>
      <w:bookmarkEnd w:id="171"/>
      <w:bookmarkEnd w:id="172"/>
    </w:p>
    <w:p>
      <w:pPr>
        <w:rPr>
          <w:color w:val="000000" w:themeColor="text1"/>
          <w:lang w:val="zh-CN"/>
          <w14:textFill>
            <w14:solidFill>
              <w14:schemeClr w14:val="tx1"/>
            </w14:solidFill>
          </w14:textFill>
        </w:rPr>
      </w:pPr>
      <w:bookmarkStart w:id="173" w:name="_Toc191728142"/>
      <w:bookmarkStart w:id="174" w:name="_Toc194389906"/>
      <w:bookmarkStart w:id="175" w:name="_Toc236123694"/>
      <w:bookmarkStart w:id="176" w:name="_Toc208398700"/>
      <w:bookmarkStart w:id="177" w:name="_Toc235587830"/>
      <w:bookmarkStart w:id="178" w:name="_Toc191729702"/>
      <w:bookmarkStart w:id="179" w:name="_Toc191729998"/>
      <w:bookmarkStart w:id="180" w:name="_Toc275268744"/>
      <w:bookmarkStart w:id="181" w:name="_Toc248220543"/>
      <w:r>
        <w:rPr>
          <w:color w:val="000000" w:themeColor="text1"/>
          <w:lang w:val="zh-CN"/>
          <w14:textFill>
            <w14:solidFill>
              <w14:schemeClr w14:val="tx1"/>
            </w14:solidFill>
          </w14:textFill>
        </w:rPr>
        <w:t>加油站根据国家相关要求</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建立了以下岗位职责：</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安全生产领导小组的职责</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.主要负责人的安全职责</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站长的安全职责</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4.安全员</w:t>
      </w:r>
      <w:r>
        <w:rPr>
          <w:rFonts w:hint="eastAsia"/>
          <w:color w:val="000000" w:themeColor="text1"/>
          <w14:textFill>
            <w14:solidFill>
              <w14:schemeClr w14:val="tx1"/>
            </w14:solidFill>
          </w14:textFill>
        </w:rPr>
        <w:t>的安全职责</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加油员的安全职责</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卸油员的安全职责</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7.计量员</w:t>
      </w:r>
      <w:r>
        <w:rPr>
          <w:rFonts w:hint="eastAsia"/>
          <w:color w:val="000000" w:themeColor="text1"/>
          <w14:textFill>
            <w14:solidFill>
              <w14:schemeClr w14:val="tx1"/>
            </w14:solidFill>
          </w14:textFill>
        </w:rPr>
        <w:t>的安全职责</w:t>
      </w:r>
    </w:p>
    <w:p>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收银员的安全职责</w:t>
      </w:r>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t>加油站已经按照相关主管部门的要求</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组织员工进行培训学习</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并将岗位职责落实到个人。</w:t>
      </w:r>
    </w:p>
    <w:p>
      <w:pPr>
        <w:pStyle w:val="4"/>
        <w:ind w:firstLine="562"/>
        <w:rPr>
          <w:color w:val="000000" w:themeColor="text1"/>
          <w14:textFill>
            <w14:solidFill>
              <w14:schemeClr w14:val="tx1"/>
            </w14:solidFill>
          </w14:textFill>
        </w:rPr>
      </w:pPr>
      <w:bookmarkStart w:id="182" w:name="_Toc7697"/>
      <w:bookmarkStart w:id="183" w:name="_Toc19363"/>
      <w:r>
        <w:rPr>
          <w:color w:val="000000" w:themeColor="text1"/>
          <w14:textFill>
            <w14:solidFill>
              <w14:schemeClr w14:val="tx1"/>
            </w14:solidFill>
          </w14:textFill>
        </w:rPr>
        <w:t>安全管理制度</w:t>
      </w:r>
      <w:bookmarkEnd w:id="173"/>
      <w:bookmarkEnd w:id="174"/>
      <w:bookmarkEnd w:id="175"/>
      <w:bookmarkEnd w:id="176"/>
      <w:bookmarkEnd w:id="177"/>
      <w:bookmarkEnd w:id="178"/>
      <w:bookmarkEnd w:id="179"/>
      <w:bookmarkEnd w:id="180"/>
      <w:bookmarkEnd w:id="181"/>
      <w:bookmarkEnd w:id="182"/>
      <w:bookmarkEnd w:id="183"/>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丘北天星正才加油站根据国家相关要求并结合加油站实际情况，组织制定了以下安全生产管理制度：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识别和获取安全生产法律法规管理制度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安全生产责任制管理制度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安全生产责任制考核制度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安全会议管理制度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领导干部带班制度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安全生产奖惩管理制度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安全生产费用管理制度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安全风险抵押金管理制度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风险评价管理制度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重大危险源管理制度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11.</w:t>
      </w:r>
      <w:r>
        <w:rPr>
          <w:rFonts w:hint="eastAsia"/>
          <w:color w:val="000000" w:themeColor="text1"/>
          <w14:textFill>
            <w14:solidFill>
              <w14:schemeClr w14:val="tx1"/>
            </w14:solidFill>
          </w14:textFill>
        </w:rPr>
        <w:t>供应商管理制度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管理制度、操作规程的评审和修订制度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13.</w:t>
      </w:r>
      <w:r>
        <w:rPr>
          <w:rFonts w:hint="eastAsia"/>
          <w:color w:val="000000" w:themeColor="text1"/>
          <w14:textFill>
            <w14:solidFill>
              <w14:schemeClr w14:val="tx1"/>
            </w14:solidFill>
          </w14:textFill>
        </w:rPr>
        <w:t>文件档案管理制度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安全培训教育管理制度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安全活动管理制度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特种作业人员安全管理制度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17.</w:t>
      </w:r>
      <w:r>
        <w:rPr>
          <w:rFonts w:hint="eastAsia"/>
          <w:color w:val="000000" w:themeColor="text1"/>
          <w14:textFill>
            <w14:solidFill>
              <w14:schemeClr w14:val="tx1"/>
            </w14:solidFill>
          </w14:textFill>
        </w:rPr>
        <w:t>建设项目安全设施“三同时”管理制度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18.</w:t>
      </w:r>
      <w:r>
        <w:rPr>
          <w:rFonts w:hint="eastAsia"/>
          <w:color w:val="000000" w:themeColor="text1"/>
          <w14:textFill>
            <w14:solidFill>
              <w14:schemeClr w14:val="tx1"/>
            </w14:solidFill>
          </w14:textFill>
        </w:rPr>
        <w:t>生产设施管理制度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19.</w:t>
      </w:r>
      <w:r>
        <w:rPr>
          <w:rFonts w:hint="eastAsia"/>
          <w:color w:val="000000" w:themeColor="text1"/>
          <w14:textFill>
            <w14:solidFill>
              <w14:schemeClr w14:val="tx1"/>
            </w14:solidFill>
          </w14:textFill>
        </w:rPr>
        <w:t>监视和测量设备管理制度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20.</w:t>
      </w:r>
      <w:r>
        <w:rPr>
          <w:rFonts w:hint="eastAsia"/>
          <w:color w:val="000000" w:themeColor="text1"/>
          <w14:textFill>
            <w14:solidFill>
              <w14:schemeClr w14:val="tx1"/>
            </w14:solidFill>
          </w14:textFill>
        </w:rPr>
        <w:t>检维修管理制度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21.</w:t>
      </w:r>
      <w:r>
        <w:rPr>
          <w:rFonts w:hint="eastAsia"/>
          <w:color w:val="000000" w:themeColor="text1"/>
          <w14:textFill>
            <w14:solidFill>
              <w14:schemeClr w14:val="tx1"/>
            </w14:solidFill>
          </w14:textFill>
        </w:rPr>
        <w:t>防雷、防静电、电气设备管理制度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22.</w:t>
      </w:r>
      <w:r>
        <w:rPr>
          <w:rFonts w:hint="eastAsia"/>
          <w:color w:val="000000" w:themeColor="text1"/>
          <w14:textFill>
            <w14:solidFill>
              <w14:schemeClr w14:val="tx1"/>
            </w14:solidFill>
          </w14:textFill>
        </w:rPr>
        <w:t>电器线路安全管理制度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23.</w:t>
      </w:r>
      <w:r>
        <w:rPr>
          <w:rFonts w:hint="eastAsia"/>
          <w:color w:val="000000" w:themeColor="text1"/>
          <w14:textFill>
            <w14:solidFill>
              <w14:schemeClr w14:val="tx1"/>
            </w14:solidFill>
          </w14:textFill>
        </w:rPr>
        <w:t>用火用电安全管理制度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24.</w:t>
      </w:r>
      <w:r>
        <w:rPr>
          <w:rFonts w:hint="eastAsia"/>
          <w:color w:val="000000" w:themeColor="text1"/>
          <w14:textFill>
            <w14:solidFill>
              <w14:schemeClr w14:val="tx1"/>
            </w14:solidFill>
          </w14:textFill>
        </w:rPr>
        <w:t>设备器材维护、管理制度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25.</w:t>
      </w:r>
      <w:r>
        <w:rPr>
          <w:rFonts w:hint="eastAsia"/>
          <w:color w:val="000000" w:themeColor="text1"/>
          <w14:textFill>
            <w14:solidFill>
              <w14:schemeClr w14:val="tx1"/>
            </w14:solidFill>
          </w14:textFill>
        </w:rPr>
        <w:t>消防安全管理制度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26.</w:t>
      </w:r>
      <w:r>
        <w:rPr>
          <w:rFonts w:hint="eastAsia"/>
          <w:color w:val="000000" w:themeColor="text1"/>
          <w14:textFill>
            <w14:solidFill>
              <w14:schemeClr w14:val="tx1"/>
            </w14:solidFill>
          </w14:textFill>
        </w:rPr>
        <w:t>加油站接卸油管理制度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27.</w:t>
      </w:r>
      <w:r>
        <w:rPr>
          <w:rFonts w:hint="eastAsia"/>
          <w:color w:val="000000" w:themeColor="text1"/>
          <w14:textFill>
            <w14:solidFill>
              <w14:schemeClr w14:val="tx1"/>
            </w14:solidFill>
          </w14:textFill>
        </w:rPr>
        <w:t>关键装置、重点部位安全管理制度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28.</w:t>
      </w:r>
      <w:r>
        <w:rPr>
          <w:rFonts w:hint="eastAsia"/>
          <w:color w:val="000000" w:themeColor="text1"/>
          <w14:textFill>
            <w14:solidFill>
              <w14:schemeClr w14:val="tx1"/>
            </w14:solidFill>
          </w14:textFill>
        </w:rPr>
        <w:t>加油机维护管理制度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29.</w:t>
      </w:r>
      <w:r>
        <w:rPr>
          <w:rFonts w:hint="eastAsia"/>
          <w:color w:val="000000" w:themeColor="text1"/>
          <w14:textFill>
            <w14:solidFill>
              <w14:schemeClr w14:val="tx1"/>
            </w14:solidFill>
          </w14:textFill>
        </w:rPr>
        <w:t>特种设备安全管理制度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生产设施的报废和拆除管理制度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31.</w:t>
      </w:r>
      <w:r>
        <w:rPr>
          <w:rFonts w:hint="eastAsia"/>
          <w:color w:val="000000" w:themeColor="text1"/>
          <w14:textFill>
            <w14:solidFill>
              <w14:schemeClr w14:val="tx1"/>
            </w14:solidFill>
          </w14:textFill>
        </w:rPr>
        <w:t>特殊作业安全管理制度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32.</w:t>
      </w:r>
      <w:r>
        <w:rPr>
          <w:rFonts w:hint="eastAsia"/>
          <w:color w:val="000000" w:themeColor="text1"/>
          <w14:textFill>
            <w14:solidFill>
              <w14:schemeClr w14:val="tx1"/>
            </w14:solidFill>
          </w14:textFill>
        </w:rPr>
        <w:t>防火、防爆、禁烟管理制度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33.</w:t>
      </w:r>
      <w:r>
        <w:rPr>
          <w:rFonts w:hint="eastAsia"/>
          <w:color w:val="000000" w:themeColor="text1"/>
          <w14:textFill>
            <w14:solidFill>
              <w14:schemeClr w14:val="tx1"/>
            </w14:solidFill>
          </w14:textFill>
        </w:rPr>
        <w:t>仓库、罐区安全管理制度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34.</w:t>
      </w:r>
      <w:r>
        <w:rPr>
          <w:rFonts w:hint="eastAsia"/>
          <w:color w:val="000000" w:themeColor="text1"/>
          <w14:textFill>
            <w14:solidFill>
              <w14:schemeClr w14:val="tx1"/>
            </w14:solidFill>
          </w14:textFill>
        </w:rPr>
        <w:t>安全警示标志管理制度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35.</w:t>
      </w:r>
      <w:r>
        <w:rPr>
          <w:rFonts w:hint="eastAsia"/>
          <w:color w:val="000000" w:themeColor="text1"/>
          <w14:textFill>
            <w14:solidFill>
              <w14:schemeClr w14:val="tx1"/>
            </w14:solidFill>
          </w14:textFill>
        </w:rPr>
        <w:t>加油站交通安全管理制度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36.</w:t>
      </w:r>
      <w:r>
        <w:rPr>
          <w:rFonts w:hint="eastAsia"/>
          <w:color w:val="000000" w:themeColor="text1"/>
          <w14:textFill>
            <w14:solidFill>
              <w14:schemeClr w14:val="tx1"/>
            </w14:solidFill>
          </w14:textFill>
        </w:rPr>
        <w:t>承包商管理制度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37.</w:t>
      </w:r>
      <w:r>
        <w:rPr>
          <w:rFonts w:hint="eastAsia"/>
          <w:color w:val="000000" w:themeColor="text1"/>
          <w14:textFill>
            <w14:solidFill>
              <w14:schemeClr w14:val="tx1"/>
            </w14:solidFill>
          </w14:textFill>
        </w:rPr>
        <w:t>变更管理制度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38.</w:t>
      </w:r>
      <w:r>
        <w:rPr>
          <w:rFonts w:hint="eastAsia"/>
          <w:color w:val="000000" w:themeColor="text1"/>
          <w14:textFill>
            <w14:solidFill>
              <w14:schemeClr w14:val="tx1"/>
            </w14:solidFill>
          </w14:textFill>
        </w:rPr>
        <w:t>职业病防治责任制度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39.</w:t>
      </w:r>
      <w:r>
        <w:rPr>
          <w:rFonts w:hint="eastAsia"/>
          <w:color w:val="000000" w:themeColor="text1"/>
          <w14:textFill>
            <w14:solidFill>
              <w14:schemeClr w14:val="tx1"/>
            </w14:solidFill>
          </w14:textFill>
        </w:rPr>
        <w:t>职业病危害警示、告知、宣传教育培训制度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40.</w:t>
      </w:r>
      <w:r>
        <w:rPr>
          <w:rFonts w:hint="eastAsia"/>
          <w:color w:val="000000" w:themeColor="text1"/>
          <w14:textFill>
            <w14:solidFill>
              <w14:schemeClr w14:val="tx1"/>
            </w14:solidFill>
          </w14:textFill>
        </w:rPr>
        <w:t>职业病危害项目申报制度</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41.</w:t>
      </w:r>
      <w:r>
        <w:rPr>
          <w:rFonts w:hint="eastAsia"/>
          <w:color w:val="000000" w:themeColor="text1"/>
          <w14:textFill>
            <w14:solidFill>
              <w14:schemeClr w14:val="tx1"/>
            </w14:solidFill>
          </w14:textFill>
        </w:rPr>
        <w:t>职业病防护设施维护检修制度</w:t>
      </w:r>
    </w:p>
    <w:p>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42.</w:t>
      </w:r>
      <w:r>
        <w:rPr>
          <w:rFonts w:hint="eastAsia"/>
          <w:color w:val="000000" w:themeColor="text1"/>
          <w14:textFill>
            <w14:solidFill>
              <w14:schemeClr w14:val="tx1"/>
            </w14:solidFill>
          </w14:textFill>
        </w:rPr>
        <w:t>劳动防护用品管理制度</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加油站已经按照相关主管部门的要求，组织员工参加培训学习。</w:t>
      </w:r>
    </w:p>
    <w:p>
      <w:pPr>
        <w:pStyle w:val="4"/>
        <w:ind w:firstLine="562"/>
        <w:rPr>
          <w:color w:val="000000" w:themeColor="text1"/>
          <w14:textFill>
            <w14:solidFill>
              <w14:schemeClr w14:val="tx1"/>
            </w14:solidFill>
          </w14:textFill>
        </w:rPr>
      </w:pPr>
      <w:bookmarkStart w:id="184" w:name="_Toc248220544"/>
      <w:bookmarkStart w:id="185" w:name="_Toc235587831"/>
      <w:bookmarkStart w:id="186" w:name="_Toc191729703"/>
      <w:bookmarkStart w:id="187" w:name="_Toc208398701"/>
      <w:bookmarkStart w:id="188" w:name="_Toc24382"/>
      <w:bookmarkStart w:id="189" w:name="_Toc191728143"/>
      <w:bookmarkStart w:id="190" w:name="_Toc275268745"/>
      <w:bookmarkStart w:id="191" w:name="_Toc11618"/>
      <w:bookmarkStart w:id="192" w:name="_Toc194389907"/>
      <w:bookmarkStart w:id="193" w:name="_Toc236123695"/>
      <w:bookmarkStart w:id="194" w:name="_Toc191729999"/>
      <w:r>
        <w:rPr>
          <w:color w:val="000000" w:themeColor="text1"/>
          <w14:textFill>
            <w14:solidFill>
              <w14:schemeClr w14:val="tx1"/>
            </w14:solidFill>
          </w14:textFill>
        </w:rPr>
        <w:t>安全操作规程</w:t>
      </w:r>
      <w:bookmarkEnd w:id="184"/>
      <w:bookmarkEnd w:id="185"/>
      <w:bookmarkEnd w:id="186"/>
      <w:bookmarkEnd w:id="187"/>
      <w:bookmarkEnd w:id="188"/>
      <w:bookmarkEnd w:id="189"/>
      <w:bookmarkEnd w:id="190"/>
      <w:bookmarkEnd w:id="191"/>
      <w:bookmarkEnd w:id="192"/>
      <w:bookmarkEnd w:id="193"/>
      <w:bookmarkEnd w:id="194"/>
    </w:p>
    <w:p>
      <w:pPr>
        <w:rPr>
          <w:rFonts w:hint="eastAsia"/>
          <w:color w:val="000000" w:themeColor="text1"/>
          <w:lang w:val="en-GB" w:eastAsia="zh-CN"/>
          <w14:textFill>
            <w14:solidFill>
              <w14:schemeClr w14:val="tx1"/>
            </w14:solidFill>
          </w14:textFill>
        </w:rPr>
      </w:pPr>
      <w:bookmarkStart w:id="195" w:name="_Toc25131"/>
      <w:bookmarkStart w:id="196" w:name="_Toc154069644"/>
      <w:bookmarkStart w:id="197" w:name="_Toc342511263"/>
      <w:bookmarkStart w:id="198" w:name="_Toc235587832"/>
      <w:bookmarkStart w:id="199" w:name="_Toc275268746"/>
      <w:bookmarkStart w:id="200" w:name="_Toc236123696"/>
      <w:bookmarkStart w:id="201" w:name="_Toc248220545"/>
      <w:r>
        <w:rPr>
          <w:rFonts w:hint="eastAsia"/>
          <w:color w:val="000000" w:themeColor="text1"/>
          <w:lang w:val="en-US" w:eastAsia="zh-CN"/>
          <w14:textFill>
            <w14:solidFill>
              <w14:schemeClr w14:val="tx1"/>
            </w14:solidFill>
          </w14:textFill>
        </w:rPr>
        <w:t>1.</w:t>
      </w:r>
      <w:r>
        <w:rPr>
          <w:rFonts w:hint="eastAsia"/>
          <w:color w:val="000000" w:themeColor="text1"/>
          <w:lang w:val="en-GB" w:eastAsia="zh-CN"/>
          <w14:textFill>
            <w14:solidFill>
              <w14:schemeClr w14:val="tx1"/>
            </w14:solidFill>
          </w14:textFill>
        </w:rPr>
        <w:t>加油岗位安全操作规程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lang w:val="en-GB" w:eastAsia="zh-CN"/>
          <w14:textFill>
            <w14:solidFill>
              <w14:schemeClr w14:val="tx1"/>
            </w14:solidFill>
          </w14:textFill>
        </w:rPr>
        <w:t>卸油岗位安全操作规程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lang w:val="en-GB" w:eastAsia="zh-CN"/>
          <w14:textFill>
            <w14:solidFill>
              <w14:schemeClr w14:val="tx1"/>
            </w14:solidFill>
          </w14:textFill>
        </w:rPr>
        <w:t>变配电室岗位安全操作规程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lang w:val="en-GB" w:eastAsia="zh-CN"/>
          <w14:textFill>
            <w14:solidFill>
              <w14:schemeClr w14:val="tx1"/>
            </w14:solidFill>
          </w14:textFill>
        </w:rPr>
        <w:t>发电机岗位安全操作规程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lang w:val="en-GB" w:eastAsia="zh-CN"/>
          <w14:textFill>
            <w14:solidFill>
              <w14:schemeClr w14:val="tx1"/>
            </w14:solidFill>
          </w14:textFill>
        </w:rPr>
        <w:t>油罐清洗安全规程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lang w:val="en-GB" w:eastAsia="zh-CN"/>
          <w14:textFill>
            <w14:solidFill>
              <w14:schemeClr w14:val="tx1"/>
            </w14:solidFill>
          </w14:textFill>
        </w:rPr>
        <w:t>检维修作业安全规程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lang w:val="en-GB" w:eastAsia="zh-CN"/>
          <w14:textFill>
            <w14:solidFill>
              <w14:schemeClr w14:val="tx1"/>
            </w14:solidFill>
          </w14:textFill>
        </w:rPr>
        <w:t>计量岗位安全操作规程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lang w:val="en-GB" w:eastAsia="zh-CN"/>
          <w14:textFill>
            <w14:solidFill>
              <w14:schemeClr w14:val="tx1"/>
            </w14:solidFill>
          </w14:textFill>
        </w:rPr>
        <w:t>收银岗位安全操作规程</w:t>
      </w:r>
    </w:p>
    <w:p>
      <w:pPr>
        <w:rPr>
          <w:rFonts w:hint="eastAsia"/>
          <w:color w:val="000000" w:themeColor="text1"/>
          <w:lang w:val="en-GB" w:eastAsia="zh-CN"/>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lang w:val="en-GB" w:eastAsia="zh-CN"/>
          <w14:textFill>
            <w14:solidFill>
              <w14:schemeClr w14:val="tx1"/>
            </w14:solidFill>
          </w14:textFill>
        </w:rPr>
        <w:t>特殊情况处理规程</w:t>
      </w:r>
    </w:p>
    <w:p>
      <w:pPr>
        <w:pStyle w:val="4"/>
        <w:ind w:firstLine="560" w:firstLineChars="200"/>
        <w:rPr>
          <w:color w:val="000000" w:themeColor="text1"/>
          <w14:textFill>
            <w14:solidFill>
              <w14:schemeClr w14:val="tx1"/>
            </w14:solidFill>
          </w14:textFill>
        </w:rPr>
      </w:pPr>
      <w:bookmarkStart w:id="202" w:name="_Toc13049"/>
      <w:r>
        <w:rPr>
          <w:rFonts w:hint="eastAsia"/>
          <w:color w:val="000000" w:themeColor="text1"/>
          <w14:textFill>
            <w14:solidFill>
              <w14:schemeClr w14:val="tx1"/>
            </w14:solidFill>
          </w14:textFill>
        </w:rPr>
        <w:t>工作制度</w:t>
      </w:r>
      <w:bookmarkEnd w:id="195"/>
      <w:bookmarkEnd w:id="196"/>
      <w:bookmarkEnd w:id="197"/>
      <w:bookmarkEnd w:id="202"/>
    </w:p>
    <w:p>
      <w:pPr>
        <w:rPr>
          <w:color w:val="000000" w:themeColor="text1"/>
          <w14:textFill>
            <w14:solidFill>
              <w14:schemeClr w14:val="tx1"/>
            </w14:solidFill>
          </w14:textFill>
        </w:rPr>
      </w:pPr>
      <w:r>
        <w:rPr>
          <w:rFonts w:hint="eastAsia"/>
          <w:color w:val="000000" w:themeColor="text1"/>
          <w:lang w:val="en-GB" w:eastAsia="zh-CN"/>
          <w14:textFill>
            <w14:solidFill>
              <w14:schemeClr w14:val="tx1"/>
            </w14:solidFill>
          </w14:textFill>
        </w:rPr>
        <w:t>丘北天星正才加油站</w:t>
      </w:r>
      <w:r>
        <w:rPr>
          <w:rFonts w:hint="eastAsia"/>
          <w:color w:val="000000" w:themeColor="text1"/>
          <w14:textFill>
            <w14:solidFill>
              <w14:schemeClr w14:val="tx1"/>
            </w14:solidFill>
          </w14:textFill>
        </w:rPr>
        <w:t>目前拥有员工</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人</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白班3人，晚上1人值班</w:t>
      </w:r>
      <w:r>
        <w:rPr>
          <w:rFonts w:hint="eastAsia"/>
          <w:color w:val="000000" w:themeColor="text1"/>
          <w14:textFill>
            <w14:solidFill>
              <w14:schemeClr w14:val="tx1"/>
            </w14:solidFill>
          </w14:textFill>
        </w:rPr>
        <w:t>，</w:t>
      </w:r>
      <w:r>
        <w:rPr>
          <w:rFonts w:hint="eastAsia"/>
          <w:color w:val="000000" w:themeColor="text1"/>
          <w:lang w:val="en-GB"/>
          <w14:textFill>
            <w14:solidFill>
              <w14:schemeClr w14:val="tx1"/>
            </w14:solidFill>
          </w14:textFill>
        </w:rPr>
        <w:t>实行</w:t>
      </w:r>
      <w:r>
        <w:rPr>
          <w:color w:val="000000" w:themeColor="text1"/>
          <w14:textFill>
            <w14:solidFill>
              <w14:schemeClr w14:val="tx1"/>
            </w14:solidFill>
          </w14:textFill>
        </w:rPr>
        <w:t>1</w:t>
      </w:r>
      <w:r>
        <w:rPr>
          <w:rFonts w:hint="eastAsia"/>
          <w:color w:val="000000" w:themeColor="text1"/>
          <w:lang w:val="en-GB"/>
          <w14:textFill>
            <w14:solidFill>
              <w14:schemeClr w14:val="tx1"/>
            </w14:solidFill>
          </w14:textFill>
        </w:rPr>
        <w:t>班制。</w:t>
      </w:r>
    </w:p>
    <w:p>
      <w:pPr>
        <w:pStyle w:val="4"/>
        <w:ind w:firstLine="562"/>
        <w:rPr>
          <w:color w:val="000000" w:themeColor="text1"/>
          <w14:textFill>
            <w14:solidFill>
              <w14:schemeClr w14:val="tx1"/>
            </w14:solidFill>
          </w14:textFill>
        </w:rPr>
      </w:pPr>
      <w:bookmarkStart w:id="203" w:name="_Toc11544"/>
      <w:bookmarkStart w:id="204" w:name="_Toc26241"/>
      <w:r>
        <w:rPr>
          <w:rFonts w:hint="eastAsia"/>
          <w:color w:val="000000" w:themeColor="text1"/>
          <w14:textFill>
            <w14:solidFill>
              <w14:schemeClr w14:val="tx1"/>
            </w14:solidFill>
          </w14:textFill>
        </w:rPr>
        <w:t>安全管理台账</w:t>
      </w:r>
      <w:bookmarkEnd w:id="198"/>
      <w:bookmarkEnd w:id="199"/>
      <w:bookmarkEnd w:id="200"/>
      <w:bookmarkEnd w:id="201"/>
      <w:bookmarkEnd w:id="203"/>
      <w:bookmarkEnd w:id="20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安全管理台账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劳动用品发放记录</w:t>
      </w:r>
      <w:r>
        <w:rPr>
          <w:color w:val="000000" w:themeColor="text1"/>
          <w14:textFill>
            <w14:solidFill>
              <w14:schemeClr w14:val="tx1"/>
            </w14:solidFill>
          </w14:textFill>
        </w:rPr>
        <w:t>、安全教育培训记录</w:t>
      </w:r>
      <w:r>
        <w:rPr>
          <w:rFonts w:hint="eastAsia"/>
          <w:color w:val="000000" w:themeColor="text1"/>
          <w14:textFill>
            <w14:solidFill>
              <w14:schemeClr w14:val="tx1"/>
            </w14:solidFill>
          </w14:textFill>
        </w:rPr>
        <w:t>、应急预案演练记录等</w:t>
      </w:r>
      <w:r>
        <w:rPr>
          <w:color w:val="000000" w:themeColor="text1"/>
          <w14:textFill>
            <w14:solidFill>
              <w14:schemeClr w14:val="tx1"/>
            </w14:solidFill>
          </w14:textFill>
        </w:rPr>
        <w:t>。</w:t>
      </w:r>
    </w:p>
    <w:p>
      <w:pPr>
        <w:pStyle w:val="4"/>
        <w:ind w:firstLine="562"/>
        <w:rPr>
          <w:color w:val="000000" w:themeColor="text1"/>
          <w14:textFill>
            <w14:solidFill>
              <w14:schemeClr w14:val="tx1"/>
            </w14:solidFill>
          </w14:textFill>
        </w:rPr>
      </w:pPr>
      <w:bookmarkStart w:id="205" w:name="_Toc385497279"/>
      <w:bookmarkStart w:id="206" w:name="_Toc8749"/>
      <w:bookmarkStart w:id="207" w:name="_Toc27237"/>
      <w:bookmarkStart w:id="208" w:name="_Toc195176731"/>
      <w:bookmarkStart w:id="209" w:name="_Toc211394825"/>
      <w:r>
        <w:rPr>
          <w:rFonts w:hint="eastAsia"/>
          <w:color w:val="000000" w:themeColor="text1"/>
          <w14:textFill>
            <w14:solidFill>
              <w14:schemeClr w14:val="tx1"/>
            </w14:solidFill>
          </w14:textFill>
        </w:rPr>
        <w:t>人员培训情况</w:t>
      </w:r>
      <w:bookmarkEnd w:id="205"/>
      <w:bookmarkEnd w:id="206"/>
      <w:bookmarkEnd w:id="207"/>
    </w:p>
    <w:bookmarkEnd w:id="208"/>
    <w:bookmarkEnd w:id="209"/>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该站主要负责人</w:t>
      </w:r>
      <w:r>
        <w:rPr>
          <w:color w:val="000000" w:themeColor="text1"/>
          <w14:textFill>
            <w14:solidFill>
              <w14:schemeClr w14:val="tx1"/>
            </w14:solidFill>
          </w14:textFill>
        </w:rPr>
        <w:t>经过</w:t>
      </w:r>
      <w:r>
        <w:rPr>
          <w:rFonts w:hint="eastAsia"/>
          <w:color w:val="000000" w:themeColor="text1"/>
          <w14:textFill>
            <w14:solidFill>
              <w14:schemeClr w14:val="tx1"/>
            </w14:solidFill>
          </w14:textFill>
        </w:rPr>
        <w:t>相关</w:t>
      </w:r>
      <w:r>
        <w:rPr>
          <w:color w:val="000000" w:themeColor="text1"/>
          <w14:textFill>
            <w14:solidFill>
              <w14:schemeClr w14:val="tx1"/>
            </w14:solidFill>
          </w14:textFill>
        </w:rPr>
        <w:t>部门组织的安全培训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从业人员同时经过</w:t>
      </w:r>
      <w:r>
        <w:rPr>
          <w:rFonts w:hint="eastAsia"/>
          <w:color w:val="000000" w:themeColor="text1"/>
          <w14:textFill>
            <w14:solidFill>
              <w14:schemeClr w14:val="tx1"/>
            </w14:solidFill>
          </w14:textFill>
        </w:rPr>
        <w:t>站</w:t>
      </w:r>
      <w:r>
        <w:rPr>
          <w:color w:val="000000" w:themeColor="text1"/>
          <w14:textFill>
            <w14:solidFill>
              <w14:schemeClr w14:val="tx1"/>
            </w14:solidFill>
          </w14:textFill>
        </w:rPr>
        <w:t>内部安全培训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加油站</w:t>
      </w:r>
      <w:r>
        <w:rPr>
          <w:rFonts w:hint="eastAsia"/>
          <w:color w:val="000000" w:themeColor="text1"/>
          <w14:textFill>
            <w14:solidFill>
              <w14:schemeClr w14:val="tx1"/>
            </w14:solidFill>
          </w14:textFill>
        </w:rPr>
        <w:t>持证人员</w:t>
      </w:r>
      <w:r>
        <w:rPr>
          <w:color w:val="000000" w:themeColor="text1"/>
          <w14:textFill>
            <w14:solidFill>
              <w14:schemeClr w14:val="tx1"/>
            </w14:solidFill>
          </w14:textFill>
        </w:rPr>
        <w:t>情况见表2-</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表2-9 </w:t>
      </w:r>
      <w:r>
        <w:rPr>
          <w:color w:val="000000" w:themeColor="text1"/>
          <w14:textFill>
            <w14:solidFill>
              <w14:schemeClr w14:val="tx1"/>
            </w14:solidFill>
          </w14:textFill>
        </w:rPr>
        <w:t>加油站持证人员情况一览表</w:t>
      </w:r>
    </w:p>
    <w:tbl>
      <w:tblPr>
        <w:tblStyle w:val="3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87"/>
        <w:gridCol w:w="1645"/>
        <w:gridCol w:w="2210"/>
        <w:gridCol w:w="201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姓名</w:t>
            </w:r>
          </w:p>
        </w:tc>
        <w:tc>
          <w:tcPr>
            <w:tcW w:w="887"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性别</w:t>
            </w:r>
          </w:p>
        </w:tc>
        <w:tc>
          <w:tcPr>
            <w:tcW w:w="164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职务或职称</w:t>
            </w:r>
          </w:p>
        </w:tc>
        <w:tc>
          <w:tcPr>
            <w:tcW w:w="221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证书编号</w:t>
            </w:r>
          </w:p>
        </w:tc>
        <w:tc>
          <w:tcPr>
            <w:tcW w:w="201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发证机关</w:t>
            </w:r>
          </w:p>
        </w:tc>
        <w:tc>
          <w:tcPr>
            <w:tcW w:w="131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pPr>
              <w:pStyle w:val="77"/>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梁正才</w:t>
            </w:r>
          </w:p>
        </w:tc>
        <w:tc>
          <w:tcPr>
            <w:tcW w:w="88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男</w:t>
            </w:r>
          </w:p>
        </w:tc>
        <w:tc>
          <w:tcPr>
            <w:tcW w:w="1645" w:type="dxa"/>
            <w:vAlign w:val="center"/>
          </w:tcPr>
          <w:p>
            <w:pPr>
              <w:pStyle w:val="77"/>
              <w:rPr>
                <w:rFonts w:hint="eastAsia" w:eastAsia="宋体"/>
                <w:color w:val="000000" w:themeColor="text1"/>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法定代表人</w:t>
            </w:r>
          </w:p>
        </w:tc>
        <w:tc>
          <w:tcPr>
            <w:tcW w:w="221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532626196904170758</w:t>
            </w:r>
          </w:p>
        </w:tc>
        <w:tc>
          <w:tcPr>
            <w:tcW w:w="201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文山州应急管理局</w:t>
            </w:r>
          </w:p>
        </w:tc>
        <w:tc>
          <w:tcPr>
            <w:tcW w:w="131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2025</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11</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pPr>
              <w:pStyle w:val="77"/>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陈清忠</w:t>
            </w:r>
          </w:p>
        </w:tc>
        <w:tc>
          <w:tcPr>
            <w:tcW w:w="88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男</w:t>
            </w:r>
          </w:p>
        </w:tc>
        <w:tc>
          <w:tcPr>
            <w:tcW w:w="1645" w:type="dxa"/>
            <w:vAlign w:val="center"/>
          </w:tcPr>
          <w:p>
            <w:pPr>
              <w:pStyle w:val="7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站长</w:t>
            </w:r>
          </w:p>
        </w:tc>
        <w:tc>
          <w:tcPr>
            <w:tcW w:w="221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350322197207160535</w:t>
            </w:r>
          </w:p>
        </w:tc>
        <w:tc>
          <w:tcPr>
            <w:tcW w:w="201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文山州应急管理局</w:t>
            </w:r>
          </w:p>
        </w:tc>
        <w:tc>
          <w:tcPr>
            <w:tcW w:w="1318" w:type="dxa"/>
            <w:vAlign w:val="center"/>
          </w:tcPr>
          <w:p>
            <w:pPr>
              <w:pStyle w:val="77"/>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2025</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11</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vAlign w:val="center"/>
          </w:tcPr>
          <w:p>
            <w:pPr>
              <w:pStyle w:val="77"/>
              <w:rPr>
                <w:rFonts w:hint="eastAsia"/>
                <w:color w:val="000000" w:themeColor="text1"/>
                <w:lang w:eastAsia="zh-CN"/>
                <w14:textFill>
                  <w14:solidFill>
                    <w14:schemeClr w14:val="tx1"/>
                  </w14:solidFill>
                </w14:textFill>
              </w:rPr>
            </w:pPr>
            <w:bookmarkStart w:id="210" w:name="_Toc19637"/>
            <w:bookmarkStart w:id="211" w:name="_Toc236123697"/>
            <w:bookmarkStart w:id="212" w:name="_Toc194389908"/>
            <w:bookmarkStart w:id="213" w:name="_Toc275268747"/>
            <w:bookmarkStart w:id="214" w:name="_Toc235587833"/>
            <w:bookmarkStart w:id="215" w:name="_Toc248220546"/>
            <w:bookmarkStart w:id="216" w:name="_Toc208398702"/>
            <w:r>
              <w:rPr>
                <w:rFonts w:hint="eastAsia"/>
                <w:color w:val="000000" w:themeColor="text1"/>
                <w:lang w:eastAsia="zh-CN"/>
                <w14:textFill>
                  <w14:solidFill>
                    <w14:schemeClr w14:val="tx1"/>
                  </w14:solidFill>
                </w14:textFill>
              </w:rPr>
              <w:t>高鹏</w:t>
            </w:r>
          </w:p>
        </w:tc>
        <w:tc>
          <w:tcPr>
            <w:tcW w:w="887" w:type="dxa"/>
            <w:vAlign w:val="center"/>
          </w:tcPr>
          <w:p>
            <w:pPr>
              <w:pStyle w:val="7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男</w:t>
            </w:r>
          </w:p>
        </w:tc>
        <w:tc>
          <w:tcPr>
            <w:tcW w:w="1645" w:type="dxa"/>
            <w:vAlign w:val="center"/>
          </w:tcPr>
          <w:p>
            <w:pPr>
              <w:pStyle w:val="77"/>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安全员</w:t>
            </w:r>
          </w:p>
        </w:tc>
        <w:tc>
          <w:tcPr>
            <w:tcW w:w="221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140322199706073313</w:t>
            </w:r>
          </w:p>
        </w:tc>
        <w:tc>
          <w:tcPr>
            <w:tcW w:w="2018" w:type="dxa"/>
            <w:vAlign w:val="center"/>
          </w:tcPr>
          <w:p>
            <w:pPr>
              <w:pStyle w:val="77"/>
              <w:ind w:firstLine="0" w:firstLineChars="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文山州应急管理局</w:t>
            </w:r>
          </w:p>
        </w:tc>
        <w:tc>
          <w:tcPr>
            <w:tcW w:w="1318" w:type="dxa"/>
            <w:vAlign w:val="center"/>
          </w:tcPr>
          <w:p>
            <w:pPr>
              <w:pStyle w:val="77"/>
              <w:ind w:firstLine="0" w:firstLineChars="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2025</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11</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15</w:t>
            </w:r>
          </w:p>
        </w:tc>
      </w:tr>
    </w:tbl>
    <w:p>
      <w:pPr>
        <w:pStyle w:val="4"/>
        <w:ind w:firstLine="562"/>
        <w:rPr>
          <w:color w:val="000000" w:themeColor="text1"/>
          <w14:textFill>
            <w14:solidFill>
              <w14:schemeClr w14:val="tx1"/>
            </w14:solidFill>
          </w14:textFill>
        </w:rPr>
      </w:pPr>
      <w:bookmarkStart w:id="217" w:name="_Toc17104"/>
      <w:r>
        <w:rPr>
          <w:color w:val="000000" w:themeColor="text1"/>
          <w14:textFill>
            <w14:solidFill>
              <w14:schemeClr w14:val="tx1"/>
            </w14:solidFill>
          </w14:textFill>
        </w:rPr>
        <w:t>从业人员保险</w:t>
      </w:r>
      <w:bookmarkEnd w:id="210"/>
      <w:bookmarkEnd w:id="217"/>
    </w:p>
    <w:p>
      <w:pPr>
        <w:rPr>
          <w:color w:val="000000" w:themeColor="text1"/>
          <w:lang w:val="zh-CN"/>
          <w14:textFill>
            <w14:solidFill>
              <w14:schemeClr w14:val="tx1"/>
            </w14:solidFill>
          </w14:textFill>
        </w:rPr>
      </w:pPr>
      <w:r>
        <w:rPr>
          <w:rFonts w:hint="eastAsia"/>
          <w:color w:val="000000" w:themeColor="text1"/>
          <w:lang w:eastAsia="zh-CN"/>
          <w14:textFill>
            <w14:solidFill>
              <w14:schemeClr w14:val="tx1"/>
            </w14:solidFill>
          </w14:textFill>
        </w:rPr>
        <w:t>丘北天星正才加油站</w:t>
      </w:r>
      <w:r>
        <w:rPr>
          <w:color w:val="000000" w:themeColor="text1"/>
          <w:lang w:val="zh-CN"/>
          <w14:textFill>
            <w14:solidFill>
              <w14:schemeClr w14:val="tx1"/>
            </w14:solidFill>
          </w14:textFill>
        </w:rPr>
        <w:t>为从业人员购</w:t>
      </w:r>
      <w:r>
        <w:rPr>
          <w:rFonts w:hint="eastAsia"/>
          <w:color w:val="000000" w:themeColor="text1"/>
          <w14:textFill>
            <w14:solidFill>
              <w14:schemeClr w14:val="tx1"/>
            </w14:solidFill>
          </w14:textFill>
        </w:rPr>
        <w:t>买了</w:t>
      </w:r>
      <w:r>
        <w:rPr>
          <w:rFonts w:hint="eastAsia"/>
          <w:color w:val="000000" w:themeColor="text1"/>
          <w:lang w:val="en-US" w:eastAsia="zh-CN"/>
          <w14:textFill>
            <w14:solidFill>
              <w14:schemeClr w14:val="tx1"/>
            </w14:solidFill>
          </w14:textFill>
        </w:rPr>
        <w:t>工伤保险，但未提供安全生产责任保险</w:t>
      </w:r>
      <w:r>
        <w:rPr>
          <w:rFonts w:hint="eastAsia"/>
          <w:color w:val="000000" w:themeColor="text1"/>
          <w14:textFill>
            <w14:solidFill>
              <w14:schemeClr w14:val="tx1"/>
            </w14:solidFill>
          </w14:textFill>
        </w:rPr>
        <w:t>，详见附件</w:t>
      </w:r>
      <w:r>
        <w:rPr>
          <w:color w:val="000000" w:themeColor="text1"/>
          <w:lang w:val="zh-CN"/>
          <w14:textFill>
            <w14:solidFill>
              <w14:schemeClr w14:val="tx1"/>
            </w14:solidFill>
          </w14:textFill>
        </w:rPr>
        <w:t>。</w:t>
      </w:r>
    </w:p>
    <w:p>
      <w:pPr>
        <w:pStyle w:val="4"/>
        <w:ind w:firstLine="562"/>
        <w:rPr>
          <w:color w:val="000000" w:themeColor="text1"/>
          <w14:textFill>
            <w14:solidFill>
              <w14:schemeClr w14:val="tx1"/>
            </w14:solidFill>
          </w14:textFill>
        </w:rPr>
      </w:pPr>
      <w:bookmarkStart w:id="218" w:name="_Toc14793"/>
      <w:bookmarkStart w:id="219" w:name="_Toc8864"/>
      <w:r>
        <w:rPr>
          <w:color w:val="000000" w:themeColor="text1"/>
          <w14:textFill>
            <w14:solidFill>
              <w14:schemeClr w14:val="tx1"/>
            </w14:solidFill>
          </w14:textFill>
        </w:rPr>
        <w:t>安全投入情况</w:t>
      </w:r>
      <w:bookmarkEnd w:id="218"/>
      <w:bookmarkEnd w:id="219"/>
    </w:p>
    <w:p>
      <w:pP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丘北天星正才加油站</w:t>
      </w:r>
      <w:r>
        <w:rPr>
          <w:color w:val="000000" w:themeColor="text1"/>
          <w14:textFill>
            <w14:solidFill>
              <w14:schemeClr w14:val="tx1"/>
            </w14:solidFill>
          </w14:textFill>
        </w:rPr>
        <w:t>固定投入安全专项资金</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2024年1月</w:t>
      </w:r>
      <w:r>
        <w:rPr>
          <w:rFonts w:hint="default"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6月投入约3万元</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，主要用于加油站消防设施保养及维护、从业人员劳保用品的购买、防雷防静电设施及站内其他安全设施保养维护等</w:t>
      </w:r>
      <w:r>
        <w:rPr>
          <w:rFonts w:hint="eastAsia"/>
          <w:color w:val="000000" w:themeColor="text1"/>
          <w14:textFill>
            <w14:solidFill>
              <w14:schemeClr w14:val="tx1"/>
            </w14:solidFill>
          </w14:textFill>
        </w:rPr>
        <w:t>。</w:t>
      </w:r>
    </w:p>
    <w:bookmarkEnd w:id="211"/>
    <w:bookmarkEnd w:id="212"/>
    <w:bookmarkEnd w:id="213"/>
    <w:bookmarkEnd w:id="214"/>
    <w:bookmarkEnd w:id="215"/>
    <w:bookmarkEnd w:id="216"/>
    <w:p>
      <w:pPr>
        <w:pStyle w:val="3"/>
        <w:rPr>
          <w:color w:val="000000" w:themeColor="text1"/>
          <w14:textFill>
            <w14:solidFill>
              <w14:schemeClr w14:val="tx1"/>
            </w14:solidFill>
          </w14:textFill>
        </w:rPr>
      </w:pPr>
      <w:bookmarkStart w:id="220" w:name="_Toc18419"/>
      <w:bookmarkStart w:id="221" w:name="_Toc387163401"/>
      <w:bookmarkStart w:id="222" w:name="_Toc20078"/>
      <w:bookmarkStart w:id="223" w:name="_Toc248220547"/>
      <w:bookmarkStart w:id="224" w:name="_Toc236123698"/>
      <w:bookmarkStart w:id="225" w:name="_Toc275268748"/>
      <w:bookmarkStart w:id="226" w:name="_Toc235587834"/>
      <w:r>
        <w:rPr>
          <w:color w:val="000000" w:themeColor="text1"/>
          <w14:textFill>
            <w14:solidFill>
              <w14:schemeClr w14:val="tx1"/>
            </w14:solidFill>
          </w14:textFill>
        </w:rPr>
        <w:t>应急管理</w:t>
      </w:r>
      <w:bookmarkEnd w:id="220"/>
      <w:bookmarkEnd w:id="221"/>
      <w:bookmarkEnd w:id="222"/>
    </w:p>
    <w:p>
      <w:pPr>
        <w:pStyle w:val="4"/>
        <w:ind w:firstLine="562"/>
        <w:rPr>
          <w:color w:val="000000" w:themeColor="text1"/>
          <w14:textFill>
            <w14:solidFill>
              <w14:schemeClr w14:val="tx1"/>
            </w14:solidFill>
          </w14:textFill>
        </w:rPr>
      </w:pPr>
      <w:bookmarkStart w:id="227" w:name="_Toc237319984"/>
      <w:bookmarkStart w:id="228" w:name="_Toc11233"/>
      <w:bookmarkStart w:id="229" w:name="_Toc29968"/>
      <w:r>
        <w:rPr>
          <w:color w:val="000000" w:themeColor="text1"/>
          <w14:textFill>
            <w14:solidFill>
              <w14:schemeClr w14:val="tx1"/>
            </w14:solidFill>
          </w14:textFill>
        </w:rPr>
        <w:t>应急预案</w:t>
      </w:r>
      <w:bookmarkEnd w:id="227"/>
      <w:bookmarkEnd w:id="228"/>
      <w:bookmarkEnd w:id="229"/>
    </w:p>
    <w:p>
      <w:pPr>
        <w:widowControl/>
        <w:snapToGrid/>
        <w:jc w:val="left"/>
        <w:rPr>
          <w:color w:val="000000" w:themeColor="text1"/>
          <w:kern w:val="0"/>
          <w:szCs w:val="28"/>
          <w14:textFill>
            <w14:solidFill>
              <w14:schemeClr w14:val="tx1"/>
            </w14:solidFill>
          </w14:textFill>
        </w:rPr>
      </w:pPr>
      <w:bookmarkStart w:id="230" w:name="_Toc237319985"/>
      <w:r>
        <w:rPr>
          <w:rFonts w:hint="eastAsia"/>
          <w:color w:val="000000" w:themeColor="text1"/>
          <w:kern w:val="0"/>
          <w:szCs w:val="28"/>
          <w:lang w:eastAsia="zh-CN"/>
          <w14:textFill>
            <w14:solidFill>
              <w14:schemeClr w14:val="tx1"/>
            </w14:solidFill>
          </w14:textFill>
        </w:rPr>
        <w:t>丘北天星正才加油站</w:t>
      </w:r>
      <w:r>
        <w:rPr>
          <w:rFonts w:hint="eastAsia"/>
          <w:color w:val="000000" w:themeColor="text1"/>
          <w:kern w:val="0"/>
          <w:szCs w:val="28"/>
          <w14:textFill>
            <w14:solidFill>
              <w14:schemeClr w14:val="tx1"/>
            </w14:solidFill>
          </w14:textFill>
        </w:rPr>
        <w:t>编制</w:t>
      </w:r>
      <w:r>
        <w:rPr>
          <w:color w:val="000000" w:themeColor="text1"/>
          <w:kern w:val="0"/>
          <w:szCs w:val="28"/>
          <w14:textFill>
            <w14:solidFill>
              <w14:schemeClr w14:val="tx1"/>
            </w14:solidFill>
          </w14:textFill>
        </w:rPr>
        <w:t>了</w:t>
      </w:r>
      <w:r>
        <w:rPr>
          <w:rFonts w:hint="eastAsia"/>
          <w:color w:val="000000" w:themeColor="text1"/>
          <w:kern w:val="0"/>
          <w:szCs w:val="28"/>
          <w14:textFill>
            <w14:solidFill>
              <w14:schemeClr w14:val="tx1"/>
            </w14:solidFill>
          </w14:textFill>
        </w:rPr>
        <w:t>《</w:t>
      </w:r>
      <w:r>
        <w:rPr>
          <w:rFonts w:hint="eastAsia"/>
          <w:color w:val="000000" w:themeColor="text1"/>
          <w:kern w:val="0"/>
          <w:szCs w:val="28"/>
          <w:lang w:eastAsia="zh-CN"/>
          <w14:textFill>
            <w14:solidFill>
              <w14:schemeClr w14:val="tx1"/>
            </w14:solidFill>
          </w14:textFill>
        </w:rPr>
        <w:t>丘北天星正才加油站</w:t>
      </w:r>
      <w:r>
        <w:rPr>
          <w:rFonts w:hint="eastAsia"/>
          <w:color w:val="000000" w:themeColor="text1"/>
          <w:kern w:val="0"/>
          <w:szCs w:val="28"/>
          <w14:textFill>
            <w14:solidFill>
              <w14:schemeClr w14:val="tx1"/>
            </w14:solidFill>
          </w14:textFill>
        </w:rPr>
        <w:t>生产安全事故综合应急预</w:t>
      </w:r>
      <w:r>
        <w:rPr>
          <w:color w:val="000000" w:themeColor="text1"/>
          <w:kern w:val="0"/>
          <w:szCs w:val="28"/>
          <w14:textFill>
            <w14:solidFill>
              <w14:schemeClr w14:val="tx1"/>
            </w14:solidFill>
          </w14:textFill>
        </w:rPr>
        <w:t>案》</w:t>
      </w:r>
      <w:r>
        <w:rPr>
          <w:rFonts w:hint="eastAsia"/>
          <w:color w:val="000000" w:themeColor="text1"/>
          <w:kern w:val="0"/>
          <w:szCs w:val="28"/>
          <w14:textFill>
            <w14:solidFill>
              <w14:schemeClr w14:val="tx1"/>
            </w14:solidFill>
          </w14:textFill>
        </w:rPr>
        <w:t>，于202</w:t>
      </w:r>
      <w:r>
        <w:rPr>
          <w:rFonts w:hint="eastAsia"/>
          <w:color w:val="000000" w:themeColor="text1"/>
          <w:kern w:val="0"/>
          <w:szCs w:val="28"/>
          <w:lang w:val="en-US" w:eastAsia="zh-CN"/>
          <w14:textFill>
            <w14:solidFill>
              <w14:schemeClr w14:val="tx1"/>
            </w14:solidFill>
          </w14:textFill>
        </w:rPr>
        <w:t>3</w:t>
      </w:r>
      <w:r>
        <w:rPr>
          <w:color w:val="000000" w:themeColor="text1"/>
          <w:kern w:val="0"/>
          <w:szCs w:val="28"/>
          <w14:textFill>
            <w14:solidFill>
              <w14:schemeClr w14:val="tx1"/>
            </w14:solidFill>
          </w14:textFill>
        </w:rPr>
        <w:t>年</w:t>
      </w:r>
      <w:r>
        <w:rPr>
          <w:rFonts w:hint="eastAsia"/>
          <w:color w:val="000000" w:themeColor="text1"/>
          <w:kern w:val="0"/>
          <w:szCs w:val="28"/>
          <w:lang w:val="en-US" w:eastAsia="zh-CN"/>
          <w14:textFill>
            <w14:solidFill>
              <w14:schemeClr w14:val="tx1"/>
            </w14:solidFill>
          </w14:textFill>
        </w:rPr>
        <w:t>6</w:t>
      </w:r>
      <w:r>
        <w:rPr>
          <w:rFonts w:hint="eastAsia"/>
          <w:color w:val="000000" w:themeColor="text1"/>
          <w:kern w:val="0"/>
          <w:szCs w:val="28"/>
          <w14:textFill>
            <w14:solidFill>
              <w14:schemeClr w14:val="tx1"/>
            </w14:solidFill>
          </w14:textFill>
        </w:rPr>
        <w:t>月</w:t>
      </w:r>
      <w:r>
        <w:rPr>
          <w:rFonts w:hint="eastAsia"/>
          <w:color w:val="000000" w:themeColor="text1"/>
          <w:kern w:val="0"/>
          <w:szCs w:val="28"/>
          <w:lang w:val="en-US" w:eastAsia="zh-CN"/>
          <w14:textFill>
            <w14:solidFill>
              <w14:schemeClr w14:val="tx1"/>
            </w14:solidFill>
          </w14:textFill>
        </w:rPr>
        <w:t>15</w:t>
      </w:r>
      <w:r>
        <w:rPr>
          <w:rFonts w:hint="eastAsia"/>
          <w:color w:val="000000" w:themeColor="text1"/>
          <w:kern w:val="0"/>
          <w:szCs w:val="28"/>
          <w14:textFill>
            <w14:solidFill>
              <w14:schemeClr w14:val="tx1"/>
            </w14:solidFill>
          </w14:textFill>
        </w:rPr>
        <w:t>日到</w:t>
      </w:r>
      <w:r>
        <w:rPr>
          <w:rFonts w:hint="eastAsia"/>
          <w:color w:val="000000" w:themeColor="text1"/>
          <w:kern w:val="0"/>
          <w:szCs w:val="28"/>
          <w:lang w:val="en-US" w:eastAsia="zh-CN"/>
          <w14:textFill>
            <w14:solidFill>
              <w14:schemeClr w14:val="tx1"/>
            </w14:solidFill>
          </w14:textFill>
        </w:rPr>
        <w:t>丘北县</w:t>
      </w:r>
      <w:r>
        <w:rPr>
          <w:rFonts w:hint="eastAsia"/>
          <w:color w:val="000000" w:themeColor="text1"/>
          <w:kern w:val="0"/>
          <w:szCs w:val="28"/>
          <w14:textFill>
            <w14:solidFill>
              <w14:schemeClr w14:val="tx1"/>
            </w14:solidFill>
          </w14:textFill>
        </w:rPr>
        <w:t>应急管理局完成备案，备案编号：532626-2023-0013。</w:t>
      </w:r>
    </w:p>
    <w:p>
      <w:pPr>
        <w:pStyle w:val="4"/>
        <w:ind w:firstLine="562"/>
        <w:rPr>
          <w:color w:val="000000" w:themeColor="text1"/>
          <w14:textFill>
            <w14:solidFill>
              <w14:schemeClr w14:val="tx1"/>
            </w14:solidFill>
          </w14:textFill>
        </w:rPr>
      </w:pPr>
      <w:bookmarkStart w:id="231" w:name="_Toc10988"/>
      <w:bookmarkStart w:id="232" w:name="_Toc24017"/>
      <w:r>
        <w:rPr>
          <w:color w:val="000000" w:themeColor="text1"/>
          <w14:textFill>
            <w14:solidFill>
              <w14:schemeClr w14:val="tx1"/>
            </w14:solidFill>
          </w14:textFill>
        </w:rPr>
        <w:t>应急救援组织</w:t>
      </w:r>
      <w:bookmarkEnd w:id="230"/>
      <w:bookmarkEnd w:id="231"/>
      <w:bookmarkEnd w:id="232"/>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t>为及时处理加油站可能出现的事故</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加油站成立了相应的事故应急领导小组</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组长为加油站</w:t>
      </w:r>
      <w:r>
        <w:rPr>
          <w:rFonts w:hint="eastAsia"/>
          <w:color w:val="000000" w:themeColor="text1"/>
          <w:lang w:val="zh-CN"/>
          <w14:textFill>
            <w14:solidFill>
              <w14:schemeClr w14:val="tx1"/>
            </w14:solidFill>
          </w14:textFill>
        </w:rPr>
        <w:t>负责人，</w:t>
      </w:r>
      <w:r>
        <w:rPr>
          <w:color w:val="000000" w:themeColor="text1"/>
          <w:lang w:val="zh-CN"/>
          <w14:textFill>
            <w14:solidFill>
              <w14:schemeClr w14:val="tx1"/>
            </w14:solidFill>
          </w14:textFill>
        </w:rPr>
        <w:t>副组长为加油站</w:t>
      </w:r>
      <w:r>
        <w:rPr>
          <w:rFonts w:hint="eastAsia"/>
          <w:color w:val="000000" w:themeColor="text1"/>
          <w:lang w:val="en-US" w:eastAsia="zh-CN"/>
          <w14:textFill>
            <w14:solidFill>
              <w14:schemeClr w14:val="tx1"/>
            </w14:solidFill>
          </w14:textFill>
        </w:rPr>
        <w:t>站长</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由组长指挥进行事故处理。</w:t>
      </w:r>
    </w:p>
    <w:p>
      <w:pPr>
        <w:pStyle w:val="4"/>
        <w:ind w:firstLine="562"/>
        <w:rPr>
          <w:color w:val="000000" w:themeColor="text1"/>
          <w14:textFill>
            <w14:solidFill>
              <w14:schemeClr w14:val="tx1"/>
            </w14:solidFill>
          </w14:textFill>
        </w:rPr>
      </w:pPr>
      <w:bookmarkStart w:id="233" w:name="_Toc25223"/>
      <w:bookmarkStart w:id="234" w:name="_Toc237319986"/>
      <w:bookmarkStart w:id="235" w:name="_Toc17857"/>
      <w:r>
        <w:rPr>
          <w:color w:val="000000" w:themeColor="text1"/>
          <w14:textFill>
            <w14:solidFill>
              <w14:schemeClr w14:val="tx1"/>
            </w14:solidFill>
          </w14:textFill>
        </w:rPr>
        <w:t>器材配备</w:t>
      </w:r>
      <w:bookmarkEnd w:id="233"/>
      <w:bookmarkEnd w:id="234"/>
      <w:bookmarkEnd w:id="235"/>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t>根据加油站可能出现的事故类型</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加油站在现场配置了相应的救援器材</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主要有灭火器、灭火毯、消防桶、消防铲、消防</w:t>
      </w:r>
      <w:r>
        <w:rPr>
          <w:rFonts w:hint="eastAsia"/>
          <w:color w:val="000000" w:themeColor="text1"/>
          <w14:textFill>
            <w14:solidFill>
              <w14:schemeClr w14:val="tx1"/>
            </w14:solidFill>
          </w14:textFill>
        </w:rPr>
        <w:t>沙</w:t>
      </w:r>
      <w:r>
        <w:rPr>
          <w:color w:val="000000" w:themeColor="text1"/>
          <w:lang w:val="zh-CN"/>
          <w14:textFill>
            <w14:solidFill>
              <w14:schemeClr w14:val="tx1"/>
            </w14:solidFill>
          </w14:textFill>
        </w:rPr>
        <w:t>等。</w:t>
      </w:r>
    </w:p>
    <w:p>
      <w:pPr>
        <w:pStyle w:val="4"/>
        <w:ind w:firstLine="562"/>
        <w:rPr>
          <w:color w:val="000000" w:themeColor="text1"/>
          <w14:textFill>
            <w14:solidFill>
              <w14:schemeClr w14:val="tx1"/>
            </w14:solidFill>
          </w14:textFill>
        </w:rPr>
      </w:pPr>
      <w:bookmarkStart w:id="236" w:name="_Toc21242"/>
      <w:bookmarkStart w:id="237" w:name="_Toc10695"/>
      <w:bookmarkStart w:id="238" w:name="_Toc237319987"/>
      <w:r>
        <w:rPr>
          <w:color w:val="000000" w:themeColor="text1"/>
          <w14:textFill>
            <w14:solidFill>
              <w14:schemeClr w14:val="tx1"/>
            </w14:solidFill>
          </w14:textFill>
        </w:rPr>
        <w:t>演练情况</w:t>
      </w:r>
      <w:bookmarkEnd w:id="236"/>
      <w:bookmarkEnd w:id="237"/>
      <w:bookmarkEnd w:id="238"/>
    </w:p>
    <w:p>
      <w:pPr>
        <w:keepNext w:val="0"/>
        <w:keepLines w:val="0"/>
        <w:pageBreakBefore w:val="0"/>
        <w:widowControl w:val="0"/>
        <w:kinsoku/>
        <w:wordWrap/>
        <w:overflowPunct/>
        <w:topLinePunct w:val="0"/>
        <w:autoSpaceDE/>
        <w:autoSpaceDN/>
        <w:bidi w:val="0"/>
        <w:adjustRightInd/>
        <w:snapToGrid w:val="0"/>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丘北天星正才加油站按《生产安全事故应急条例》（国务</w:t>
      </w:r>
      <w:r>
        <w:rPr>
          <w:rFonts w:hint="eastAsia"/>
          <w:color w:val="000000" w:themeColor="text1"/>
          <w14:textFill>
            <w14:solidFill>
              <w14:schemeClr w14:val="tx1"/>
            </w14:solidFill>
          </w14:textFill>
        </w:rPr>
        <w:t>院</w:t>
      </w:r>
      <w:r>
        <w:rPr>
          <w:rFonts w:hint="eastAsia"/>
          <w:color w:val="000000" w:themeColor="text1"/>
          <w:lang w:val="zh-CN"/>
          <w14:textFill>
            <w14:solidFill>
              <w14:schemeClr w14:val="tx1"/>
            </w14:solidFill>
          </w14:textFill>
        </w:rPr>
        <w:t>令第</w:t>
      </w:r>
      <w:r>
        <w:rPr>
          <w:rFonts w:hint="eastAsia"/>
          <w:color w:val="000000" w:themeColor="text1"/>
          <w14:textFill>
            <w14:solidFill>
              <w14:schemeClr w14:val="tx1"/>
            </w14:solidFill>
          </w14:textFill>
        </w:rPr>
        <w:t>708号</w:t>
      </w:r>
      <w:r>
        <w:rPr>
          <w:rFonts w:hint="eastAsia"/>
          <w:color w:val="000000" w:themeColor="text1"/>
          <w:lang w:val="zh-CN"/>
          <w14:textFill>
            <w14:solidFill>
              <w14:schemeClr w14:val="tx1"/>
            </w14:solidFill>
          </w14:textFill>
        </w:rPr>
        <w:t>）及《生产安全事故应急预案管理办法》的规定和要求，定期组织相关人员进行了加油站事故应急预案培训和演练，</w:t>
      </w:r>
      <w:r>
        <w:rPr>
          <w:rFonts w:hint="eastAsia"/>
          <w:color w:val="000000" w:themeColor="text1"/>
          <w14:textFill>
            <w14:solidFill>
              <w14:schemeClr w14:val="tx1"/>
            </w14:solidFill>
          </w14:textFill>
        </w:rPr>
        <w:t>演练记录详见附件</w:t>
      </w:r>
      <w:r>
        <w:rPr>
          <w:rFonts w:hint="eastAsia"/>
          <w:color w:val="000000" w:themeColor="text1"/>
          <w:lang w:val="zh-CN"/>
          <w14:textFill>
            <w14:solidFill>
              <w14:schemeClr w14:val="tx1"/>
            </w14:solidFill>
          </w14:textFill>
        </w:rPr>
        <w:t>。</w:t>
      </w:r>
    </w:p>
    <w:p>
      <w:pPr>
        <w:pStyle w:val="3"/>
        <w:rPr>
          <w:color w:val="000000" w:themeColor="text1"/>
          <w14:textFill>
            <w14:solidFill>
              <w14:schemeClr w14:val="tx1"/>
            </w14:solidFill>
          </w14:textFill>
        </w:rPr>
      </w:pPr>
      <w:bookmarkStart w:id="239" w:name="_Toc9486"/>
      <w:bookmarkStart w:id="240" w:name="_Toc8120"/>
      <w:r>
        <w:rPr>
          <w:rFonts w:hint="eastAsia"/>
          <w:color w:val="000000" w:themeColor="text1"/>
          <w14:textFill>
            <w14:solidFill>
              <w14:schemeClr w14:val="tx1"/>
            </w14:solidFill>
          </w14:textFill>
        </w:rPr>
        <w:t>安全生产标准化情况</w:t>
      </w:r>
      <w:bookmarkEnd w:id="239"/>
      <w:bookmarkEnd w:id="240"/>
    </w:p>
    <w:p>
      <w:pPr>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该加油站于202</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月取得安全生产标准化证书（三级），有效期为202</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月至202</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月</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加油站按照安全生产标准运行要求，每年开展自评工作</w:t>
      </w:r>
      <w:r>
        <w:rPr>
          <w:rFonts w:hint="eastAsia"/>
          <w:color w:val="000000" w:themeColor="text1"/>
          <w14:textFill>
            <w14:solidFill>
              <w14:schemeClr w14:val="tx1"/>
            </w14:solidFill>
          </w14:textFill>
        </w:rPr>
        <w:t>。</w:t>
      </w:r>
    </w:p>
    <w:p>
      <w:pPr>
        <w:pStyle w:val="3"/>
        <w:rPr>
          <w:color w:val="000000" w:themeColor="text1"/>
          <w14:textFill>
            <w14:solidFill>
              <w14:schemeClr w14:val="tx1"/>
            </w14:solidFill>
          </w14:textFill>
        </w:rPr>
      </w:pPr>
      <w:bookmarkStart w:id="241" w:name="_Toc3217"/>
      <w:r>
        <w:rPr>
          <w:rFonts w:hint="eastAsia"/>
          <w:color w:val="000000" w:themeColor="text1"/>
          <w14:textFill>
            <w14:solidFill>
              <w14:schemeClr w14:val="tx1"/>
            </w14:solidFill>
          </w14:textFill>
        </w:rPr>
        <w:t>取证以来的情况</w:t>
      </w:r>
      <w:bookmarkEnd w:id="24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自2021年度取证以来，加油站情况如下：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1.营业执照、危险化学品经营许可证、成品油零售经营批准证书在有效期内；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2.加油站</w:t>
      </w:r>
      <w:r>
        <w:rPr>
          <w:rFonts w:hint="eastAsia"/>
          <w:color w:val="000000" w:themeColor="text1"/>
          <w:lang w:val="en-US" w:eastAsia="zh-CN"/>
          <w14:textFill>
            <w14:solidFill>
              <w14:schemeClr w14:val="tx1"/>
            </w14:solidFill>
          </w14:textFill>
        </w:rPr>
        <w:t>北面新增一高压电力线；东面和东北面新增中铁二十四局项目部建筑；新增的高压电力线和中铁二十四局项目部建筑与加油站的安全距离满足规范要求</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3.自2021年度取证以来至评价基准日，加油站规模等未发生变化；</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4.自2021年度取证以来至评价基准日未发生生产安全事故；</w:t>
      </w:r>
    </w:p>
    <w:p>
      <w:pPr>
        <w:rPr>
          <w:color w:val="000000" w:themeColor="text1"/>
          <w14:textFill>
            <w14:solidFill>
              <w14:schemeClr w14:val="tx1"/>
            </w14:solidFill>
          </w14:textFill>
        </w:rPr>
        <w:sectPr>
          <w:footerReference r:id="rId12" w:type="default"/>
          <w:pgSz w:w="11905" w:h="16838"/>
          <w:pgMar w:top="1417" w:right="1134" w:bottom="1134" w:left="1587" w:header="850" w:footer="850" w:gutter="0"/>
          <w:cols w:space="0" w:num="1"/>
          <w:docGrid w:type="linesAndChars" w:linePitch="386" w:charSpace="0"/>
        </w:sect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创建了安全生产标准化，并取得了安全生产标准化等级证书。</w:t>
      </w:r>
    </w:p>
    <w:bookmarkEnd w:id="223"/>
    <w:bookmarkEnd w:id="224"/>
    <w:bookmarkEnd w:id="225"/>
    <w:bookmarkEnd w:id="226"/>
    <w:p>
      <w:pPr>
        <w:pStyle w:val="2"/>
        <w:spacing w:before="193" w:after="193"/>
        <w:rPr>
          <w:color w:val="000000" w:themeColor="text1"/>
          <w14:textFill>
            <w14:solidFill>
              <w14:schemeClr w14:val="tx1"/>
            </w14:solidFill>
          </w14:textFill>
        </w:rPr>
      </w:pPr>
      <w:bookmarkStart w:id="242" w:name="_Toc9396"/>
      <w:bookmarkStart w:id="243" w:name="_Toc213232897"/>
      <w:bookmarkStart w:id="244" w:name="_Toc195156246"/>
      <w:bookmarkStart w:id="245" w:name="_Toc387135669"/>
      <w:r>
        <w:rPr>
          <w:rFonts w:hint="eastAsia"/>
          <w:color w:val="000000" w:themeColor="text1"/>
          <w14:textFill>
            <w14:solidFill>
              <w14:schemeClr w14:val="tx1"/>
            </w14:solidFill>
          </w14:textFill>
        </w:rPr>
        <w:t>危险、有害因素的辨识结果及依据说明</w:t>
      </w:r>
      <w:bookmarkEnd w:id="242"/>
      <w:bookmarkEnd w:id="243"/>
      <w:bookmarkEnd w:id="244"/>
      <w:bookmarkEnd w:id="245"/>
    </w:p>
    <w:p>
      <w:pPr>
        <w:pStyle w:val="3"/>
        <w:rPr>
          <w:color w:val="000000" w:themeColor="text1"/>
          <w14:textFill>
            <w14:solidFill>
              <w14:schemeClr w14:val="tx1"/>
            </w14:solidFill>
          </w14:textFill>
        </w:rPr>
      </w:pPr>
      <w:bookmarkStart w:id="246" w:name="_Toc213232898"/>
      <w:bookmarkStart w:id="247" w:name="_Toc188863901"/>
      <w:bookmarkStart w:id="248" w:name="_Toc387135670"/>
      <w:bookmarkStart w:id="249" w:name="_Toc187699903"/>
      <w:bookmarkStart w:id="250" w:name="_Toc8250"/>
      <w:bookmarkStart w:id="251" w:name="_Toc151881393"/>
      <w:bookmarkStart w:id="252" w:name="_Toc137953284"/>
      <w:bookmarkStart w:id="253" w:name="_Toc156661656"/>
      <w:bookmarkStart w:id="254" w:name="_Toc116653369"/>
      <w:bookmarkStart w:id="255" w:name="_Toc126983512"/>
      <w:bookmarkStart w:id="256" w:name="_Toc116653366"/>
      <w:r>
        <w:rPr>
          <w:rFonts w:hint="eastAsia"/>
          <w:color w:val="000000" w:themeColor="text1"/>
          <w14:textFill>
            <w14:solidFill>
              <w14:schemeClr w14:val="tx1"/>
            </w14:solidFill>
          </w14:textFill>
        </w:rPr>
        <w:t>危险、有害因素辨识与分析的依据</w:t>
      </w:r>
      <w:bookmarkEnd w:id="246"/>
      <w:bookmarkEnd w:id="247"/>
      <w:bookmarkEnd w:id="248"/>
      <w:bookmarkEnd w:id="249"/>
      <w:bookmarkEnd w:id="25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根据危险有害因素的定义、产生原因及其分类，对系统中固有危险、相关危险有害因素及贮运过程的危险有害因素进行辨识与分析，采用的相关依据如下：</w:t>
      </w:r>
    </w:p>
    <w:bookmarkEnd w:id="251"/>
    <w:bookmarkEnd w:id="252"/>
    <w:bookmarkEnd w:id="253"/>
    <w:bookmarkEnd w:id="254"/>
    <w:bookmarkEnd w:id="255"/>
    <w:bookmarkEnd w:id="256"/>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bookmarkStart w:id="257" w:name="_Toc456527705"/>
      <w:bookmarkStart w:id="258" w:name="_Toc360569542"/>
      <w:bookmarkStart w:id="259" w:name="_Toc363315937"/>
      <w:bookmarkStart w:id="260" w:name="_Toc213232899"/>
      <w:bookmarkStart w:id="261" w:name="_Toc195156248"/>
      <w:bookmarkStart w:id="262" w:name="_Toc387135671"/>
      <w:r>
        <w:rPr>
          <w:rFonts w:hint="eastAsia"/>
          <w:color w:val="000000" w:themeColor="text1"/>
          <w14:textFill>
            <w14:solidFill>
              <w14:schemeClr w14:val="tx1"/>
            </w14:solidFill>
          </w14:textFill>
        </w:rPr>
        <w:t>《危险化学品安全管理条例》（国务院令第591号，645号令修订）；</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《企业职工伤亡事故分类》（GB6441-1986）；</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《生产过程危险和有害因素分类与代码》（GB/T13861-20</w:t>
      </w:r>
      <w:r>
        <w:rPr>
          <w:color w:val="000000" w:themeColor="text1"/>
          <w14:textFill>
            <w14:solidFill>
              <w14:schemeClr w14:val="tx1"/>
            </w14:solidFill>
          </w14:textFill>
        </w:rPr>
        <w:t>22</w:t>
      </w:r>
      <w:r>
        <w:rPr>
          <w:rFonts w:hint="eastAsia"/>
          <w:color w:val="000000" w:themeColor="text1"/>
          <w14:textFill>
            <w14:solidFill>
              <w14:schemeClr w14:val="tx1"/>
            </w14:solidFill>
          </w14:textFill>
        </w:rPr>
        <w:t>）；</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《职业性接触毒物危害程度分级》（GBZ230-2010）；</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《化学品分类和危险性公示通则》（GB13690-2009）；</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《建筑设计防火规范（2018年版）》（GB50016-2014）；</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《危险化学品重大危险源辨识》（GB18218-20</w:t>
      </w:r>
      <w:r>
        <w:rPr>
          <w:rFonts w:ascii="新宋体" w:hAnsi="新宋体" w:eastAsia="新宋体"/>
          <w:color w:val="000000" w:themeColor="text1"/>
          <w14:textFill>
            <w14:solidFill>
              <w14:schemeClr w14:val="tx1"/>
            </w14:solidFill>
          </w14:textFill>
        </w:rPr>
        <w:t>18</w:t>
      </w:r>
      <w:r>
        <w:rPr>
          <w:rFonts w:hint="eastAsia" w:ascii="新宋体" w:hAnsi="新宋体" w:eastAsia="新宋体"/>
          <w:color w:val="000000" w:themeColor="text1"/>
          <w14:textFill>
            <w14:solidFill>
              <w14:schemeClr w14:val="tx1"/>
            </w14:solidFill>
          </w14:textFill>
        </w:rPr>
        <w:t>）</w:t>
      </w:r>
      <w:r>
        <w:rPr>
          <w:rFonts w:hint="eastAsia" w:eastAsia="新宋体"/>
          <w:color w:val="000000" w:themeColor="text1"/>
          <w14:textFill>
            <w14:solidFill>
              <w14:schemeClr w14:val="tx1"/>
            </w14:solidFill>
          </w14:textFill>
        </w:rPr>
        <w:t>；</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rFonts w:ascii="新宋体" w:hAnsi="新宋体" w:eastAsia="新宋体"/>
          <w:color w:val="000000" w:themeColor="text1"/>
          <w:szCs w:val="22"/>
          <w14:textFill>
            <w14:solidFill>
              <w14:schemeClr w14:val="tx1"/>
            </w14:solidFill>
          </w14:textFill>
        </w:rPr>
      </w:pPr>
      <w:r>
        <w:rPr>
          <w:rFonts w:hint="eastAsia" w:ascii="新宋体" w:hAnsi="新宋体" w:eastAsia="新宋体"/>
          <w:color w:val="000000" w:themeColor="text1"/>
          <w:szCs w:val="22"/>
          <w14:textFill>
            <w14:solidFill>
              <w14:schemeClr w14:val="tx1"/>
            </w14:solidFill>
          </w14:textFill>
        </w:rPr>
        <w:t>《危险化学品企业特殊作业安全规范》（GB30871-2022）；</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《特别管控危险化学品目录（第一版）》（应急管理部、工业和信息化部、公安部及交通运输部2</w:t>
      </w:r>
      <w:r>
        <w:rPr>
          <w:color w:val="000000" w:themeColor="text1"/>
          <w14:textFill>
            <w14:solidFill>
              <w14:schemeClr w14:val="tx1"/>
            </w14:solidFill>
          </w14:textFill>
        </w:rPr>
        <w:t>020</w:t>
      </w:r>
      <w:r>
        <w:rPr>
          <w:rFonts w:hint="eastAsia"/>
          <w:color w:val="000000" w:themeColor="text1"/>
          <w14:textFill>
            <w14:solidFill>
              <w14:schemeClr w14:val="tx1"/>
            </w14:solidFill>
          </w14:textFill>
        </w:rPr>
        <w:t>年第</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号公告）；</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汽油的理化特性；</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柴油的理化特性；</w:t>
      </w:r>
    </w:p>
    <w:p>
      <w:pPr>
        <w:keepNext w:val="0"/>
        <w:keepLines w:val="0"/>
        <w:pageBreakBefore w:val="0"/>
        <w:widowControl w:val="0"/>
        <w:numPr>
          <w:ilvl w:val="0"/>
          <w:numId w:val="9"/>
        </w:numPr>
        <w:kinsoku/>
        <w:wordWrap/>
        <w:overflowPunct/>
        <w:topLinePunct/>
        <w:autoSpaceDE/>
        <w:autoSpaceDN/>
        <w:bidi w:val="0"/>
        <w:adjustRightInd w:val="0"/>
        <w:snapToGrid w:val="0"/>
        <w:ind w:left="0" w:firstLine="56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相关事故案例。</w:t>
      </w:r>
    </w:p>
    <w:p>
      <w:pPr>
        <w:pStyle w:val="3"/>
        <w:rPr>
          <w:color w:val="000000" w:themeColor="text1"/>
          <w14:textFill>
            <w14:solidFill>
              <w14:schemeClr w14:val="tx1"/>
            </w14:solidFill>
          </w14:textFill>
        </w:rPr>
      </w:pPr>
      <w:bookmarkStart w:id="263" w:name="_Toc4620"/>
      <w:r>
        <w:rPr>
          <w:rFonts w:hint="eastAsia"/>
          <w:color w:val="000000" w:themeColor="text1"/>
          <w14:textFill>
            <w14:solidFill>
              <w14:schemeClr w14:val="tx1"/>
            </w14:solidFill>
          </w14:textFill>
        </w:rPr>
        <w:t>危险化学品特性</w:t>
      </w:r>
      <w:bookmarkEnd w:id="257"/>
      <w:bookmarkEnd w:id="258"/>
      <w:bookmarkEnd w:id="259"/>
      <w:bookmarkEnd w:id="26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根据《危险化学品目录》（2022年调整）及《应急管理部办公厅关于修改《危险化学品目录（2015版）实施指南（试行）》涉及柴油部分内容的通知》（</w:t>
      </w:r>
      <w:r>
        <w:rPr>
          <w:color w:val="000000" w:themeColor="text1"/>
          <w14:textFill>
            <w14:solidFill>
              <w14:schemeClr w14:val="tx1"/>
            </w14:solidFill>
          </w14:textFill>
        </w:rPr>
        <w:t>应急厅函〔2022〕300号</w:t>
      </w:r>
      <w:r>
        <w:rPr>
          <w:rFonts w:hint="eastAsia"/>
          <w:color w:val="000000" w:themeColor="text1"/>
          <w14:textFill>
            <w14:solidFill>
              <w14:schemeClr w14:val="tx1"/>
            </w14:solidFill>
          </w14:textFill>
        </w:rPr>
        <w:t>，2022年12月5日发布，2023年1月1日起实施），加油站经营的汽油和柴油均属于危险化学品。</w:t>
      </w:r>
    </w:p>
    <w:p>
      <w:pPr>
        <w:pStyle w:val="4"/>
        <w:ind w:firstLine="562"/>
        <w:rPr>
          <w:color w:val="000000" w:themeColor="text1"/>
          <w14:textFill>
            <w14:solidFill>
              <w14:schemeClr w14:val="tx1"/>
            </w14:solidFill>
          </w14:textFill>
        </w:rPr>
      </w:pPr>
      <w:bookmarkStart w:id="264" w:name="_Toc16086"/>
      <w:bookmarkStart w:id="265" w:name="_Toc456527706"/>
      <w:bookmarkStart w:id="266" w:name="_Toc360569543"/>
      <w:bookmarkStart w:id="267" w:name="_Toc363315938"/>
      <w:r>
        <w:rPr>
          <w:rFonts w:hint="eastAsia"/>
          <w:color w:val="000000" w:themeColor="text1"/>
          <w14:textFill>
            <w14:solidFill>
              <w14:schemeClr w14:val="tx1"/>
            </w14:solidFill>
          </w14:textFill>
        </w:rPr>
        <w:t>汽油危险特性</w:t>
      </w:r>
      <w:bookmarkEnd w:id="264"/>
      <w:bookmarkEnd w:id="265"/>
      <w:bookmarkEnd w:id="266"/>
      <w:bookmarkEnd w:id="26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根据《危险化学品安全技术全书》（</w:t>
      </w:r>
      <w:r>
        <w:rPr>
          <w:rFonts w:hint="eastAsia"/>
          <w:color w:val="000000" w:themeColor="text1"/>
          <w:lang w:val="en-US" w:eastAsia="zh-CN"/>
          <w14:textFill>
            <w14:solidFill>
              <w14:schemeClr w14:val="tx1"/>
            </w14:solidFill>
          </w14:textFill>
        </w:rPr>
        <w:t>2017</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月第</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版，化学工业出版社），汽油的理化特性见表3-1。</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w:t>
      </w:r>
      <w:r>
        <w:rPr>
          <w:color w:val="000000" w:themeColor="text1"/>
          <w14:textFill>
            <w14:solidFill>
              <w14:schemeClr w14:val="tx1"/>
            </w14:solidFill>
          </w14:textFill>
        </w:rPr>
        <w:t xml:space="preserve">3-1 </w:t>
      </w:r>
      <w:r>
        <w:rPr>
          <w:rFonts w:hint="eastAsia"/>
          <w:color w:val="000000" w:themeColor="text1"/>
          <w14:textFill>
            <w14:solidFill>
              <w14:schemeClr w14:val="tx1"/>
            </w14:solidFill>
          </w14:textFill>
        </w:rPr>
        <w:t xml:space="preserve"> 汽油理化特性</w:t>
      </w:r>
    </w:p>
    <w:tbl>
      <w:tblPr>
        <w:tblStyle w:val="33"/>
        <w:tblW w:w="9071"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655"/>
        <w:gridCol w:w="1704"/>
        <w:gridCol w:w="1483"/>
        <w:gridCol w:w="408"/>
        <w:gridCol w:w="222"/>
        <w:gridCol w:w="716"/>
        <w:gridCol w:w="433"/>
        <w:gridCol w:w="240"/>
        <w:gridCol w:w="352"/>
        <w:gridCol w:w="516"/>
        <w:gridCol w:w="703"/>
        <w:gridCol w:w="227"/>
        <w:gridCol w:w="166"/>
        <w:gridCol w:w="1246"/>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bookmarkStart w:id="268" w:name="_Toc363315939"/>
            <w:bookmarkStart w:id="269" w:name="_Toc456527707"/>
            <w:bookmarkStart w:id="270" w:name="_Toc360569544"/>
            <w:r>
              <w:rPr>
                <w:color w:val="000000" w:themeColor="text1"/>
                <w14:textFill>
                  <w14:solidFill>
                    <w14:schemeClr w14:val="tx1"/>
                  </w14:solidFill>
                </w14:textFill>
              </w:rPr>
              <w:t>标识</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中文名</w:t>
            </w:r>
          </w:p>
        </w:tc>
        <w:tc>
          <w:tcPr>
            <w:tcW w:w="3502"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汽油</w:t>
            </w:r>
          </w:p>
        </w:tc>
        <w:tc>
          <w:tcPr>
            <w:tcW w:w="1798"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412"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1630</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英文名</w:t>
            </w:r>
          </w:p>
        </w:tc>
        <w:tc>
          <w:tcPr>
            <w:tcW w:w="3502"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Gasoline</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Petrol</w:t>
            </w:r>
          </w:p>
        </w:tc>
        <w:tc>
          <w:tcPr>
            <w:tcW w:w="1798"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CAS号</w:t>
            </w:r>
          </w:p>
        </w:tc>
        <w:tc>
          <w:tcPr>
            <w:tcW w:w="1412"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86290-81-5</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理化性质</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外观与性状</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无色或淡黄色易挥发液体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具有特殊臭味。</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主要成分</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～C</w:t>
            </w:r>
            <w:r>
              <w:rPr>
                <w:color w:val="000000" w:themeColor="text1"/>
                <w:vertAlign w:val="subscript"/>
                <w14:textFill>
                  <w14:solidFill>
                    <w14:schemeClr w14:val="tx1"/>
                  </w14:solidFill>
                </w14:textFill>
              </w:rPr>
              <w:t>12</w:t>
            </w:r>
            <w:r>
              <w:rPr>
                <w:color w:val="000000" w:themeColor="text1"/>
                <w14:textFill>
                  <w14:solidFill>
                    <w14:schemeClr w14:val="tx1"/>
                  </w14:solidFill>
                </w14:textFill>
              </w:rPr>
              <w:t>脂肪烃和环烷烃。</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熔点（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tc>
        <w:tc>
          <w:tcPr>
            <w:tcW w:w="2113"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&lt;-60</w:t>
            </w:r>
          </w:p>
        </w:tc>
        <w:tc>
          <w:tcPr>
            <w:tcW w:w="2257"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相对密度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水=1</w:t>
            </w:r>
            <w:r>
              <w:rPr>
                <w:rFonts w:hint="eastAsia"/>
                <w:color w:val="000000" w:themeColor="text1"/>
                <w14:textFill>
                  <w14:solidFill>
                    <w14:schemeClr w14:val="tx1"/>
                  </w14:solidFill>
                </w14:textFill>
              </w:rPr>
              <w:t>）</w:t>
            </w:r>
          </w:p>
        </w:tc>
        <w:tc>
          <w:tcPr>
            <w:tcW w:w="234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0.7</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～0.7</w:t>
            </w:r>
            <w:r>
              <w:rPr>
                <w:rFonts w:hint="eastAsia"/>
                <w:color w:val="000000" w:themeColor="text1"/>
                <w14:textFill>
                  <w14:solidFill>
                    <w14:schemeClr w14:val="tx1"/>
                  </w14:solidFill>
                </w14:textFill>
              </w:rPr>
              <w:t>75</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沸点（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tc>
        <w:tc>
          <w:tcPr>
            <w:tcW w:w="2113"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40～200</w:t>
            </w:r>
          </w:p>
        </w:tc>
        <w:tc>
          <w:tcPr>
            <w:tcW w:w="2257"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饱和蒸汽压（kPa）</w:t>
            </w:r>
          </w:p>
        </w:tc>
        <w:tc>
          <w:tcPr>
            <w:tcW w:w="234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溶解性</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不溶于水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易溶于苯、二硫化碳、醇、脂肪。</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主要用途</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主要用作汽油机的燃料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用于橡胶、制鞋、印刷、制革、颜料等行业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也可用作机械零件的去污剂。</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健康危害</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侵入途径</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吸入、食入、经皮吸收。</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健康危害</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入性肺炎。溅入眼内可致角膜溃疡、穿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甚至失明。皮肤接触致急性接触性皮炎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甚至灼伤。吞咽引起急性胃肠炎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重者出现类似急性吸入中毒症状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并可引起肝、肾损害。慢性中毒：神经衰弱综合征、植物神经功能紊乱、周围神经病。严重中毒出现中毒性脑病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症状类似精神分裂症。皮肤损害。</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燃烧爆炸危险性</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燃烧性</w:t>
            </w:r>
          </w:p>
        </w:tc>
        <w:tc>
          <w:tcPr>
            <w:tcW w:w="1891"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高度易燃</w:t>
            </w:r>
          </w:p>
        </w:tc>
        <w:tc>
          <w:tcPr>
            <w:tcW w:w="2479"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有害燃烧产物</w:t>
            </w:r>
          </w:p>
        </w:tc>
        <w:tc>
          <w:tcPr>
            <w:tcW w:w="234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一氧化碳、二氧化碳。</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1"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闪点</w:t>
            </w:r>
            <w:r>
              <w:rPr>
                <w:rFonts w:hint="eastAsia"/>
                <w:color w:val="000000" w:themeColor="text1"/>
                <w14:textFill>
                  <w14:solidFill>
                    <w14:schemeClr w14:val="tx1"/>
                  </w14:solidFill>
                </w14:textFill>
              </w:rPr>
              <w:t>（℃）</w:t>
            </w:r>
          </w:p>
        </w:tc>
        <w:tc>
          <w:tcPr>
            <w:tcW w:w="1891"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＜-50</w:t>
            </w:r>
          </w:p>
        </w:tc>
        <w:tc>
          <w:tcPr>
            <w:tcW w:w="2479"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爆炸上限（v%）</w:t>
            </w:r>
          </w:p>
        </w:tc>
        <w:tc>
          <w:tcPr>
            <w:tcW w:w="234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6.0</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引燃温度</w:t>
            </w:r>
            <w:r>
              <w:rPr>
                <w:rFonts w:hint="eastAsia"/>
                <w:color w:val="000000" w:themeColor="text1"/>
                <w14:textFill>
                  <w14:solidFill>
                    <w14:schemeClr w14:val="tx1"/>
                  </w14:solidFill>
                </w14:textFill>
              </w:rPr>
              <w:t>（℃）</w:t>
            </w:r>
          </w:p>
        </w:tc>
        <w:tc>
          <w:tcPr>
            <w:tcW w:w="1891"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415～530</w:t>
            </w:r>
          </w:p>
        </w:tc>
        <w:tc>
          <w:tcPr>
            <w:tcW w:w="2479"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爆炸下限（v%）</w:t>
            </w:r>
          </w:p>
        </w:tc>
        <w:tc>
          <w:tcPr>
            <w:tcW w:w="234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1.3</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危险特性</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其蒸气与空气可形成爆炸性混合物</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遇明火、高热极易燃烧爆炸。与氧化剂能发生强烈反应。其蒸气比空气重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能在较低处扩散到相当远的地方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遇火源会着火回燃。</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建规火险分级</w:t>
            </w:r>
          </w:p>
        </w:tc>
        <w:tc>
          <w:tcPr>
            <w:tcW w:w="1483"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甲</w:t>
            </w:r>
          </w:p>
        </w:tc>
        <w:tc>
          <w:tcPr>
            <w:tcW w:w="1346"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稳定性</w:t>
            </w:r>
          </w:p>
        </w:tc>
        <w:tc>
          <w:tcPr>
            <w:tcW w:w="1025"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稳定</w:t>
            </w:r>
          </w:p>
        </w:tc>
        <w:tc>
          <w:tcPr>
            <w:tcW w:w="1612"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聚合危害</w:t>
            </w:r>
          </w:p>
        </w:tc>
        <w:tc>
          <w:tcPr>
            <w:tcW w:w="1246"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不出现</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禁忌物</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强氧化剂</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灭火方法</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喷水冷却容器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可能的话将容器从火场移至空旷处。灭火剂：泡沫、干粉、二氧化碳。用水灭火无效。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毒理学资料</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急性毒性</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LD50：67000mg/kg</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小鼠经口</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120号溶剂汽油</w:t>
            </w:r>
            <w:r>
              <w:rPr>
                <w:rFonts w:hint="eastAsia"/>
                <w:color w:val="000000" w:themeColor="text1"/>
                <w14:textFill>
                  <w14:solidFill>
                    <w14:schemeClr w14:val="tx1"/>
                  </w14:solidFill>
                </w14:textFill>
              </w:rPr>
              <w:t>）</w:t>
            </w:r>
          </w:p>
          <w:p>
            <w:pPr>
              <w:pStyle w:val="93"/>
              <w:rPr>
                <w:color w:val="000000" w:themeColor="text1"/>
                <w14:textFill>
                  <w14:solidFill>
                    <w14:schemeClr w14:val="tx1"/>
                  </w14:solidFill>
                </w14:textFill>
              </w:rPr>
            </w:pPr>
            <w:r>
              <w:rPr>
                <w:color w:val="000000" w:themeColor="text1"/>
                <w14:textFill>
                  <w14:solidFill>
                    <w14:schemeClr w14:val="tx1"/>
                  </w14:solidFill>
                </w14:textFill>
              </w:rPr>
              <w:t>LC50：100000mg/</w:t>
            </w:r>
            <w:r>
              <w:rPr>
                <w:rFonts w:hint="eastAsia"/>
                <w:color w:val="000000" w:themeColor="text1"/>
                <w14:textFill>
                  <w14:solidFill>
                    <w14:schemeClr w14:val="tx1"/>
                  </w14:solidFill>
                </w14:textFill>
              </w:rPr>
              <w:t>m³，</w:t>
            </w:r>
            <w:r>
              <w:rPr>
                <w:color w:val="000000" w:themeColor="text1"/>
                <w14:textFill>
                  <w14:solidFill>
                    <w14:schemeClr w14:val="tx1"/>
                  </w14:solidFill>
                </w14:textFill>
              </w:rPr>
              <w:t>2小时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小鼠吸入</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120号溶剂汽油</w:t>
            </w:r>
            <w:r>
              <w:rPr>
                <w:rFonts w:hint="eastAsia"/>
                <w:color w:val="000000" w:themeColor="text1"/>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刺激性</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人经眼：140ppm/8小时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轻度刺激。</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其他有害作用</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该物质对环境可能有危害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对水体应给予特别注意。</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废弃处置方法</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用焚烧法处置。</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包装与储运</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危险性类别</w:t>
            </w:r>
          </w:p>
        </w:tc>
        <w:tc>
          <w:tcPr>
            <w:tcW w:w="3262"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易燃液体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类别2*</w:t>
            </w:r>
          </w:p>
          <w:p>
            <w:pPr>
              <w:pStyle w:val="93"/>
              <w:rPr>
                <w:color w:val="000000" w:themeColor="text1"/>
                <w14:textFill>
                  <w14:solidFill>
                    <w14:schemeClr w14:val="tx1"/>
                  </w14:solidFill>
                </w14:textFill>
              </w:rPr>
            </w:pPr>
            <w:r>
              <w:rPr>
                <w:color w:val="000000" w:themeColor="text1"/>
                <w14:textFill>
                  <w14:solidFill>
                    <w14:schemeClr w14:val="tx1"/>
                  </w14:solidFill>
                </w14:textFill>
              </w:rPr>
              <w:t>生殖细胞致突变性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类别1B</w:t>
            </w:r>
          </w:p>
          <w:p>
            <w:pPr>
              <w:pStyle w:val="93"/>
              <w:rPr>
                <w:color w:val="000000" w:themeColor="text1"/>
                <w14:textFill>
                  <w14:solidFill>
                    <w14:schemeClr w14:val="tx1"/>
                  </w14:solidFill>
                </w14:textFill>
              </w:rPr>
            </w:pPr>
            <w:r>
              <w:rPr>
                <w:color w:val="000000" w:themeColor="text1"/>
                <w14:textFill>
                  <w14:solidFill>
                    <w14:schemeClr w14:val="tx1"/>
                  </w14:solidFill>
                </w14:textFill>
              </w:rPr>
              <w:t>致癌性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类别2</w:t>
            </w:r>
          </w:p>
          <w:p>
            <w:pPr>
              <w:pStyle w:val="93"/>
              <w:rPr>
                <w:color w:val="000000" w:themeColor="text1"/>
                <w14:textFill>
                  <w14:solidFill>
                    <w14:schemeClr w14:val="tx1"/>
                  </w14:solidFill>
                </w14:textFill>
              </w:rPr>
            </w:pPr>
            <w:r>
              <w:rPr>
                <w:color w:val="000000" w:themeColor="text1"/>
                <w14:textFill>
                  <w14:solidFill>
                    <w14:schemeClr w14:val="tx1"/>
                  </w14:solidFill>
                </w14:textFill>
              </w:rPr>
              <w:t>吸入危害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类别1</w:t>
            </w:r>
          </w:p>
          <w:p>
            <w:pPr>
              <w:pStyle w:val="93"/>
              <w:rPr>
                <w:color w:val="000000" w:themeColor="text1"/>
                <w14:textFill>
                  <w14:solidFill>
                    <w14:schemeClr w14:val="tx1"/>
                  </w14:solidFill>
                </w14:textFill>
              </w:rPr>
            </w:pPr>
            <w:r>
              <w:rPr>
                <w:color w:val="000000" w:themeColor="text1"/>
                <w14:textFill>
                  <w14:solidFill>
                    <w14:schemeClr w14:val="tx1"/>
                  </w14:solidFill>
                </w14:textFill>
              </w:rPr>
              <w:t>危害水生环境-急性危害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类别2</w:t>
            </w:r>
          </w:p>
          <w:p>
            <w:pPr>
              <w:pStyle w:val="93"/>
              <w:rPr>
                <w:color w:val="000000" w:themeColor="text1"/>
                <w14:textFill>
                  <w14:solidFill>
                    <w14:schemeClr w14:val="tx1"/>
                  </w14:solidFill>
                </w14:textFill>
              </w:rPr>
            </w:pPr>
            <w:r>
              <w:rPr>
                <w:color w:val="000000" w:themeColor="text1"/>
                <w14:textFill>
                  <w14:solidFill>
                    <w14:schemeClr w14:val="tx1"/>
                  </w14:solidFill>
                </w14:textFill>
              </w:rPr>
              <w:t>危害水生环境-长期危害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类别2</w:t>
            </w:r>
          </w:p>
        </w:tc>
        <w:tc>
          <w:tcPr>
            <w:tcW w:w="1811"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包装类别</w:t>
            </w:r>
          </w:p>
        </w:tc>
        <w:tc>
          <w:tcPr>
            <w:tcW w:w="1639"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052</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包装方法</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小开口钢桶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安瓿瓶外普通木箱</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螺纹口玻璃瓶、铁盖压口玻璃瓶、塑料瓶或金属桶（罐）外普通木箱。</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储存注意事项</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储存于阴凉、通风的库房。远离火种、热源。库温不宜超过30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。保持容器密封。应与氧化剂分开存放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切忌混储。采用防爆型照明、通风设施。禁止使用易产生火花的机械设备和工具。储区应备有泄漏应急处理设备和合适的收容材料。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运输注意事项</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本品铁路运输时限使用钢制企业自备罐车装运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装运前需报有关部门批准。运输时运输车辆应配备相应品种和数量的消防器材及泄漏应急处理设备。夏季最好早晚运输。运输时所用的槽（罐）车应有接地链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槽内可设孔隔板以减少</w:t>
            </w:r>
            <w:r>
              <w:rPr>
                <w:rFonts w:hint="eastAsia"/>
                <w:color w:val="000000" w:themeColor="text1"/>
                <w14:textFill>
                  <w14:solidFill>
                    <w14:schemeClr w14:val="tx1"/>
                  </w14:solidFill>
                </w14:textFill>
              </w:rPr>
              <w:t>振</w:t>
            </w:r>
            <w:r>
              <w:rPr>
                <w:color w:val="000000" w:themeColor="text1"/>
                <w14:textFill>
                  <w14:solidFill>
                    <w14:schemeClr w14:val="tx1"/>
                  </w14:solidFill>
                </w14:textFill>
              </w:rPr>
              <w:t>荡产生静电。严禁与氧化剂等混装混运。运输途中应防</w:t>
            </w:r>
            <w:r>
              <w:rPr>
                <w:rFonts w:hint="eastAsia"/>
                <w:color w:val="000000" w:themeColor="text1"/>
                <w14:textFill>
                  <w14:solidFill>
                    <w14:schemeClr w14:val="tx1"/>
                  </w14:solidFill>
                </w14:textFill>
              </w:rPr>
              <w:t>暴晒</w:t>
            </w:r>
            <w:r>
              <w:rPr>
                <w:color w:val="000000" w:themeColor="text1"/>
                <w14:textFill>
                  <w14:solidFill>
                    <w14:schemeClr w14:val="tx1"/>
                  </w14:solidFill>
                </w14:textFill>
              </w:rPr>
              <w:t>、雨淋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防高温。中途停留时应远离火种、热源、高温区。装运该物品的车辆排气管必须配备阻火装置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禁止使用易产生火花的机械设备和工具装卸。公路运输时要按规定路线行驶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勿在居民区和人口稠密区停留。铁路运输时要禁止溜放。严禁用木船、水泥船散装运输。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操作注意事项</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密闭操作</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全面通风。操作人员必须经过专门培训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严格遵守操作规程。建议操作人员穿防静电工作服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戴橡胶耐油手套。远离火种、热源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工作场所严禁吸烟。使用防爆型的通风系统和设备。防止蒸气泄漏到工作场所空气中。避免与氧化剂接触。灌装时应控制流速</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且有接地装置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防止静电积聚。搬运时要轻装轻卸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防止包装及容器损坏。配备相应品种和数量的消防器材及泄漏应急处理设备。倒空的容器可能残留有害物。</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急救措施</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皮肤接触</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立即脱去污染的衣着</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用肥皂水和清水彻底冲洗皮肤。就医。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眼睛接触</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立即提起眼睑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用大量流动清水或生理盐水彻底冲洗至少15分钟。就医。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吸入</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迅速脱离现场至空气新鲜处。保持呼吸道通畅。如呼吸困难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给输氧。如呼吸停止</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立即进行人工呼吸。就医。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食入</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给饮牛奶或用植物油洗胃和灌肠。就医。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防护措施</w:t>
            </w: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工程控制</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生产过程密闭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全面通风。</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呼吸系统防护</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一般不需要特殊防护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高浓度接触时可佩戴自吸过滤式防毒面具（半面罩）。</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眼睛防护</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一般不需要特殊防护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高浓度接触时可戴化学安全防护眼镜。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身体防护</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穿防静电工作服。</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手防护</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戴橡胶耐油手套。</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其他防护</w:t>
            </w:r>
          </w:p>
        </w:tc>
        <w:tc>
          <w:tcPr>
            <w:tcW w:w="671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工作现场严禁吸烟。避免长期反复接触。</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泄漏</w:t>
            </w:r>
            <w:r>
              <w:rPr>
                <w:color w:val="000000" w:themeColor="text1"/>
                <w14:textFill>
                  <w14:solidFill>
                    <w14:schemeClr w14:val="tx1"/>
                  </w14:solidFill>
                </w14:textFill>
              </w:rPr>
              <w:t>应急处理</w:t>
            </w:r>
          </w:p>
        </w:tc>
        <w:tc>
          <w:tcPr>
            <w:tcW w:w="8416" w:type="dxa"/>
            <w:gridSpan w:val="1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迅速撤离泄漏污染区人员至安全区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并进行隔离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严格限制出入。切断火源。建议应急处理人员戴自给正压式呼吸器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穿防静电工作服。尽可能切断泄漏源。防止流入下水道、排洪沟等限制性空间。小量泄漏：用砂土、蛭石或其它惰性材料吸收。或在保证安全情况下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就地焚烧。大量泄漏：构筑围堤或挖坑收容。用泡沫覆盖</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降低蒸气灾害。用防爆泵转移至槽车或专用收集器内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回收或运至废物处理场所处置。</w:t>
            </w:r>
          </w:p>
        </w:tc>
      </w:tr>
    </w:tbl>
    <w:p>
      <w:pPr>
        <w:pStyle w:val="4"/>
        <w:ind w:firstLine="562"/>
        <w:rPr>
          <w:color w:val="000000" w:themeColor="text1"/>
          <w14:textFill>
            <w14:solidFill>
              <w14:schemeClr w14:val="tx1"/>
            </w14:solidFill>
          </w14:textFill>
        </w:rPr>
      </w:pPr>
      <w:bookmarkStart w:id="271" w:name="_Toc25447"/>
      <w:r>
        <w:rPr>
          <w:rFonts w:hint="eastAsia"/>
          <w:color w:val="000000" w:themeColor="text1"/>
          <w14:textFill>
            <w14:solidFill>
              <w14:schemeClr w14:val="tx1"/>
            </w14:solidFill>
          </w14:textFill>
        </w:rPr>
        <w:t>柴油的危险特性</w:t>
      </w:r>
      <w:bookmarkEnd w:id="268"/>
      <w:bookmarkEnd w:id="269"/>
      <w:bookmarkEnd w:id="270"/>
      <w:bookmarkEnd w:id="271"/>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表</w:t>
      </w:r>
      <w:r>
        <w:rPr>
          <w:color w:val="000000" w:themeColor="text1"/>
          <w14:textFill>
            <w14:solidFill>
              <w14:schemeClr w14:val="tx1"/>
            </w14:solidFill>
          </w14:textFill>
        </w:rPr>
        <w:t>3-2</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柴油理化特性</w:t>
      </w:r>
    </w:p>
    <w:tbl>
      <w:tblPr>
        <w:tblStyle w:val="33"/>
        <w:tblW w:w="9071"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654"/>
        <w:gridCol w:w="1735"/>
        <w:gridCol w:w="1451"/>
        <w:gridCol w:w="408"/>
        <w:gridCol w:w="221"/>
        <w:gridCol w:w="717"/>
        <w:gridCol w:w="540"/>
        <w:gridCol w:w="31"/>
        <w:gridCol w:w="453"/>
        <w:gridCol w:w="515"/>
        <w:gridCol w:w="889"/>
        <w:gridCol w:w="206"/>
        <w:gridCol w:w="321"/>
        <w:gridCol w:w="930"/>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PrEx>
        <w:trPr>
          <w:cantSplit/>
          <w:trHeight w:val="23" w:hRule="atLeast"/>
          <w:jc w:val="center"/>
        </w:trPr>
        <w:tc>
          <w:tcPr>
            <w:tcW w:w="654"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bookmarkStart w:id="272" w:name="_Toc363315940"/>
            <w:bookmarkStart w:id="273" w:name="_Toc360569545"/>
            <w:bookmarkStart w:id="274" w:name="_Toc456527708"/>
            <w:r>
              <w:rPr>
                <w:color w:val="000000" w:themeColor="text1"/>
                <w14:textFill>
                  <w14:solidFill>
                    <w14:schemeClr w14:val="tx1"/>
                  </w14:solidFill>
                </w14:textFill>
              </w:rPr>
              <w:t>标识</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中文名</w:t>
            </w:r>
          </w:p>
        </w:tc>
        <w:tc>
          <w:tcPr>
            <w:tcW w:w="3337"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888"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457"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1674</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英文名</w:t>
            </w:r>
          </w:p>
        </w:tc>
        <w:tc>
          <w:tcPr>
            <w:tcW w:w="3337"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lang w:val="de-DE"/>
                <w14:textFill>
                  <w14:solidFill>
                    <w14:schemeClr w14:val="tx1"/>
                  </w14:solidFill>
                </w14:textFill>
              </w:rPr>
            </w:pPr>
            <w:r>
              <w:rPr>
                <w:color w:val="000000" w:themeColor="text1"/>
                <w:lang w:val="de-DE"/>
                <w14:textFill>
                  <w14:solidFill>
                    <w14:schemeClr w14:val="tx1"/>
                  </w14:solidFill>
                </w14:textFill>
              </w:rPr>
              <w:t>Diesel oil</w:t>
            </w:r>
            <w:r>
              <w:rPr>
                <w:rFonts w:hint="eastAsia"/>
                <w:color w:val="000000" w:themeColor="text1"/>
                <w:lang w:val="de-DE"/>
                <w14:textFill>
                  <w14:solidFill>
                    <w14:schemeClr w14:val="tx1"/>
                  </w14:solidFill>
                </w14:textFill>
              </w:rPr>
              <w:t>；</w:t>
            </w:r>
            <w:r>
              <w:rPr>
                <w:color w:val="000000" w:themeColor="text1"/>
                <w:lang w:val="de-DE"/>
                <w14:textFill>
                  <w14:solidFill>
                    <w14:schemeClr w14:val="tx1"/>
                  </w14:solidFill>
                </w14:textFill>
              </w:rPr>
              <w:t>Diesel fuel</w:t>
            </w:r>
          </w:p>
        </w:tc>
        <w:tc>
          <w:tcPr>
            <w:tcW w:w="1888"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CAS号</w:t>
            </w:r>
          </w:p>
        </w:tc>
        <w:tc>
          <w:tcPr>
            <w:tcW w:w="1457"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无资料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理化性质</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外观与性状</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稍有</w:t>
            </w:r>
            <w:r>
              <w:rPr>
                <w:rFonts w:hint="eastAsia"/>
                <w:color w:val="000000" w:themeColor="text1"/>
                <w14:textFill>
                  <w14:solidFill>
                    <w14:schemeClr w14:val="tx1"/>
                  </w14:solidFill>
                </w14:textFill>
              </w:rPr>
              <w:t>黏</w:t>
            </w:r>
            <w:r>
              <w:rPr>
                <w:color w:val="000000" w:themeColor="text1"/>
                <w14:textFill>
                  <w14:solidFill>
                    <w14:schemeClr w14:val="tx1"/>
                  </w14:solidFill>
                </w14:textFill>
              </w:rPr>
              <w:t>性的浅黄至棕色液体。</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主要成分</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烷烃、芳烃、烯烃等。</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熔点（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tc>
        <w:tc>
          <w:tcPr>
            <w:tcW w:w="2080"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-18</w:t>
            </w:r>
          </w:p>
        </w:tc>
        <w:tc>
          <w:tcPr>
            <w:tcW w:w="2256"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相对密度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水=1</w:t>
            </w:r>
            <w:r>
              <w:rPr>
                <w:rFonts w:hint="eastAsia"/>
                <w:color w:val="000000" w:themeColor="text1"/>
                <w14:textFill>
                  <w14:solidFill>
                    <w14:schemeClr w14:val="tx1"/>
                  </w14:solidFill>
                </w14:textFill>
              </w:rPr>
              <w:t>）</w:t>
            </w:r>
          </w:p>
        </w:tc>
        <w:tc>
          <w:tcPr>
            <w:tcW w:w="2346"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0.8</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845</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沸点（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tc>
        <w:tc>
          <w:tcPr>
            <w:tcW w:w="2080"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282～338</w:t>
            </w:r>
          </w:p>
        </w:tc>
        <w:tc>
          <w:tcPr>
            <w:tcW w:w="2256"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饱和蒸汽压（kPa）</w:t>
            </w:r>
          </w:p>
        </w:tc>
        <w:tc>
          <w:tcPr>
            <w:tcW w:w="2346"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主要用途</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用作柴油机的燃料。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4"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健康危害</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侵入途径</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吸入、食入、经皮吸收。</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健康危害</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皮肤接触可为主要吸收途径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可致急性肾脏损害。柴油可引起接触性皮炎、油性痤疮。吸入其雾滴或液体呛入可引起吸入性肺炎。能经胎盘进入胎儿血中。柴油废气可引起眼、鼻刺激症状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头晕及头痛。</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燃烧爆炸危险性</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燃烧性</w:t>
            </w:r>
          </w:p>
        </w:tc>
        <w:tc>
          <w:tcPr>
            <w:tcW w:w="1859"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易燃</w:t>
            </w:r>
          </w:p>
        </w:tc>
        <w:tc>
          <w:tcPr>
            <w:tcW w:w="2477"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有害燃烧产物</w:t>
            </w:r>
          </w:p>
        </w:tc>
        <w:tc>
          <w:tcPr>
            <w:tcW w:w="2346"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一氧化碳、二氧化碳。</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闪点</w:t>
            </w:r>
            <w:r>
              <w:rPr>
                <w:rFonts w:hint="eastAsia"/>
                <w:color w:val="000000" w:themeColor="text1"/>
                <w14:textFill>
                  <w14:solidFill>
                    <w14:schemeClr w14:val="tx1"/>
                  </w14:solidFill>
                </w14:textFill>
              </w:rPr>
              <w:t>（℃）</w:t>
            </w:r>
          </w:p>
        </w:tc>
        <w:tc>
          <w:tcPr>
            <w:tcW w:w="1859"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≥60</w:t>
            </w:r>
          </w:p>
        </w:tc>
        <w:tc>
          <w:tcPr>
            <w:tcW w:w="2477"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爆炸上限（v%）</w:t>
            </w:r>
          </w:p>
        </w:tc>
        <w:tc>
          <w:tcPr>
            <w:tcW w:w="2346"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无资料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引燃温度</w:t>
            </w:r>
            <w:r>
              <w:rPr>
                <w:rFonts w:hint="eastAsia"/>
                <w:color w:val="000000" w:themeColor="text1"/>
                <w14:textFill>
                  <w14:solidFill>
                    <w14:schemeClr w14:val="tx1"/>
                  </w14:solidFill>
                </w14:textFill>
              </w:rPr>
              <w:t>（℃）</w:t>
            </w:r>
          </w:p>
        </w:tc>
        <w:tc>
          <w:tcPr>
            <w:tcW w:w="1859"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257</w:t>
            </w:r>
          </w:p>
        </w:tc>
        <w:tc>
          <w:tcPr>
            <w:tcW w:w="2477"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爆炸下限（v%）</w:t>
            </w:r>
          </w:p>
        </w:tc>
        <w:tc>
          <w:tcPr>
            <w:tcW w:w="2346" w:type="dxa"/>
            <w:gridSpan w:val="4"/>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无资料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危险特性</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遇明火、高热或与氧化剂接触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有引起燃烧爆炸的危险。若遇高热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容器内压增大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有开裂和爆炸的危险。</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建规火险分级</w:t>
            </w:r>
          </w:p>
        </w:tc>
        <w:tc>
          <w:tcPr>
            <w:tcW w:w="1451"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丙A</w:t>
            </w:r>
          </w:p>
        </w:tc>
        <w:tc>
          <w:tcPr>
            <w:tcW w:w="1346"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稳定性</w:t>
            </w:r>
          </w:p>
        </w:tc>
        <w:tc>
          <w:tcPr>
            <w:tcW w:w="1024"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稳定</w:t>
            </w:r>
          </w:p>
        </w:tc>
        <w:tc>
          <w:tcPr>
            <w:tcW w:w="1610" w:type="dxa"/>
            <w:gridSpan w:val="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聚合危害</w:t>
            </w:r>
          </w:p>
        </w:tc>
        <w:tc>
          <w:tcPr>
            <w:tcW w:w="1251" w:type="dxa"/>
            <w:gridSpan w:val="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不能出现</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禁忌物</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强氧化剂、卤素。</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灭火方法</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消防人员须佩戴防毒面具、穿全身消防服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在上风向灭火。尽可能将容器从火场移至空旷处。喷水保持火场容器冷却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直至灭火结束。处在火场中的容器若已变色或从安全泄压装置中产生声音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必须马上撤离。灭火剂：雾状水、泡沫、干粉、二氧化碳、砂土。</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毒理学资料</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急性毒性</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LD50：无资料</w:t>
            </w:r>
          </w:p>
          <w:p>
            <w:pPr>
              <w:pStyle w:val="93"/>
              <w:rPr>
                <w:color w:val="000000" w:themeColor="text1"/>
                <w14:textFill>
                  <w14:solidFill>
                    <w14:schemeClr w14:val="tx1"/>
                  </w14:solidFill>
                </w14:textFill>
              </w:rPr>
            </w:pPr>
            <w:r>
              <w:rPr>
                <w:color w:val="000000" w:themeColor="text1"/>
                <w14:textFill>
                  <w14:solidFill>
                    <w14:schemeClr w14:val="tx1"/>
                  </w14:solidFill>
                </w14:textFill>
              </w:rPr>
              <w:t>LC50：无资料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其他有害作用</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该物质对环境有危害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建议不要让其进入环境。对水体和大气可造成污染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破坏水生生物呼吸系统。对海藻应给予特别注意。</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废弃处置方法</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处置前应参阅国家和地方有关法规。建议用焚烧法处置。</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包装与储运</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危险性类别</w:t>
            </w:r>
          </w:p>
        </w:tc>
        <w:tc>
          <w:tcPr>
            <w:tcW w:w="3368" w:type="dxa"/>
            <w:gridSpan w:val="6"/>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易燃液体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类别3</w:t>
            </w:r>
          </w:p>
        </w:tc>
        <w:tc>
          <w:tcPr>
            <w:tcW w:w="2384" w:type="dxa"/>
            <w:gridSpan w:val="5"/>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危险货物包装标志</w:t>
            </w:r>
          </w:p>
        </w:tc>
        <w:tc>
          <w:tcPr>
            <w:tcW w:w="930"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7</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包装方法</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无资料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储存注意事项</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储存于阴凉、通风的库房。远离火种、热源。应与氧化剂、卤素分开存放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切忌混储。采用防爆型照明、通风设施。禁止使用易产生火花的机械设备和工具。储区应备有泄漏应急处理设备和合适的收容材料。</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运输注意事项</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运输前应先检查包装容器是否完整、密封</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运输过程中要确保容器不泄漏、不倒塌、不坠落、不损坏。运输时运输车辆应配备相应品种和数量的消防器材及泄漏应急处理设备。夏季最好早晚运输。运输时所用的槽（罐）车应有接地链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槽内可设孔隔板以减少</w:t>
            </w:r>
            <w:r>
              <w:rPr>
                <w:rFonts w:hint="eastAsia"/>
                <w:color w:val="000000" w:themeColor="text1"/>
                <w14:textFill>
                  <w14:solidFill>
                    <w14:schemeClr w14:val="tx1"/>
                  </w14:solidFill>
                </w14:textFill>
              </w:rPr>
              <w:t>振荡</w:t>
            </w:r>
            <w:r>
              <w:rPr>
                <w:color w:val="000000" w:themeColor="text1"/>
                <w14:textFill>
                  <w14:solidFill>
                    <w14:schemeClr w14:val="tx1"/>
                  </w14:solidFill>
                </w14:textFill>
              </w:rPr>
              <w:t>产生静电。严禁与氧化剂、卤素、食用化学品等混装混运。运输途中应防</w:t>
            </w:r>
            <w:r>
              <w:rPr>
                <w:rFonts w:hint="eastAsia"/>
                <w:color w:val="000000" w:themeColor="text1"/>
                <w14:textFill>
                  <w14:solidFill>
                    <w14:schemeClr w14:val="tx1"/>
                  </w14:solidFill>
                </w14:textFill>
              </w:rPr>
              <w:t>暴晒</w:t>
            </w:r>
            <w:r>
              <w:rPr>
                <w:color w:val="000000" w:themeColor="text1"/>
                <w14:textFill>
                  <w14:solidFill>
                    <w14:schemeClr w14:val="tx1"/>
                  </w14:solidFill>
                </w14:textFill>
              </w:rPr>
              <w:t>、雨淋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防高温。中途停留时应远离火种、热源、高温区。装运该物品的车辆排气管必须配备阻火装置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禁止使用易产生火花的机械设备和工具装卸。运输车船必须彻底清洗、消毒</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否则不得装运其它物品。船运时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配装位置应远离卧室、厨房</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并与机舱、电源、火源等部位隔离。公路运输时要按规定路线行驶。</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操作注意事项</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密闭操作</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注意通风。操作人员必须经过专门培训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严格遵守操作规程。建议操作人员佩戴自吸过滤式防毒面具（半面罩）</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戴化学安全防护眼镜</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戴橡胶耐油手套。远离火种、热源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工作场所严禁吸烟。使用防爆型的通风系统和设备。防止蒸气泄漏到工作场所空气中。避免与氧化剂、卤素接触。充装要控制流速</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防止静电积聚。搬运时要轻装轻卸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防止包装及容器损坏。配备相应品种和数量的消防器材及泄漏应急处理设备。倒空的容器可能残留有害物。</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急救措施</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皮肤接触</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立即脱去污染的衣着</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用肥皂水和清水彻底冲洗皮肤。就医。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眼睛接触</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提起眼睑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用流动清水或生理盐水冲洗。就医。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吸入</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迅速脱离现场至空气新鲜处。保持呼吸道通畅。如呼吸困难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给输氧。如呼吸停止</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立即进行人工呼吸。就医。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食入</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尽快彻底洗胃。就医。</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restart"/>
            <w:tcBorders>
              <w:top w:val="single" w:color="auto" w:sz="6" w:space="0"/>
              <w:left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防护措施</w:t>
            </w: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工程控制</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生产过程密闭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全面通风。</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呼吸系统防护</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空气中浓度超标时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建议佩戴自吸过滤式防毒面具（半面罩）。紧急事态抢救或撤离时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应该佩戴空气呼吸器。</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眼睛防护</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戴化学安全防护眼镜。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身体防护</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穿一般作业防护服。</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54" w:type="dxa"/>
            <w:vMerge w:val="continue"/>
            <w:tcBorders>
              <w:left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手防护</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戴橡胶耐油手套。</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vMerge w:val="continue"/>
            <w:tcBorders>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p>
        </w:tc>
        <w:tc>
          <w:tcPr>
            <w:tcW w:w="1735"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其他防护</w:t>
            </w:r>
          </w:p>
        </w:tc>
        <w:tc>
          <w:tcPr>
            <w:tcW w:w="6682" w:type="dxa"/>
            <w:gridSpan w:val="12"/>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工作现场严禁吸烟。避免长期反复接触。</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654" w:type="dxa"/>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rFonts w:hint="eastAsia"/>
                <w:color w:val="000000" w:themeColor="text1"/>
                <w14:textFill>
                  <w14:solidFill>
                    <w14:schemeClr w14:val="tx1"/>
                  </w14:solidFill>
                </w14:textFill>
              </w:rPr>
              <w:t>泄漏</w:t>
            </w:r>
            <w:r>
              <w:rPr>
                <w:color w:val="000000" w:themeColor="text1"/>
                <w14:textFill>
                  <w14:solidFill>
                    <w14:schemeClr w14:val="tx1"/>
                  </w14:solidFill>
                </w14:textFill>
              </w:rPr>
              <w:t>应急处理</w:t>
            </w:r>
          </w:p>
        </w:tc>
        <w:tc>
          <w:tcPr>
            <w:tcW w:w="8417" w:type="dxa"/>
            <w:gridSpan w:val="13"/>
            <w:tcBorders>
              <w:top w:val="single" w:color="auto" w:sz="6" w:space="0"/>
              <w:left w:val="single" w:color="auto" w:sz="6" w:space="0"/>
              <w:bottom w:val="single" w:color="auto" w:sz="6" w:space="0"/>
              <w:right w:val="single" w:color="auto" w:sz="6" w:space="0"/>
            </w:tcBorders>
            <w:vAlign w:val="center"/>
          </w:tcPr>
          <w:p>
            <w:pPr>
              <w:pStyle w:val="93"/>
              <w:rPr>
                <w:color w:val="000000" w:themeColor="text1"/>
                <w14:textFill>
                  <w14:solidFill>
                    <w14:schemeClr w14:val="tx1"/>
                  </w14:solidFill>
                </w14:textFill>
              </w:rPr>
            </w:pPr>
            <w:r>
              <w:rPr>
                <w:color w:val="000000" w:themeColor="text1"/>
                <w14:textFill>
                  <w14:solidFill>
                    <w14:schemeClr w14:val="tx1"/>
                  </w14:solidFill>
                </w14:textFill>
              </w:rPr>
              <w:t>迅速撤离泄漏污染区人员至安全区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并进行隔离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严格限制出入。切断火源。建议应急处理人员戴自给正压式呼吸器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穿一般作业工作服。尽可能切断泄漏源。防止流入下水道、排洪沟等限制性空间。小量泄漏：用活性炭或其它惰性材料吸收。大量泄漏：构筑围堤或挖坑收容。用泵转移至槽车或专用收集器内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回收或运至废物处理场所处置。</w:t>
            </w:r>
          </w:p>
        </w:tc>
      </w:tr>
    </w:tbl>
    <w:p>
      <w:pPr>
        <w:pStyle w:val="3"/>
        <w:rPr>
          <w:color w:val="000000" w:themeColor="text1"/>
          <w14:textFill>
            <w14:solidFill>
              <w14:schemeClr w14:val="tx1"/>
            </w14:solidFill>
          </w14:textFill>
        </w:rPr>
      </w:pPr>
      <w:bookmarkStart w:id="275" w:name="_Toc8153"/>
      <w:r>
        <w:rPr>
          <w:rFonts w:hint="eastAsia"/>
          <w:color w:val="000000" w:themeColor="text1"/>
          <w14:textFill>
            <w14:solidFill>
              <w14:schemeClr w14:val="tx1"/>
            </w14:solidFill>
          </w14:textFill>
        </w:rPr>
        <w:t>危险、有害因素</w:t>
      </w:r>
      <w:bookmarkEnd w:id="272"/>
      <w:bookmarkEnd w:id="273"/>
      <w:r>
        <w:rPr>
          <w:rFonts w:hint="eastAsia"/>
          <w:color w:val="000000" w:themeColor="text1"/>
          <w14:textFill>
            <w14:solidFill>
              <w14:schemeClr w14:val="tx1"/>
            </w14:solidFill>
          </w14:textFill>
        </w:rPr>
        <w:t>分析</w:t>
      </w:r>
      <w:bookmarkEnd w:id="274"/>
      <w:bookmarkEnd w:id="275"/>
    </w:p>
    <w:p>
      <w:pPr>
        <w:pStyle w:val="4"/>
        <w:ind w:firstLine="562"/>
        <w:rPr>
          <w:color w:val="000000" w:themeColor="text1"/>
          <w14:textFill>
            <w14:solidFill>
              <w14:schemeClr w14:val="tx1"/>
            </w14:solidFill>
          </w14:textFill>
        </w:rPr>
      </w:pPr>
      <w:bookmarkStart w:id="276" w:name="_Toc11073"/>
      <w:bookmarkStart w:id="277" w:name="_Toc456527709"/>
      <w:r>
        <w:rPr>
          <w:rFonts w:hint="eastAsia"/>
          <w:color w:val="000000" w:themeColor="text1"/>
          <w14:textFill>
            <w14:solidFill>
              <w14:schemeClr w14:val="tx1"/>
            </w14:solidFill>
          </w14:textFill>
        </w:rPr>
        <w:t>危险产生的原因</w:t>
      </w:r>
      <w:bookmarkEnd w:id="276"/>
      <w:bookmarkEnd w:id="277"/>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bookmarkStart w:id="278" w:name="_Toc171873181"/>
      <w:bookmarkStart w:id="279" w:name="_Toc200880752"/>
      <w:r>
        <w:rPr>
          <w:rFonts w:hint="eastAsia"/>
          <w:color w:val="000000" w:themeColor="text1"/>
          <w14:textFill>
            <w14:solidFill>
              <w14:schemeClr w14:val="tx1"/>
            </w14:solidFill>
          </w14:textFill>
        </w:rPr>
        <w:t>1.运行失控与设备故障</w:t>
      </w:r>
      <w:bookmarkEnd w:id="278"/>
      <w:bookmarkEnd w:id="279"/>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运行失控指的是设施运行过程中偏离或超过了正常的工艺技术条件，出现危险状态。故障是指设备、元件等在运行过程中由于性能低下而不能实现预定功能的现象。在实际中运行失控故障的发生是可能的，故障具有随机性和突发性，故障的发生是一种随机事件；造成故障发生的原因很复杂（如设计、制造、磨损、疲劳、老化、检查和维修保养、人员失误、环境、其它系统的影响等），但故障发生的规律是可知的，通过定期检查、维修保养可使多数故障在预定期间内得到控制（避免或减少）。</w:t>
      </w:r>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bookmarkStart w:id="280" w:name="_Toc171873182"/>
      <w:bookmarkStart w:id="281" w:name="_Toc200880753"/>
      <w:r>
        <w:rPr>
          <w:rFonts w:hint="eastAsia"/>
          <w:color w:val="000000" w:themeColor="text1"/>
          <w14:textFill>
            <w14:solidFill>
              <w14:schemeClr w14:val="tx1"/>
            </w14:solidFill>
          </w14:textFill>
        </w:rPr>
        <w:t>2.人员失误</w:t>
      </w:r>
      <w:bookmarkEnd w:id="280"/>
      <w:bookmarkEnd w:id="281"/>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人员失误泛指不安全行为（指职工在劳动过程中违反劳动纪律、操作程序和方法等具有危险性的做法）中产生不良后果的行为。人员失误在生产过程中是可能发生的，它具有随机性和偶然性，往往是不可预测的意外行为。影响人员失误的因素很多，但发生人员失误的规律和失误率通过大量的观测、统计和分析是可以预测的。</w:t>
      </w:r>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bookmarkStart w:id="282" w:name="_Toc200880754"/>
      <w:bookmarkStart w:id="283" w:name="_Toc171873183"/>
      <w:r>
        <w:rPr>
          <w:rFonts w:hint="eastAsia"/>
          <w:color w:val="000000" w:themeColor="text1"/>
          <w14:textFill>
            <w14:solidFill>
              <w14:schemeClr w14:val="tx1"/>
            </w14:solidFill>
          </w14:textFill>
        </w:rPr>
        <w:t>3.管理缺陷</w:t>
      </w:r>
      <w:bookmarkEnd w:id="282"/>
      <w:bookmarkEnd w:id="283"/>
    </w:p>
    <w:p>
      <w:pPr>
        <w:keepNext w:val="0"/>
        <w:keepLines w:val="0"/>
        <w:pageBreakBefore w:val="0"/>
        <w:widowControl w:val="0"/>
        <w:kinsoku/>
        <w:wordWrap/>
        <w:overflowPunct/>
        <w:topLinePunct w:val="0"/>
        <w:autoSpaceDE/>
        <w:autoSpaceDN/>
        <w:bidi w:val="0"/>
        <w:adjustRightInd w:val="0"/>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是为了保证及时、有效地实现既定的安全目标，是在预测、分析的基础之上进行的计划、组织、协调、检查等工作，是预防故障和人员失误发生的有效手段，因此管理缺陷是影响运行失控发生的重要因素。</w:t>
      </w:r>
    </w:p>
    <w:p>
      <w:pPr>
        <w:pStyle w:val="4"/>
        <w:ind w:firstLine="562"/>
        <w:rPr>
          <w:color w:val="000000" w:themeColor="text1"/>
          <w14:textFill>
            <w14:solidFill>
              <w14:schemeClr w14:val="tx1"/>
            </w14:solidFill>
          </w14:textFill>
        </w:rPr>
      </w:pPr>
      <w:bookmarkStart w:id="284" w:name="_Toc18752"/>
      <w:bookmarkStart w:id="285" w:name="_Toc456527710"/>
      <w:r>
        <w:rPr>
          <w:rFonts w:hint="eastAsia"/>
          <w:color w:val="000000" w:themeColor="text1"/>
          <w14:textFill>
            <w14:solidFill>
              <w14:schemeClr w14:val="tx1"/>
            </w14:solidFill>
          </w14:textFill>
        </w:rPr>
        <w:t>加油站运行过程中危险、有害因素分析</w:t>
      </w:r>
      <w:bookmarkEnd w:id="284"/>
      <w:bookmarkEnd w:id="28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本次安全现状评价根据对被评价单位提供的有关资料分析和对现场环境条件的调查，参照《</w:t>
      </w:r>
      <w:r>
        <w:rPr>
          <w:rFonts w:hint="eastAsia"/>
          <w:color w:val="000000" w:themeColor="text1"/>
          <w:lang w:eastAsia="zh-CN"/>
          <w14:textFill>
            <w14:solidFill>
              <w14:schemeClr w14:val="tx1"/>
            </w14:solidFill>
          </w14:textFill>
        </w:rPr>
        <w:t>企业职工伤亡事故分类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GB6441-</w:t>
      </w:r>
      <w:r>
        <w:rPr>
          <w:rFonts w:hint="eastAsia"/>
          <w:color w:val="000000" w:themeColor="text1"/>
          <w14:textFill>
            <w14:solidFill>
              <w14:schemeClr w14:val="tx1"/>
            </w14:solidFill>
          </w14:textFill>
        </w:rPr>
        <w:t>19</w:t>
      </w:r>
      <w:r>
        <w:rPr>
          <w:color w:val="000000" w:themeColor="text1"/>
          <w14:textFill>
            <w14:solidFill>
              <w14:schemeClr w14:val="tx1"/>
            </w14:solidFill>
          </w14:textFill>
        </w:rPr>
        <w:t>86</w:t>
      </w:r>
      <w:r>
        <w:rPr>
          <w:rFonts w:hint="eastAsia"/>
          <w:color w:val="000000" w:themeColor="text1"/>
          <w14:textFill>
            <w14:solidFill>
              <w14:schemeClr w14:val="tx1"/>
            </w14:solidFill>
          </w14:textFill>
        </w:rPr>
        <w:t>）中对事故类别的划分方法，将该加油站可能存在的危险有害因素按类别分析如下。</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卸油过程危险有害因素分析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（1）火灾爆炸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汽油、柴油均属于易燃物品，汽油蒸气与空气混合物遇到明火、高热容易燃烧爆炸，柴油遇明火、高热或与氧化剂接触有引起燃烧爆炸的危险。在卸油过程中，不可避免会有一定的油气泄漏，若现场存在点火源如明火、电气火花、静电、雷击、高温红热物体等，将会造成泄漏的油气与空气混合物发生火灾爆炸，造成严重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若采用敞开式卸油，或卸油管路设置不合理，进油管未向下伸至距罐底小于100mm位置，则在卸油过程中由于汽油入罐冲击作用将造成现场有大量的油气泄漏，火灾爆炸的危险性将大大增加。</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卸油过程中，静电的产生和积聚量大小与卸油管道内壁粗糙度、流速、温度、杂质含量、油品所通过的过滤网呈正相关，与设备导电性能、环境温度、油品的导电率呈负相关。若卸油流速较大，则可能会与管路摩擦产生较强的静电，达到放电强度时，将会直接引燃油品，造成灾难性的火灾爆炸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卸油在傍晚或夜间进行时，加油站可能会使用相应的照明设施，若照明设备采用非防爆电气设备或采用高热源灯具（如碘钨灯），将可能使靠近热源的管线、设备发生火灾，进而引发爆炸事故，造成严重的人员伤亡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卸油过程中，卸油现场不可避免会有油气散发，若现场</w:t>
      </w:r>
      <w:r>
        <w:rPr>
          <w:color w:val="000000" w:themeColor="text1"/>
          <w14:textFill>
            <w14:solidFill>
              <w14:schemeClr w14:val="tx1"/>
            </w14:solidFill>
          </w14:textFill>
        </w:rPr>
        <w:t>空气湿度大、气压低的阴天或有雾天气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由于空气流通差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w:t>
      </w:r>
      <w:r>
        <w:rPr>
          <w:rFonts w:hint="eastAsia"/>
          <w:color w:val="000000" w:themeColor="text1"/>
          <w14:textFill>
            <w14:solidFill>
              <w14:schemeClr w14:val="tx1"/>
            </w14:solidFill>
          </w14:textFill>
        </w:rPr>
        <w:t>气</w:t>
      </w:r>
      <w:r>
        <w:rPr>
          <w:color w:val="000000" w:themeColor="text1"/>
          <w14:textFill>
            <w14:solidFill>
              <w14:schemeClr w14:val="tx1"/>
            </w14:solidFill>
          </w14:textFill>
        </w:rPr>
        <w:t>密度相应增加</w:t>
      </w:r>
      <w:r>
        <w:rPr>
          <w:rFonts w:hint="eastAsia"/>
          <w:color w:val="000000" w:themeColor="text1"/>
          <w14:textFill>
            <w14:solidFill>
              <w14:schemeClr w14:val="tx1"/>
            </w14:solidFill>
          </w14:textFill>
        </w:rPr>
        <w:t>，人员打手机或其他</w:t>
      </w:r>
      <w:r>
        <w:rPr>
          <w:color w:val="000000" w:themeColor="text1"/>
          <w14:textFill>
            <w14:solidFill>
              <w14:schemeClr w14:val="tx1"/>
            </w14:solidFill>
          </w14:textFill>
        </w:rPr>
        <w:t>无线电发射机发射出的无线电波（射频电磁辐射）</w:t>
      </w:r>
      <w:r>
        <w:rPr>
          <w:rFonts w:hint="eastAsia"/>
          <w:color w:val="000000" w:themeColor="text1"/>
          <w14:textFill>
            <w14:solidFill>
              <w14:schemeClr w14:val="tx1"/>
            </w14:solidFill>
          </w14:textFill>
        </w:rPr>
        <w:t>产生射频火花，将会引发油气爆炸，造成严重的事故后果。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（2）车辆伤害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卸油过程中，卸油车辆进入加油站，由于不按规定行驶，从业人员若思想不集中、管理不当、卸油场地设计不合理、警示标志不明确等因素都会造成车辆伤害，造成人员伤亡和财产损失。</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加油站若未设置防雷接地设施、防雷接地设施有缺陷或未进行检测，若加油站安全管理存在缺陷，要求在雷雨天进行卸油作业，则作业人员可能受到雷击而伤亡。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加油站使用的各种用电设备，若电气设备、线路存在缺陷，使用中绝缘损坏漏电，未安装漏电保护设施或损坏，将有可能发生触电危险性。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从汽、柴油的危险特性看出，汽、柴油可引起接触皮炎、油性痤疮。皮肤接触可致急性肾脏损害。吸入其雾滴或液体呛入可引起吸入性肺炎。汽、柴油、废气可引起眼、鼻刺激症状，头晕及头痛。</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卸油中若不慎出现汽、柴油的外泄，其蒸气有可能随风四处扩散，而泄漏出来的油液体也可能顺地势四周蔓延。油气密度比空气重，容易滞留在地表、水沟、下水道及坑凹处，并贴着地面流向远处，往往在预感不到的地方造成毒性危害。特别是在</w:t>
      </w:r>
      <w:r>
        <w:rPr>
          <w:color w:val="000000" w:themeColor="text1"/>
          <w14:textFill>
            <w14:solidFill>
              <w14:schemeClr w14:val="tx1"/>
            </w14:solidFill>
          </w14:textFill>
        </w:rPr>
        <w:t>空气湿度大、气压低的阴天或有雾天气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由于空气流通差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w:t>
      </w:r>
      <w:r>
        <w:rPr>
          <w:rFonts w:hint="eastAsia"/>
          <w:color w:val="000000" w:themeColor="text1"/>
          <w14:textFill>
            <w14:solidFill>
              <w14:schemeClr w14:val="tx1"/>
            </w14:solidFill>
          </w14:textFill>
        </w:rPr>
        <w:t>气</w:t>
      </w:r>
      <w:r>
        <w:rPr>
          <w:color w:val="000000" w:themeColor="text1"/>
          <w14:textFill>
            <w14:solidFill>
              <w14:schemeClr w14:val="tx1"/>
            </w14:solidFill>
          </w14:textFill>
        </w:rPr>
        <w:t>密度相应增加</w:t>
      </w:r>
      <w:r>
        <w:rPr>
          <w:rFonts w:hint="eastAsia"/>
          <w:color w:val="000000" w:themeColor="text1"/>
          <w14:textFill>
            <w14:solidFill>
              <w14:schemeClr w14:val="tx1"/>
            </w14:solidFill>
          </w14:textFill>
        </w:rPr>
        <w:t>，人员在作业场所往往不可预知就发生中毒和窒息事故。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若发电机排烟管伸出室外的管子损坏或拆除，在发电机运行过程中大量烟气聚集容易造成人员中毒和窒息。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）高处坠落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凡在距离基准面垂直距离为</w:t>
      </w:r>
      <w:r>
        <w:rPr>
          <w:color w:val="000000" w:themeColor="text1"/>
          <w14:textFill>
            <w14:solidFill>
              <w14:schemeClr w14:val="tx1"/>
            </w14:solidFill>
          </w14:textFill>
        </w:rPr>
        <w:t>2m</w:t>
      </w:r>
      <w:r>
        <w:rPr>
          <w:rFonts w:hint="eastAsia"/>
          <w:color w:val="000000" w:themeColor="text1"/>
          <w14:textFill>
            <w14:solidFill>
              <w14:schemeClr w14:val="tx1"/>
            </w14:solidFill>
          </w14:textFill>
        </w:rPr>
        <w:t>以上，有可能坠落的高处作业均称为高处作业。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加油站工作人员在槽罐车顶部量油属于高处作业范畴。如果罐体顶部没有安装护栏，或者是从业人员工作不专心，则有可能发生高处坠落的危险性。</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油品储存过程危险有害因素分析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（1）火灾爆炸</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1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储存过程中，若油罐内油品充装过满，在高温季节时，油罐很容易因油品体积膨胀而破裂受损，油品发生大量泄漏，泄漏的油料液体将可能顺地势向下流淌，若在下游有点火源的话，将会引起加油站发生火灾甚至爆炸。另外，由于汽油气密度比空气重，在油料泄漏的过程中，油气将会贴着地面顺着地势向下游流淌，增大了火灾、爆炸的不确定性。另外，由于油品充装过满，在高温季节时，油品可能会从通气管口流出而发生油品泄漏，而泄漏的油品将挥发成油蒸气与空气的混合物，遇到点火源将发生火灾爆炸，造成严重的事故后果。</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2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油罐未按要求进行防腐处理，在营业过程中，由于罐体腐蚀导致油品泄漏，泄漏的油品或挥发形成的蒸气遇到点火源将引发火灾爆炸事故。</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3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油罐没有按照规范及设计要求采用合格的材料制造或油罐制造过程中有缺陷，油罐的承压强度达不到要求，在油罐外部覆土的压力作用下导致油罐破裂，造成油品大量泄漏，散发出的油蒸气遇到点火源将发生火灾爆炸，造成严重的事故后果。</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4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在雷雨季节时，若加油站未设置防雷接地设施、防雷接地设施有缺陷或未进行检测，可能会发生雷击引发油罐爆炸的恶性事故发生。</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5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⑤</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在储存过程中，由于密封不好、密封失效以及管路渗漏等原因，造成部分油品挥发而形成油蒸气与空气的混合物，遇到点火源可能会造成火灾爆炸事故。</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6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⑥</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油罐没有按照要求设置通气管，在高温季节时，油罐很容易因油品体积膨胀而破裂受损，油品发生大量泄漏，泄漏的油品及蒸气遇到点火源将导致火灾爆炸事故，造成严重的事故后果。</w:t>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 7 \* GB3</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⑦</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油罐通气管口没有按要求设置阻火器，油蒸气将通过通气管口不断挥发，遇到点火源将发生火灾事故，若通气管口距离地面高度太低，通气管口发生火灾后，火焰将可能顺着通气管口回燃至储罐内，造成油罐爆炸的恶性事故，导致重大人员伤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如前所述，在油品储存过程中主要是油品发生大量泄漏后，从业人员接触或吸入而造成人员中毒和窒息。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）静电危险性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产生静电的原因主要有摩擦、压电效应、感应起电、吸附带电等，油品在收发、运转、移动过程中，油分子之间、油与输油管壁之间、油输入体之间、油与空气之间、油与其它物体之间等，都存在着相对的摩擦，便产生了静电，从而引发火灾爆炸事故。要防止静电积聚在油罐、管线和油泵，就必须有良好的静电接地装置，并根据情况结成通路，不准将静电接地与其他接地连在一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）雷击损坏危险性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防雷设备选型、安装不当或缺陷会因雷击而引起火灾爆炸事故，油站若防雷设施设计或管理不当，也有发生雷击破坏的危险性。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）高处坠落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凡在距离基准面垂直距离为</w:t>
      </w:r>
      <w:r>
        <w:rPr>
          <w:color w:val="000000" w:themeColor="text1"/>
          <w14:textFill>
            <w14:solidFill>
              <w14:schemeClr w14:val="tx1"/>
            </w14:solidFill>
          </w14:textFill>
        </w:rPr>
        <w:t>2m</w:t>
      </w:r>
      <w:r>
        <w:rPr>
          <w:rFonts w:hint="eastAsia"/>
          <w:color w:val="000000" w:themeColor="text1"/>
          <w14:textFill>
            <w14:solidFill>
              <w14:schemeClr w14:val="tx1"/>
            </w14:solidFill>
          </w14:textFill>
        </w:rPr>
        <w:t>以上，有可能坠落的高处作业均称为高处作业。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加油站工作人员在对油罐阻火器进行检（维）修属于高处作业范畴。如果没有安装防护设施或者防护设施有缺陷，或者是从业人员工作不专心，则有可能发生高处坠落的危险性。</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加油过程危险有害因素分析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（1）火灾爆炸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加油过程中，现场可能会形成油气与空气形成的混合物，若现场存在点火源如明火、电气火花、静电、雷击、高温红热物体等，将会造成泄漏的油气与空气混和物发生火灾爆炸，造成严重的事故后果。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加油过程中，若加油流速过大，产生的静电发生放电将会引起火灾爆炸事故。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由于加油站现场管理不严，可能出现违反操作规程向塑料桶加油的现象，而往塑料桶内加油将产生的大量的静电，同时在加注过程中现场肯定会有大量的油蒸气，若产生静电放电则会产生灾难性的后果。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加油过程中，加油现场不可避免会有油气散发，若现场</w:t>
      </w:r>
      <w:r>
        <w:rPr>
          <w:color w:val="000000" w:themeColor="text1"/>
          <w14:textFill>
            <w14:solidFill>
              <w14:schemeClr w14:val="tx1"/>
            </w14:solidFill>
          </w14:textFill>
        </w:rPr>
        <w:t>空气湿度大、气压低的阴天或有雾天气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由于空气流通差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w:t>
      </w:r>
      <w:r>
        <w:rPr>
          <w:rFonts w:hint="eastAsia"/>
          <w:color w:val="000000" w:themeColor="text1"/>
          <w14:textFill>
            <w14:solidFill>
              <w14:schemeClr w14:val="tx1"/>
            </w14:solidFill>
          </w14:textFill>
        </w:rPr>
        <w:t>气</w:t>
      </w:r>
      <w:r>
        <w:rPr>
          <w:color w:val="000000" w:themeColor="text1"/>
          <w14:textFill>
            <w14:solidFill>
              <w14:schemeClr w14:val="tx1"/>
            </w14:solidFill>
          </w14:textFill>
        </w:rPr>
        <w:t>密度相应增加</w:t>
      </w:r>
      <w:r>
        <w:rPr>
          <w:rFonts w:hint="eastAsia"/>
          <w:color w:val="000000" w:themeColor="text1"/>
          <w14:textFill>
            <w14:solidFill>
              <w14:schemeClr w14:val="tx1"/>
            </w14:solidFill>
          </w14:textFill>
        </w:rPr>
        <w:t>，人员打手机或其他</w:t>
      </w:r>
      <w:r>
        <w:rPr>
          <w:color w:val="000000" w:themeColor="text1"/>
          <w14:textFill>
            <w14:solidFill>
              <w14:schemeClr w14:val="tx1"/>
            </w14:solidFill>
          </w14:textFill>
        </w:rPr>
        <w:t>无线电发射机发射出的无线电波（射频电磁辐射）</w:t>
      </w:r>
      <w:r>
        <w:rPr>
          <w:rFonts w:hint="eastAsia"/>
          <w:color w:val="000000" w:themeColor="text1"/>
          <w14:textFill>
            <w14:solidFill>
              <w14:schemeClr w14:val="tx1"/>
            </w14:solidFill>
          </w14:textFill>
        </w:rPr>
        <w:t>产生射频火花，将会引发油气爆炸，造成严重的事故后果。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（2）车辆伤害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加油过程中，加油车辆进入加油站，由于不按规定行驶，从业人员若思想不集中、管理不当、加油场地设计不合理、警示标志不明确等因素都会造成车辆伤害，造成人员伤亡和财产损失。</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加油站未设置防雷接地设施、防雷接地设施有缺陷或未进行检测，在雷雨天进行加油作业时，作业人员可能受到雷击而伤亡。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在傍晚或夜间进行加油作业时，加油站将使用相应的照明设施，若照明电气设备、线路存在缺陷，使用中绝缘损坏漏电，未安装漏电保护设施或损坏，将有可能发生触电危险性。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若加油机电气设备、线路老化或线路存在缺陷导致加油机意外带电，将可能导致作业人员触电伤亡。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（4）机械伤害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对于发电机，在对发电机拆盖检修后未及时恢复，或违章作业，人体接触运转件部件将有可能发生机械伤害。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如前所述，在加油过程中主要是油品发生操作失误而导致油品大量泄漏后，从业人员接触或吸入而造成人员中毒和窒息。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（6）坍塌</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该加油站罩棚采用网架结构，若有使用过程中不按要求定期进行全面防腐维修，网架结构可能出现断裂垮塌，造成群死群伤的严重后果。</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配电装置危险有害因素分析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电气线路使用时间过长发生老化，造成绝缘失效或电气设备线路绝缘损坏、线路短路，或者没有按规定设置漏电保护器或损坏，从业人员接触带电物体导致触电。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作业人员违章作业，停送电失误可能导致触电事故发生。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加油站未设置防雷接地设施、防雷接地设施有缺陷或未进行检测，则作业人员可能受到雷击而伤亡。</w:t>
      </w:r>
    </w:p>
    <w:p>
      <w:pPr>
        <w:rPr>
          <w:color w:val="000000" w:themeColor="text1"/>
          <w14:textFill>
            <w14:solidFill>
              <w14:schemeClr w14:val="tx1"/>
            </w14:solidFill>
          </w14:textFill>
        </w:rPr>
      </w:pPr>
      <w:bookmarkStart w:id="286" w:name="_Hlk124355159"/>
      <w:r>
        <w:rPr>
          <w:rFonts w:hint="eastAsia"/>
          <w:color w:val="000000" w:themeColor="text1"/>
          <w14:textFill>
            <w14:solidFill>
              <w14:schemeClr w14:val="tx1"/>
            </w14:solidFill>
          </w14:textFill>
        </w:rPr>
        <w:t>（2）火灾</w:t>
      </w:r>
    </w:p>
    <w:bookmarkEnd w:id="286"/>
    <w:p>
      <w:pPr>
        <w:rPr>
          <w:color w:val="000000" w:themeColor="text1"/>
          <w14:textFill>
            <w14:solidFill>
              <w14:schemeClr w14:val="tx1"/>
            </w14:solidFill>
          </w14:textFill>
        </w:rPr>
      </w:pPr>
      <w:r>
        <w:rPr>
          <w:rFonts w:hint="eastAsia"/>
          <w:color w:val="000000" w:themeColor="text1"/>
          <w14:textFill>
            <w14:solidFill>
              <w14:schemeClr w14:val="tx1"/>
            </w14:solidFill>
          </w14:textFill>
        </w:rPr>
        <w:t>电气线路发生短路时造成火灾。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线路、电气设备超载运行导致绝缘材料受热起火。</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照明灯泡过于靠近易燃物易引起火灾。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发电机等设备周边存放易燃物质。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若发电机排烟管破损，在发电机运行过程中大量烟气聚集容易造成人员中毒和窒息。</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检、维修过程危险有害因素分析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（1）火灾爆炸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加油站在进行油罐检修作业时，若在进入受限空间作业前没有进行置换、置换不彻底或采用纯氧进行置换，在检修过程中由于电焊、火星等会导致罐内的混合气体发生爆炸，造成严重的人员伤亡事故。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如果电气设备、线路存在缺陷，检修中绝缘损坏漏电，未安装漏电保护设施或损坏，检修作业安全距离不够，作业人员接触带电物体或设备将导致触电事故发生。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安全管理上存在缺陷，检修时突然送电造成触电事故发生。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加油站未设置防雷接地设施、防雷接地设施有缺陷或未进行检测，则作业人员可能受到雷击而伤亡。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作业人员进入受限空间作业，与电气设备频繁接触，如果照明灯具和电动工具漏电，会导致作业人员触电。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（3）中毒和窒息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加油站存在油罐检修作业，即存在受限空间作业，如在作业中没有进行通风或通风不良，作业人员将会因含氧量降低而窒息死亡。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在进行油罐检修作业前没有进行置换、置换不彻底，罐内有大量的油蒸气，若作业人员吸入将导致中毒。</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（4）高处坠落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在对罩棚及罩棚下的照明灯具进行检修时，若防护设施缺陷或未有防护措施等，有发生高处坠落的危险。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在对罩棚、站房、辅助用房进行检修或其他高处检修作业或在高处巡检，若防护设施缺陷或未有防护措施等，有发生高处坠落的危险。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（5）机械伤害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在进行检修时，作业人员可能会使用机械设备或手持式电动工具，若外露转动部、安全防护装置不完善或操作人员违章作业，人体接触运转部件将有可能发生机械伤害。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对于发电机，在对发电机拆盖检修后未及时恢复，或违章作业，人体接触运转部件将有可能发生机械伤害。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（6）其他</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在对罩棚及罩棚下的照明灯具进行检修时，若未采取有效的管理措施，检修过程中物体掉下将会对检修区下方通过的人员造成伤害。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在加油站检修过程中，若由于管理存在缺陷，未对加油站采取停业措施，外部车辆进入加油站将可能对检修人员造成伤害。</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特殊作业危险性分析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1.动火作业危险、有害因素分析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动火作业是指：</w:t>
      </w:r>
      <w:r>
        <w:rPr>
          <w:color w:val="000000" w:themeColor="text1"/>
          <w14:textFill>
            <w14:solidFill>
              <w14:schemeClr w14:val="tx1"/>
            </w14:solidFill>
          </w14:textFill>
        </w:rPr>
        <w:t>直接或间接产生明火的工艺设备以外的禁火区内可能产生火焰、火花或炽热表面的非常规作业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如使用电焊、气焊（割）、喷灯、电钻、砂轮等进行的作业。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动火作业</w:t>
      </w:r>
      <w:r>
        <w:rPr>
          <w:rFonts w:hint="eastAsia"/>
          <w:color w:val="000000" w:themeColor="text1"/>
          <w14:textFill>
            <w14:solidFill>
              <w14:schemeClr w14:val="tx1"/>
            </w14:solidFill>
          </w14:textFill>
        </w:rPr>
        <w:t>无</w:t>
      </w:r>
      <w:r>
        <w:rPr>
          <w:color w:val="000000" w:themeColor="text1"/>
          <w14:textFill>
            <w14:solidFill>
              <w14:schemeClr w14:val="tx1"/>
            </w14:solidFill>
          </w14:textFill>
        </w:rPr>
        <w:t>专人监火</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作业前</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清除动火现场及周围的易燃物品</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或</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采取其他有效安全防火措施</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配备消防器材</w:t>
      </w:r>
      <w:r>
        <w:rPr>
          <w:rFonts w:hint="eastAsia"/>
          <w:color w:val="000000" w:themeColor="text1"/>
          <w14:textFill>
            <w14:solidFill>
              <w14:schemeClr w14:val="tx1"/>
            </w14:solidFill>
          </w14:textFill>
        </w:rPr>
        <w:t>，可能导致火灾。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动火点周围或其下方的地面如有可燃物、空洞、窨井、地沟、水封等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动火点周围有可能</w:t>
      </w:r>
      <w:r>
        <w:rPr>
          <w:rFonts w:hint="eastAsia"/>
          <w:color w:val="000000" w:themeColor="text1"/>
          <w14:textFill>
            <w14:solidFill>
              <w14:schemeClr w14:val="tx1"/>
            </w14:solidFill>
          </w14:textFill>
        </w:rPr>
        <w:t>泄漏</w:t>
      </w:r>
      <w:r>
        <w:rPr>
          <w:color w:val="000000" w:themeColor="text1"/>
          <w14:textFill>
            <w14:solidFill>
              <w14:schemeClr w14:val="tx1"/>
            </w14:solidFill>
          </w14:textFill>
        </w:rPr>
        <w:t>易燃、可燃物料的设备</w:t>
      </w:r>
      <w:r>
        <w:rPr>
          <w:rFonts w:hint="eastAsia"/>
          <w:color w:val="000000" w:themeColor="text1"/>
          <w14:textFill>
            <w14:solidFill>
              <w14:schemeClr w14:val="tx1"/>
            </w14:solidFill>
          </w14:textFill>
        </w:rPr>
        <w:t>，可能导致火灾。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在盛有或盛装过</w:t>
      </w:r>
      <w:r>
        <w:rPr>
          <w:rFonts w:hint="eastAsia"/>
          <w:color w:val="000000" w:themeColor="text1"/>
          <w14:textFill>
            <w14:solidFill>
              <w14:schemeClr w14:val="tx1"/>
            </w14:solidFill>
          </w14:textFill>
        </w:rPr>
        <w:t>油品</w:t>
      </w:r>
      <w:r>
        <w:rPr>
          <w:color w:val="000000" w:themeColor="text1"/>
          <w14:textFill>
            <w14:solidFill>
              <w14:schemeClr w14:val="tx1"/>
            </w14:solidFill>
          </w14:textFill>
        </w:rPr>
        <w:t>的设备、管道等设施上动火作业</w:t>
      </w:r>
      <w:r>
        <w:rPr>
          <w:rFonts w:hint="eastAsia"/>
          <w:color w:val="000000" w:themeColor="text1"/>
          <w14:textFill>
            <w14:solidFill>
              <w14:schemeClr w14:val="tx1"/>
            </w14:solidFill>
          </w14:textFill>
        </w:rPr>
        <w:t>时，未</w:t>
      </w:r>
      <w:r>
        <w:rPr>
          <w:color w:val="000000" w:themeColor="text1"/>
          <w14:textFill>
            <w14:solidFill>
              <w14:schemeClr w14:val="tx1"/>
            </w14:solidFill>
          </w14:textFill>
        </w:rPr>
        <w:t>将其与生产系统彻底隔离</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进行清洗、置换</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分析合格后</w:t>
      </w:r>
      <w:r>
        <w:rPr>
          <w:rFonts w:hint="eastAsia"/>
          <w:color w:val="000000" w:themeColor="text1"/>
          <w14:textFill>
            <w14:solidFill>
              <w14:schemeClr w14:val="tx1"/>
            </w14:solidFill>
          </w14:textFill>
        </w:rPr>
        <w:t>即</w:t>
      </w:r>
      <w:r>
        <w:rPr>
          <w:color w:val="000000" w:themeColor="text1"/>
          <w14:textFill>
            <w14:solidFill>
              <w14:schemeClr w14:val="tx1"/>
            </w14:solidFill>
          </w14:textFill>
        </w:rPr>
        <w:t>作业</w:t>
      </w:r>
      <w:r>
        <w:rPr>
          <w:rFonts w:hint="eastAsia"/>
          <w:color w:val="000000" w:themeColor="text1"/>
          <w14:textFill>
            <w14:solidFill>
              <w14:schemeClr w14:val="tx1"/>
            </w14:solidFill>
          </w14:textFill>
        </w:rPr>
        <w:t>，可能导致火灾。</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使用气焊、气割动火作业时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乙炔瓶</w:t>
      </w:r>
      <w:r>
        <w:rPr>
          <w:rFonts w:hint="eastAsia"/>
          <w:color w:val="000000" w:themeColor="text1"/>
          <w14:textFill>
            <w14:solidFill>
              <w14:schemeClr w14:val="tx1"/>
            </w14:solidFill>
          </w14:textFill>
        </w:rPr>
        <w:t>与</w:t>
      </w:r>
      <w:r>
        <w:rPr>
          <w:color w:val="000000" w:themeColor="text1"/>
          <w14:textFill>
            <w14:solidFill>
              <w14:schemeClr w14:val="tx1"/>
            </w14:solidFill>
          </w14:textFill>
        </w:rPr>
        <w:t>氧气瓶之间距</w:t>
      </w:r>
      <w:r>
        <w:rPr>
          <w:rFonts w:hint="eastAsia"/>
          <w:color w:val="000000" w:themeColor="text1"/>
          <w14:textFill>
            <w14:solidFill>
              <w14:schemeClr w14:val="tx1"/>
            </w14:solidFill>
          </w14:textFill>
        </w:rPr>
        <w:t>不等可能在发生火灾时造成火灾事故的扩大。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（5）动火</w:t>
      </w:r>
      <w:r>
        <w:rPr>
          <w:color w:val="000000" w:themeColor="text1"/>
          <w14:textFill>
            <w14:solidFill>
              <w14:schemeClr w14:val="tx1"/>
            </w14:solidFill>
          </w14:textFill>
        </w:rPr>
        <w:t>作业完毕</w:t>
      </w:r>
      <w:r>
        <w:rPr>
          <w:rFonts w:hint="eastAsia"/>
          <w:color w:val="000000" w:themeColor="text1"/>
          <w14:textFill>
            <w14:solidFill>
              <w14:schemeClr w14:val="tx1"/>
            </w14:solidFill>
          </w14:textFill>
        </w:rPr>
        <w:t>后未</w:t>
      </w:r>
      <w:r>
        <w:rPr>
          <w:color w:val="000000" w:themeColor="text1"/>
          <w14:textFill>
            <w14:solidFill>
              <w14:schemeClr w14:val="tx1"/>
            </w14:solidFill>
          </w14:textFill>
        </w:rPr>
        <w:t>清理现场</w:t>
      </w:r>
      <w:r>
        <w:rPr>
          <w:rFonts w:hint="eastAsia"/>
          <w:color w:val="000000" w:themeColor="text1"/>
          <w14:textFill>
            <w14:solidFill>
              <w14:schemeClr w14:val="tx1"/>
            </w14:solidFill>
          </w14:textFill>
        </w:rPr>
        <w:t>并</w:t>
      </w:r>
      <w:r>
        <w:rPr>
          <w:color w:val="000000" w:themeColor="text1"/>
          <w14:textFill>
            <w14:solidFill>
              <w14:schemeClr w14:val="tx1"/>
            </w14:solidFill>
          </w14:textFill>
        </w:rPr>
        <w:t>确认无残留火种后</w:t>
      </w:r>
      <w:r>
        <w:rPr>
          <w:rFonts w:hint="eastAsia"/>
          <w:color w:val="000000" w:themeColor="text1"/>
          <w14:textFill>
            <w14:solidFill>
              <w14:schemeClr w14:val="tx1"/>
            </w14:solidFill>
          </w14:textFill>
        </w:rPr>
        <w:t>即</w:t>
      </w:r>
      <w:r>
        <w:rPr>
          <w:color w:val="000000" w:themeColor="text1"/>
          <w14:textFill>
            <w14:solidFill>
              <w14:schemeClr w14:val="tx1"/>
            </w14:solidFill>
          </w14:textFill>
        </w:rPr>
        <w:t>离开</w:t>
      </w:r>
      <w:r>
        <w:rPr>
          <w:rFonts w:hint="eastAsia"/>
          <w:color w:val="000000" w:themeColor="text1"/>
          <w14:textFill>
            <w14:solidFill>
              <w14:schemeClr w14:val="tx1"/>
            </w14:solidFill>
          </w14:textFill>
        </w:rPr>
        <w:t>，可能导致火灾事故。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（6）在油罐等设备内部进行动火作业前未进行动火分析，可能导致火灾、爆炸事故。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2.受限空间作业危险、有害因素分析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受限空间是指：</w:t>
      </w:r>
      <w:r>
        <w:rPr>
          <w:color w:val="000000" w:themeColor="text1"/>
          <w14:textFill>
            <w14:solidFill>
              <w14:schemeClr w14:val="tx1"/>
            </w14:solidFill>
          </w14:textFill>
        </w:rPr>
        <w:t>进出口受限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通风不良</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可能存在易燃易爆、有毒有害物质或缺氧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对进入人员的身体健康和生命安全构成威胁的封闭、半封闭设施及场所</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如罐、</w:t>
      </w:r>
      <w:r>
        <w:rPr>
          <w:rFonts w:hint="eastAsia"/>
          <w:color w:val="000000" w:themeColor="text1"/>
          <w14:textFill>
            <w14:solidFill>
              <w14:schemeClr w14:val="tx1"/>
            </w14:solidFill>
          </w14:textFill>
        </w:rPr>
        <w:t>操作井</w:t>
      </w:r>
      <w:r>
        <w:rPr>
          <w:color w:val="000000" w:themeColor="text1"/>
          <w14:textFill>
            <w14:solidFill>
              <w14:schemeClr w14:val="tx1"/>
            </w14:solidFill>
          </w14:textFill>
        </w:rPr>
        <w:t>、坑（池）</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受限空间作业即</w:t>
      </w:r>
      <w:r>
        <w:rPr>
          <w:color w:val="000000" w:themeColor="text1"/>
          <w14:textFill>
            <w14:solidFill>
              <w14:schemeClr w14:val="tx1"/>
            </w14:solidFill>
          </w14:textFill>
        </w:rPr>
        <w:t>进入或探入受限空间进行的作业。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（1）进入受限空间作业</w:t>
      </w:r>
      <w:r>
        <w:rPr>
          <w:color w:val="000000" w:themeColor="text1"/>
          <w14:textFill>
            <w14:solidFill>
              <w14:schemeClr w14:val="tx1"/>
            </w14:solidFill>
          </w14:textFill>
        </w:rPr>
        <w:t>前</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根据</w:t>
      </w:r>
      <w:r>
        <w:rPr>
          <w:rFonts w:hint="eastAsia"/>
          <w:color w:val="000000" w:themeColor="text1"/>
          <w14:textFill>
            <w14:solidFill>
              <w14:schemeClr w14:val="tx1"/>
            </w14:solidFill>
          </w14:textFill>
        </w:rPr>
        <w:t>受限空间</w:t>
      </w:r>
      <w:r>
        <w:rPr>
          <w:color w:val="000000" w:themeColor="text1"/>
          <w14:textFill>
            <w14:solidFill>
              <w14:schemeClr w14:val="tx1"/>
            </w14:solidFill>
          </w14:textFill>
        </w:rPr>
        <w:t>盛装（过）的物料特性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对受限空间进行清洗或置换</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（2）受限空间作业时未能</w:t>
      </w:r>
      <w:r>
        <w:rPr>
          <w:color w:val="000000" w:themeColor="text1"/>
          <w14:textFill>
            <w14:solidFill>
              <w14:schemeClr w14:val="tx1"/>
            </w14:solidFill>
          </w14:textFill>
        </w:rPr>
        <w:t>保持</w:t>
      </w:r>
      <w:r>
        <w:rPr>
          <w:rFonts w:hint="eastAsia"/>
          <w:color w:val="000000" w:themeColor="text1"/>
          <w14:textFill>
            <w14:solidFill>
              <w14:schemeClr w14:val="tx1"/>
            </w14:solidFill>
          </w14:textFill>
        </w:rPr>
        <w:t>受限空间</w:t>
      </w:r>
      <w:r>
        <w:rPr>
          <w:color w:val="000000" w:themeColor="text1"/>
          <w14:textFill>
            <w14:solidFill>
              <w14:schemeClr w14:val="tx1"/>
            </w14:solidFill>
          </w14:textFill>
        </w:rPr>
        <w:t>空气流通良好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可</w:t>
      </w:r>
      <w:r>
        <w:rPr>
          <w:rFonts w:hint="eastAsia"/>
          <w:color w:val="000000" w:themeColor="text1"/>
          <w14:textFill>
            <w14:solidFill>
              <w14:schemeClr w14:val="tx1"/>
            </w14:solidFill>
          </w14:textFill>
        </w:rPr>
        <w:t>能导致在受限空间内作业时发生窒息。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（3）受限空间</w:t>
      </w:r>
      <w:r>
        <w:rPr>
          <w:color w:val="000000" w:themeColor="text1"/>
          <w14:textFill>
            <w14:solidFill>
              <w14:schemeClr w14:val="tx1"/>
            </w14:solidFill>
          </w14:textFill>
        </w:rPr>
        <w:t>照明电压</w:t>
      </w:r>
      <w:r>
        <w:rPr>
          <w:rFonts w:hint="eastAsia"/>
          <w:color w:val="000000" w:themeColor="text1"/>
          <w14:textFill>
            <w14:solidFill>
              <w14:schemeClr w14:val="tx1"/>
            </w14:solidFill>
          </w14:textFill>
        </w:rPr>
        <w:t>若大于</w:t>
      </w:r>
      <w:r>
        <w:rPr>
          <w:color w:val="000000" w:themeColor="text1"/>
          <w14:textFill>
            <w14:solidFill>
              <w14:schemeClr w14:val="tx1"/>
            </w14:solidFill>
          </w14:textFill>
        </w:rPr>
        <w:t>36V</w:t>
      </w:r>
      <w:r>
        <w:rPr>
          <w:rFonts w:hint="eastAsia"/>
          <w:color w:val="000000" w:themeColor="text1"/>
          <w14:textFill>
            <w14:solidFill>
              <w14:schemeClr w14:val="tx1"/>
            </w14:solidFill>
          </w14:textFill>
        </w:rPr>
        <w:t>，在受限空间内作业有可能引发触电事故。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（4）受限空间外无专人监护或监护人员作业时间内离开均有可能导致事故发生。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（5）受限空间</w:t>
      </w:r>
      <w:r>
        <w:rPr>
          <w:color w:val="000000" w:themeColor="text1"/>
          <w14:textFill>
            <w14:solidFill>
              <w14:schemeClr w14:val="tx1"/>
            </w14:solidFill>
          </w14:textFill>
        </w:rPr>
        <w:t>外</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设置安全警示标志</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备有空气呼吸器、消防器材和清水等相应的应急用品</w:t>
      </w:r>
      <w:r>
        <w:rPr>
          <w:rFonts w:hint="eastAsia"/>
          <w:color w:val="000000" w:themeColor="text1"/>
          <w14:textFill>
            <w14:solidFill>
              <w14:schemeClr w14:val="tx1"/>
            </w14:solidFill>
          </w14:textFill>
        </w:rPr>
        <w:t>，可能导致火灾、人员伤亡事故。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3.高处作业危险、有害因素分析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高处作业是指：</w:t>
      </w:r>
      <w:r>
        <w:rPr>
          <w:color w:val="000000" w:themeColor="text1"/>
          <w14:textFill>
            <w14:solidFill>
              <w14:schemeClr w14:val="tx1"/>
            </w14:solidFill>
          </w14:textFill>
        </w:rPr>
        <w:t>在距坠落基准面2m及2m以上有可能坠落的高处进行的作业。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在</w:t>
      </w:r>
      <w:r>
        <w:rPr>
          <w:rFonts w:hint="eastAsia"/>
          <w:color w:val="000000" w:themeColor="text1"/>
          <w14:textFill>
            <w14:solidFill>
              <w14:schemeClr w14:val="tx1"/>
            </w14:solidFill>
          </w14:textFill>
        </w:rPr>
        <w:t>对罩棚顶部维修</w:t>
      </w:r>
      <w:r>
        <w:rPr>
          <w:color w:val="000000" w:themeColor="text1"/>
          <w14:textFill>
            <w14:solidFill>
              <w14:schemeClr w14:val="tx1"/>
            </w14:solidFill>
          </w14:textFill>
        </w:rPr>
        <w:t>作业</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铺设牢固的脚手板并加以固定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脚手板上</w:t>
      </w:r>
      <w:r>
        <w:rPr>
          <w:rFonts w:hint="eastAsia"/>
          <w:color w:val="000000" w:themeColor="text1"/>
          <w14:textFill>
            <w14:solidFill>
              <w14:schemeClr w14:val="tx1"/>
            </w14:solidFill>
          </w14:textFill>
        </w:rPr>
        <w:t>未设置</w:t>
      </w:r>
      <w:r>
        <w:rPr>
          <w:color w:val="000000" w:themeColor="text1"/>
          <w14:textFill>
            <w14:solidFill>
              <w14:schemeClr w14:val="tx1"/>
            </w14:solidFill>
          </w14:textFill>
        </w:rPr>
        <w:t>有防滑措施</w:t>
      </w:r>
      <w:r>
        <w:rPr>
          <w:rFonts w:hint="eastAsia"/>
          <w:color w:val="000000" w:themeColor="text1"/>
          <w14:textFill>
            <w14:solidFill>
              <w14:schemeClr w14:val="tx1"/>
            </w14:solidFill>
          </w14:textFill>
        </w:rPr>
        <w:t>等，可能发生高处坠落事故</w:t>
      </w:r>
      <w:r>
        <w:rPr>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雨天和雪天作业时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采取可靠的防滑、防寒措施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遇有五级以上强风、浓雾等恶劣气候</w:t>
      </w:r>
      <w:r>
        <w:rPr>
          <w:rFonts w:hint="eastAsia"/>
          <w:color w:val="000000" w:themeColor="text1"/>
          <w14:textFill>
            <w14:solidFill>
              <w14:schemeClr w14:val="tx1"/>
            </w14:solidFill>
          </w14:textFill>
        </w:rPr>
        <w:t>，仍然</w:t>
      </w:r>
      <w:r>
        <w:rPr>
          <w:color w:val="000000" w:themeColor="text1"/>
          <w14:textFill>
            <w14:solidFill>
              <w14:schemeClr w14:val="tx1"/>
            </w14:solidFill>
          </w14:textFill>
        </w:rPr>
        <w:t>进行高处作业、露天攀登与悬空高处作业</w:t>
      </w:r>
      <w:r>
        <w:rPr>
          <w:rFonts w:hint="eastAsia"/>
          <w:color w:val="000000" w:themeColor="text1"/>
          <w14:textFill>
            <w14:solidFill>
              <w14:schemeClr w14:val="tx1"/>
            </w14:solidFill>
          </w14:textFill>
        </w:rPr>
        <w:t>，可能发生高处坠落事故</w:t>
      </w:r>
      <w:r>
        <w:rPr>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作业使用的工具、材料、零件等</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装入工具袋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上下时手持</w:t>
      </w:r>
      <w:r>
        <w:rPr>
          <w:rFonts w:hint="eastAsia"/>
          <w:color w:val="000000" w:themeColor="text1"/>
          <w14:textFill>
            <w14:solidFill>
              <w14:schemeClr w14:val="tx1"/>
            </w14:solidFill>
          </w14:textFill>
        </w:rPr>
        <w:t>工具，</w:t>
      </w:r>
      <w:r>
        <w:rPr>
          <w:color w:val="000000" w:themeColor="text1"/>
          <w14:textFill>
            <w14:solidFill>
              <w14:schemeClr w14:val="tx1"/>
            </w14:solidFill>
          </w14:textFill>
        </w:rPr>
        <w:t>投掷工具、材料及其他物品</w:t>
      </w:r>
      <w:r>
        <w:rPr>
          <w:rFonts w:hint="eastAsia"/>
          <w:color w:val="000000" w:themeColor="text1"/>
          <w14:textFill>
            <w14:solidFill>
              <w14:schemeClr w14:val="tx1"/>
            </w14:solidFill>
          </w14:textFill>
        </w:rPr>
        <w:t>，或</w:t>
      </w:r>
      <w:r>
        <w:rPr>
          <w:color w:val="000000" w:themeColor="text1"/>
          <w14:textFill>
            <w14:solidFill>
              <w14:schemeClr w14:val="tx1"/>
            </w14:solidFill>
          </w14:textFill>
        </w:rPr>
        <w:t>易滑动、易滚动的工具、材料堆放在脚手架上时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采取防坠落措施</w:t>
      </w:r>
      <w:r>
        <w:rPr>
          <w:rFonts w:hint="eastAsia"/>
          <w:color w:val="000000" w:themeColor="text1"/>
          <w14:textFill>
            <w14:solidFill>
              <w14:schemeClr w14:val="tx1"/>
            </w14:solidFill>
          </w14:textFill>
        </w:rPr>
        <w:t>，均有可能发生物体坠落、打击事故。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与其他作业交叉进行时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按指定的路线上下</w:t>
      </w:r>
      <w:r>
        <w:rPr>
          <w:rFonts w:hint="eastAsia"/>
          <w:color w:val="000000" w:themeColor="text1"/>
          <w14:textFill>
            <w14:solidFill>
              <w14:schemeClr w14:val="tx1"/>
            </w14:solidFill>
          </w14:textFill>
        </w:rPr>
        <w:t>，或</w:t>
      </w:r>
      <w:r>
        <w:rPr>
          <w:color w:val="000000" w:themeColor="text1"/>
          <w14:textFill>
            <w14:solidFill>
              <w14:schemeClr w14:val="tx1"/>
            </w14:solidFill>
          </w14:textFill>
        </w:rPr>
        <w:t>上下垂直作业</w:t>
      </w:r>
      <w:r>
        <w:rPr>
          <w:rFonts w:hint="eastAsia"/>
          <w:color w:val="000000" w:themeColor="text1"/>
          <w14:textFill>
            <w14:solidFill>
              <w14:schemeClr w14:val="tx1"/>
            </w14:solidFill>
          </w14:textFill>
        </w:rPr>
        <w:t>时未</w:t>
      </w:r>
      <w:r>
        <w:rPr>
          <w:color w:val="000000" w:themeColor="text1"/>
          <w14:textFill>
            <w14:solidFill>
              <w14:schemeClr w14:val="tx1"/>
            </w14:solidFill>
          </w14:textFill>
        </w:rPr>
        <w:t>采取可靠的隔离措施</w:t>
      </w:r>
      <w:r>
        <w:rPr>
          <w:rFonts w:hint="eastAsia"/>
          <w:color w:val="000000" w:themeColor="text1"/>
          <w14:textFill>
            <w14:solidFill>
              <w14:schemeClr w14:val="tx1"/>
            </w14:solidFill>
          </w14:textFill>
        </w:rPr>
        <w:t>，均有可能发生物体打击、高处坠落事故发生</w:t>
      </w:r>
      <w:r>
        <w:rPr>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因作业必需</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临时拆除或变动安全防护设施时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经作业审批人员同意</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采取相应的防护措施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作业后</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立即恢复</w:t>
      </w:r>
      <w:r>
        <w:rPr>
          <w:rFonts w:hint="eastAsia"/>
          <w:color w:val="000000" w:themeColor="text1"/>
          <w14:textFill>
            <w14:solidFill>
              <w14:schemeClr w14:val="tx1"/>
            </w14:solidFill>
          </w14:textFill>
        </w:rPr>
        <w:t>，均有可能发生高处坠落等事故的发生。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拆除脚手架、防护棚时</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设警戒区并派专人监护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上部和下部同时施工</w:t>
      </w:r>
      <w:r>
        <w:rPr>
          <w:rFonts w:hint="eastAsia"/>
          <w:color w:val="000000" w:themeColor="text1"/>
          <w14:textFill>
            <w14:solidFill>
              <w14:schemeClr w14:val="tx1"/>
            </w14:solidFill>
          </w14:textFill>
        </w:rPr>
        <w:t>，均有可能发生高处坠落、物体打击等事故的发生</w:t>
      </w:r>
      <w:r>
        <w:rPr>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4.临时用电危险、有害因素分析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临时用电是指：</w:t>
      </w:r>
      <w:r>
        <w:rPr>
          <w:color w:val="000000" w:themeColor="text1"/>
          <w14:textFill>
            <w14:solidFill>
              <w14:schemeClr w14:val="tx1"/>
            </w14:solidFill>
          </w14:textFill>
        </w:rPr>
        <w:t>正式运行的电源上所接的非永久性用电。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在运行的生产</w:t>
      </w:r>
      <w:r>
        <w:rPr>
          <w:rFonts w:hint="eastAsia"/>
          <w:color w:val="000000" w:themeColor="text1"/>
          <w14:textFill>
            <w14:solidFill>
              <w14:schemeClr w14:val="tx1"/>
            </w14:solidFill>
          </w14:textFill>
        </w:rPr>
        <w:t>设备</w:t>
      </w:r>
      <w:r>
        <w:rPr>
          <w:color w:val="000000" w:themeColor="text1"/>
          <w14:textFill>
            <w14:solidFill>
              <w14:schemeClr w14:val="tx1"/>
            </w14:solidFill>
          </w14:textFill>
        </w:rPr>
        <w:t>、罐区和具有火灾爆炸危险场所内</w:t>
      </w:r>
      <w:r>
        <w:rPr>
          <w:rFonts w:hint="eastAsia"/>
          <w:color w:val="000000" w:themeColor="text1"/>
          <w14:textFill>
            <w14:solidFill>
              <w14:schemeClr w14:val="tx1"/>
            </w14:solidFill>
          </w14:textFill>
        </w:rPr>
        <w:t>违规</w:t>
      </w:r>
      <w:r>
        <w:rPr>
          <w:color w:val="000000" w:themeColor="text1"/>
          <w14:textFill>
            <w14:solidFill>
              <w14:schemeClr w14:val="tx1"/>
            </w14:solidFill>
          </w14:textFill>
        </w:rPr>
        <w:t>接临时电源</w:t>
      </w:r>
      <w:r>
        <w:rPr>
          <w:rFonts w:hint="eastAsia"/>
          <w:color w:val="000000" w:themeColor="text1"/>
          <w14:textFill>
            <w14:solidFill>
              <w14:schemeClr w14:val="tx1"/>
            </w14:solidFill>
          </w14:textFill>
        </w:rPr>
        <w:t>，可能导致火灾、爆炸事故的发生。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在开关上接引、拆除临时用电线路时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其上级开关</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断电上锁并加挂安全警示标牌</w:t>
      </w:r>
      <w:r>
        <w:rPr>
          <w:rFonts w:hint="eastAsia"/>
          <w:color w:val="000000" w:themeColor="text1"/>
          <w14:textFill>
            <w14:solidFill>
              <w14:schemeClr w14:val="tx1"/>
            </w14:solidFill>
          </w14:textFill>
        </w:rPr>
        <w:t>，可能引发触电伤害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临时用电</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设置保护开关</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使用前</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检查电气装置和保护设施的可靠性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临时用电</w:t>
      </w:r>
      <w:r>
        <w:rPr>
          <w:rFonts w:hint="eastAsia"/>
          <w:color w:val="000000" w:themeColor="text1"/>
          <w14:textFill>
            <w14:solidFill>
              <w14:schemeClr w14:val="tx1"/>
            </w14:solidFill>
          </w14:textFill>
        </w:rPr>
        <w:t>未</w:t>
      </w:r>
      <w:r>
        <w:rPr>
          <w:color w:val="000000" w:themeColor="text1"/>
          <w14:textFill>
            <w14:solidFill>
              <w14:schemeClr w14:val="tx1"/>
            </w14:solidFill>
          </w14:textFill>
        </w:rPr>
        <w:t>设置接地保护</w:t>
      </w:r>
      <w:r>
        <w:rPr>
          <w:rFonts w:hint="eastAsia"/>
          <w:color w:val="000000" w:themeColor="text1"/>
          <w14:textFill>
            <w14:solidFill>
              <w14:schemeClr w14:val="tx1"/>
            </w14:solidFill>
          </w14:textFill>
        </w:rPr>
        <w:t>，均有可能导致电气火灾、触电事故的发生。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临时用电线路经过有高温、振动、积水及产生机械损伤等区域</w:t>
      </w:r>
      <w:r>
        <w:rPr>
          <w:rFonts w:hint="eastAsia"/>
          <w:color w:val="000000" w:themeColor="text1"/>
          <w14:textFill>
            <w14:solidFill>
              <w14:schemeClr w14:val="tx1"/>
            </w14:solidFill>
          </w14:textFill>
        </w:rPr>
        <w:t>，若</w:t>
      </w:r>
      <w:r>
        <w:rPr>
          <w:color w:val="000000" w:themeColor="text1"/>
          <w14:textFill>
            <w14:solidFill>
              <w14:schemeClr w14:val="tx1"/>
            </w14:solidFill>
          </w14:textFill>
        </w:rPr>
        <w:t>有接头</w:t>
      </w:r>
      <w:r>
        <w:rPr>
          <w:rFonts w:hint="eastAsia"/>
          <w:color w:val="000000" w:themeColor="text1"/>
          <w14:textFill>
            <w14:solidFill>
              <w14:schemeClr w14:val="tx1"/>
            </w14:solidFill>
          </w14:textFill>
        </w:rPr>
        <w:t>，可能发生触电事故。</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自然条件及其他危险性分析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（1）风速、风向</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若加油站设计时没有考虑当地的风速、风向，将导致在罩棚的设计时对风荷载考虑不足，可能导致罩棚抗风荷载能力不足，在遇到瞬时强风时或暴雨天气可能导致罩棚垮塌，造成极其严重的事故后果。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（2）温度</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加油站所处区域气象条件恶劣，当气温很高时，油品蒸发速度增加，同时散发的油蒸气分子活性很强，遇到小火星或未熄灭的烟头等都将很容易将油蒸气引燃引爆，从而对加油站造成重大的人员伤亡和财产损失，特别是在高温季节卸油和加油时危险性增强。当气温很低时，将可能造成油罐及输油管线收缩变形，甚至造成油罐和管线破裂，造成油品泄漏的严重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所在地年平均气温16.7℃，极端最高气温及极端最低气温可能会对加油站的设备造成一定影响，但由于加油站采用埋地油罐，而且出现极端气温的概率较小，因此出现极端天气对加油站的影响在可接受的范围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（3）湿度</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加油站在加油、卸油时，现场不可避免会有油气散发，若现场</w:t>
      </w:r>
      <w:r>
        <w:rPr>
          <w:color w:val="000000" w:themeColor="text1"/>
          <w14:textFill>
            <w14:solidFill>
              <w14:schemeClr w14:val="tx1"/>
            </w14:solidFill>
          </w14:textFill>
        </w:rPr>
        <w:t>空气湿度大、气压低的阴天或有雾天气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由于空气流通差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w:t>
      </w:r>
      <w:r>
        <w:rPr>
          <w:rFonts w:hint="eastAsia"/>
          <w:color w:val="000000" w:themeColor="text1"/>
          <w14:textFill>
            <w14:solidFill>
              <w14:schemeClr w14:val="tx1"/>
            </w14:solidFill>
          </w14:textFill>
        </w:rPr>
        <w:t>气</w:t>
      </w:r>
      <w:r>
        <w:rPr>
          <w:color w:val="000000" w:themeColor="text1"/>
          <w14:textFill>
            <w14:solidFill>
              <w14:schemeClr w14:val="tx1"/>
            </w14:solidFill>
          </w14:textFill>
        </w:rPr>
        <w:t>密度相应增加</w:t>
      </w:r>
      <w:r>
        <w:rPr>
          <w:rFonts w:hint="eastAsia"/>
          <w:color w:val="000000" w:themeColor="text1"/>
          <w14:textFill>
            <w14:solidFill>
              <w14:schemeClr w14:val="tx1"/>
            </w14:solidFill>
          </w14:textFill>
        </w:rPr>
        <w:t>。遇到点火源将发生火灾爆炸事故，造成严重的事故后果。本加油站处位置周边无高大建筑物或山体的遮挡，通风条件良好，因此因湿度、气压等原因造成油气聚集引发事故的可能性很小。</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（4）降水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罩棚若没有设置足够的排水设施或排水管堵塞，将可能有大量雨水聚集在罩棚顶部，导致罩棚垮塌，造成群死群伤的事故后果。</w:t>
      </w:r>
    </w:p>
    <w:p>
      <w:pPr>
        <w:rPr>
          <w:color w:val="000000" w:themeColor="text1"/>
          <w14:textFill>
            <w14:solidFill>
              <w14:schemeClr w14:val="tx1"/>
            </w14:solidFill>
          </w14:textFill>
        </w:rPr>
      </w:pPr>
      <w:bookmarkStart w:id="287" w:name="_Toc214095085"/>
      <w:r>
        <w:rPr>
          <w:rFonts w:hint="eastAsia"/>
          <w:color w:val="000000" w:themeColor="text1"/>
          <w14:textFill>
            <w14:solidFill>
              <w14:schemeClr w14:val="tx1"/>
            </w14:solidFill>
          </w14:textFill>
        </w:rPr>
        <w:t>在暴雨情况下，若未及时抽排油罐池内积水，可能出现油罐上移拉断管线导致油品泄漏。油罐已设置抱带防上浮，对加油站的影响是可接受的。</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（5）地质条件影响分析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若加油站场地</w:t>
      </w:r>
      <w:r>
        <w:rPr>
          <w:color w:val="000000" w:themeColor="text1"/>
          <w14:textFill>
            <w14:solidFill>
              <w14:schemeClr w14:val="tx1"/>
            </w14:solidFill>
          </w14:textFill>
        </w:rPr>
        <w:t>地形地貌起伏多变</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地层岩性复杂多样</w:t>
      </w:r>
      <w:r>
        <w:rPr>
          <w:rFonts w:hint="eastAsia"/>
          <w:color w:val="000000" w:themeColor="text1"/>
          <w14:textFill>
            <w14:solidFill>
              <w14:schemeClr w14:val="tx1"/>
            </w14:solidFill>
          </w14:textFill>
        </w:rPr>
        <w:t>，将可能存在滑坡、崩塌、泥石流、</w:t>
      </w:r>
      <w:r>
        <w:rPr>
          <w:color w:val="000000" w:themeColor="text1"/>
          <w14:textFill>
            <w14:solidFill>
              <w14:schemeClr w14:val="tx1"/>
            </w14:solidFill>
          </w14:textFill>
        </w:rPr>
        <w:t>地面沉降、地面塌陷</w:t>
      </w:r>
      <w:r>
        <w:rPr>
          <w:rFonts w:hint="eastAsia"/>
          <w:color w:val="000000" w:themeColor="text1"/>
          <w14:textFill>
            <w14:solidFill>
              <w14:schemeClr w14:val="tx1"/>
            </w14:solidFill>
          </w14:textFill>
        </w:rPr>
        <w:t>等地质灾害，严重影响加油站建构筑物的安全、稳定，特别是发生地震时，将可能彻底摧毁加油站。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从现场踏勘情况看，目前场地稳定，未见滑坡、断裂、泥石流等不良地质现象。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（6）地下水影响分析</w:t>
      </w:r>
      <w:bookmarkEnd w:id="28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若加油站所处位置平坦，加油站场地地下水水位较高，加油站在运行过程中，可能会出现地下水水位较高而引起油罐上浮，致使管路或设备损坏，油料泄漏，从而导致更大的事故发生。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从现场了解情况来看，该加油站场地地下水位较高，并考虑单点暴雨时罐区雨水渗入油罐区造成地下水位升高的可能，已对油罐采取了抗浮措施。油罐区已设置观察井，能及时</w:t>
      </w:r>
      <w:r>
        <w:rPr>
          <w:rFonts w:hint="eastAsia"/>
          <w:color w:val="000000" w:themeColor="text1"/>
          <w:lang w:val="en-US" w:eastAsia="zh-CN"/>
          <w14:textFill>
            <w14:solidFill>
              <w14:schemeClr w14:val="tx1"/>
            </w14:solidFill>
          </w14:textFill>
        </w:rPr>
        <w:t>观察、</w:t>
      </w:r>
      <w:r>
        <w:rPr>
          <w:rFonts w:hint="eastAsia"/>
          <w:color w:val="000000" w:themeColor="text1"/>
          <w14:textFill>
            <w14:solidFill>
              <w14:schemeClr w14:val="tx1"/>
            </w14:solidFill>
          </w14:textFill>
        </w:rPr>
        <w:t>抽取油罐区积水。</w:t>
      </w:r>
    </w:p>
    <w:p>
      <w:pPr>
        <w:pStyle w:val="5"/>
        <w:ind w:firstLine="560"/>
        <w:rPr>
          <w:color w:val="000000" w:themeColor="text1"/>
          <w14:textFill>
            <w14:solidFill>
              <w14:schemeClr w14:val="tx1"/>
            </w14:solidFill>
          </w14:textFill>
        </w:rPr>
      </w:pPr>
      <w:bookmarkStart w:id="288" w:name="_Toc18983"/>
      <w:bookmarkStart w:id="289" w:name="_Toc456527711"/>
      <w:bookmarkStart w:id="290" w:name="_Toc80123615"/>
      <w:r>
        <w:rPr>
          <w:rFonts w:hint="eastAsia"/>
          <w:color w:val="000000" w:themeColor="text1"/>
          <w14:textFill>
            <w14:solidFill>
              <w14:schemeClr w14:val="tx1"/>
            </w14:solidFill>
          </w14:textFill>
        </w:rPr>
        <w:t>加油站与周边环境相互影响分析</w:t>
      </w:r>
      <w:bookmarkEnd w:id="288"/>
      <w:bookmarkEnd w:id="289"/>
      <w:bookmarkEnd w:id="290"/>
    </w:p>
    <w:p>
      <w:pPr>
        <w:rPr>
          <w:color w:val="000000" w:themeColor="text1"/>
          <w14:textFill>
            <w14:solidFill>
              <w14:schemeClr w14:val="tx1"/>
            </w14:solidFill>
          </w14:textFill>
        </w:rPr>
      </w:pPr>
      <w:r>
        <w:rPr>
          <w:rFonts w:hint="eastAsia"/>
          <w:color w:val="000000" w:themeColor="text1"/>
          <w:kern w:val="0"/>
          <w:szCs w:val="28"/>
          <w14:textFill>
            <w14:solidFill>
              <w14:schemeClr w14:val="tx1"/>
            </w14:solidFill>
          </w14:textFill>
        </w:rPr>
        <w:t>加油站</w:t>
      </w:r>
      <w:r>
        <w:rPr>
          <w:rFonts w:hint="eastAsia"/>
          <w:color w:val="000000" w:themeColor="text1"/>
          <w:szCs w:val="28"/>
          <w14:textFill>
            <w14:solidFill>
              <w14:schemeClr w14:val="tx1"/>
            </w14:solidFill>
          </w14:textFill>
        </w:rPr>
        <w:t>位于</w:t>
      </w:r>
      <w:r>
        <w:rPr>
          <w:rFonts w:hint="eastAsia"/>
          <w:color w:val="000000" w:themeColor="text1"/>
          <w:szCs w:val="28"/>
          <w:lang w:eastAsia="zh-CN"/>
          <w14:textFill>
            <w14:solidFill>
              <w14:schemeClr w14:val="tx1"/>
            </w14:solidFill>
          </w14:textFill>
        </w:rPr>
        <w:t>云南省文山壮族苗族自治州丘北县天星乡天星街上</w:t>
      </w:r>
      <w:r>
        <w:rPr>
          <w:rFonts w:hint="eastAsia"/>
          <w:color w:val="000000" w:themeColor="text1"/>
          <w14:textFill>
            <w14:solidFill>
              <w14:schemeClr w14:val="tx1"/>
            </w14:solidFill>
          </w14:textFill>
        </w:rPr>
        <w:t>，交通便利。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加油站周边环境单一，周边建筑</w:t>
      </w:r>
      <w:r>
        <w:rPr>
          <w:rFonts w:hint="eastAsia"/>
          <w:color w:val="000000" w:themeColor="text1"/>
          <w:lang w:val="en-US" w:eastAsia="zh-CN"/>
          <w14:textFill>
            <w14:solidFill>
              <w14:schemeClr w14:val="tx1"/>
            </w14:solidFill>
          </w14:textFill>
        </w:rPr>
        <w:t>与加油站</w:t>
      </w:r>
      <w:r>
        <w:rPr>
          <w:rFonts w:hint="eastAsia"/>
          <w:color w:val="000000" w:themeColor="text1"/>
          <w14:textFill>
            <w14:solidFill>
              <w14:schemeClr w14:val="tx1"/>
            </w14:solidFill>
          </w14:textFill>
        </w:rPr>
        <w:t>距离</w:t>
      </w:r>
      <w:r>
        <w:rPr>
          <w:rFonts w:hint="eastAsia"/>
          <w:color w:val="000000" w:themeColor="text1"/>
          <w:lang w:val="en-US" w:eastAsia="zh-CN"/>
          <w14:textFill>
            <w14:solidFill>
              <w14:schemeClr w14:val="tx1"/>
            </w14:solidFill>
          </w14:textFill>
        </w:rPr>
        <w:t>满足要求</w:t>
      </w:r>
      <w:r>
        <w:rPr>
          <w:rFonts w:hint="eastAsia"/>
          <w:color w:val="000000" w:themeColor="text1"/>
          <w14:textFill>
            <w14:solidFill>
              <w14:schemeClr w14:val="tx1"/>
            </w14:solidFill>
          </w14:textFill>
        </w:rPr>
        <w:t>，加油站在日常经营过程中，对周边环境影响较小。</w:t>
      </w:r>
    </w:p>
    <w:p>
      <w:pPr>
        <w:pStyle w:val="5"/>
        <w:ind w:firstLine="560"/>
        <w:rPr>
          <w:color w:val="000000" w:themeColor="text1"/>
          <w14:textFill>
            <w14:solidFill>
              <w14:schemeClr w14:val="tx1"/>
            </w14:solidFill>
          </w14:textFill>
        </w:rPr>
      </w:pPr>
      <w:bookmarkStart w:id="291" w:name="_Toc24098"/>
      <w:bookmarkStart w:id="292" w:name="_Toc80123616"/>
      <w:r>
        <w:rPr>
          <w:rFonts w:hint="eastAsia"/>
          <w:color w:val="000000" w:themeColor="text1"/>
          <w14:textFill>
            <w14:solidFill>
              <w14:schemeClr w14:val="tx1"/>
            </w14:solidFill>
          </w14:textFill>
        </w:rPr>
        <w:t>加油站平面布置危险、有害因素分析</w:t>
      </w:r>
      <w:bookmarkEnd w:id="291"/>
      <w:bookmarkEnd w:id="29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加油站的平面布置主要包括功能分区、防火间距、道路、竖向布置等方面的内容，平面布置不合理主要可能导致火灾、爆炸、车辆伤害等危险。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加油站运行期间，可能引发事故的原因主要有：</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1.站内消防器材摆放不合理，站内发生火灾事故，由于消防器材取用不便，延误初期火灾的扑救，造成更大火灾、爆炸等危险；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2.消防通道、加油车道堆放物品等导致消防通道、加油车道受阻；</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3.转弯半径不足，进站车辆特别是载重车、挂车等进入站区导致碰撞，可能导致人员伤亡、车辆损坏、罩棚坍塌等事故；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4.油罐槽车未按规定路线行驶或者停车，有发生溜车的危险性。</w:t>
      </w:r>
    </w:p>
    <w:p>
      <w:pPr>
        <w:pStyle w:val="3"/>
        <w:rPr>
          <w:color w:val="000000" w:themeColor="text1"/>
          <w14:textFill>
            <w14:solidFill>
              <w14:schemeClr w14:val="tx1"/>
            </w14:solidFill>
          </w14:textFill>
        </w:rPr>
      </w:pPr>
      <w:bookmarkStart w:id="293" w:name="_Toc26448"/>
      <w:r>
        <w:rPr>
          <w:rFonts w:hint="eastAsia"/>
          <w:color w:val="000000" w:themeColor="text1"/>
          <w14:textFill>
            <w14:solidFill>
              <w14:schemeClr w14:val="tx1"/>
            </w14:solidFill>
          </w14:textFill>
        </w:rPr>
        <w:t>危险、有害因素的辨识结果</w:t>
      </w:r>
      <w:bookmarkEnd w:id="260"/>
      <w:bookmarkEnd w:id="261"/>
      <w:bookmarkEnd w:id="262"/>
      <w:bookmarkEnd w:id="29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根据加油站特点及经营危险化学品的特性，对其主要危险、危害因素辨识结果见表3-3。</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表3-3  危险、有害因素辨识结果一览表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171"/>
        <w:gridCol w:w="3837"/>
        <w:gridCol w:w="3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90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危险有害因素</w:t>
            </w:r>
          </w:p>
        </w:tc>
        <w:tc>
          <w:tcPr>
            <w:tcW w:w="117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主要存在部位</w:t>
            </w:r>
          </w:p>
        </w:tc>
        <w:tc>
          <w:tcPr>
            <w:tcW w:w="3837"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产生的原因</w:t>
            </w:r>
          </w:p>
        </w:tc>
        <w:tc>
          <w:tcPr>
            <w:tcW w:w="316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1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储油罐区、加油区、</w:t>
            </w:r>
            <w:r>
              <w:rPr>
                <w:rFonts w:hint="eastAsia"/>
                <w:bCs/>
                <w:color w:val="000000" w:themeColor="text1"/>
                <w14:textFill>
                  <w14:solidFill>
                    <w14:schemeClr w14:val="tx1"/>
                  </w14:solidFill>
                </w14:textFill>
              </w:rPr>
              <w:t>卸油区、发电机等</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（1）油气泄漏扩散且现场存在点火源。</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（2）现场管理混乱，违章作业、没有划定禁火区、乱扔烟头等。</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（3）防雷、防静电接地失效，发生雷击或静电打火。</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（1）杜绝火种。</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（2）加强现场管理，加油站区划为禁火区。</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（3）设置防雷、防静电设施，并进行定期检测，确保防雷、防静电设施有效。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触电</w:t>
            </w:r>
          </w:p>
        </w:tc>
        <w:tc>
          <w:tcPr>
            <w:tcW w:w="11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发配电装置，用电设备，电气线路</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（1）配电装置存在缺陷，使用不合格电气元件。</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（2）操作人员不具备相关资格和知识，电气线路接线存在问题。</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（3）电气设备、线路老化、绝缘损坏漏电。</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（4）未安装漏电保护设施或损坏。</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（5）安全管理存在缺陷，检修作业安全措施未落实。</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（1）采用合格的电气元件，并由专业人员进行安装。</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（2）相关操作人员持证上岗。</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（3）加强电气线路的安全检查。</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（4）按要求安装漏电保护器。</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（5）加强安全管理，严格落实电气设备检修制度。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车辆伤害</w:t>
            </w:r>
          </w:p>
        </w:tc>
        <w:tc>
          <w:tcPr>
            <w:tcW w:w="1171" w:type="dxa"/>
            <w:vAlign w:val="center"/>
          </w:tcPr>
          <w:p>
            <w:pPr>
              <w:pStyle w:val="77"/>
              <w:rPr>
                <w:color w:val="000000" w:themeColor="text1"/>
                <w14:textFill>
                  <w14:solidFill>
                    <w14:schemeClr w14:val="tx1"/>
                  </w14:solidFill>
                </w14:textFill>
              </w:rPr>
            </w:pPr>
            <w:r>
              <w:rPr>
                <w:rFonts w:hint="eastAsia"/>
                <w:bCs/>
                <w:color w:val="000000" w:themeColor="text1"/>
                <w14:textFill>
                  <w14:solidFill>
                    <w14:schemeClr w14:val="tx1"/>
                  </w14:solidFill>
                </w14:textFill>
              </w:rPr>
              <w:t>站内车道、加油区、卸油区等</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（1）现场管理混乱，车辆不按规定行驶。</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（2）场地设计不合理。</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（3）警示标识不明确。</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（1）加强现场安全管理。</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（2）加油站场地应按规范要求进行设计。</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（3）设置相应的安全警示标识。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高处坠落</w:t>
            </w:r>
          </w:p>
        </w:tc>
        <w:tc>
          <w:tcPr>
            <w:tcW w:w="1171" w:type="dxa"/>
            <w:vAlign w:val="center"/>
          </w:tcPr>
          <w:p>
            <w:pPr>
              <w:pStyle w:val="77"/>
              <w:rPr>
                <w:color w:val="000000" w:themeColor="text1"/>
                <w14:textFill>
                  <w14:solidFill>
                    <w14:schemeClr w14:val="tx1"/>
                  </w14:solidFill>
                </w14:textFill>
              </w:rPr>
            </w:pPr>
            <w:r>
              <w:rPr>
                <w:rFonts w:hint="eastAsia"/>
                <w:bCs/>
                <w:color w:val="000000" w:themeColor="text1"/>
                <w14:textFill>
                  <w14:solidFill>
                    <w14:schemeClr w14:val="tx1"/>
                  </w14:solidFill>
                </w14:textFill>
              </w:rPr>
              <w:t>油罐车上取样检查油品作业、油站罩棚等</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（1）防护设施不齐全。</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（2）作业人员未注意。</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（1）加强检修安全管理，进行检修时安全防护设施不齐全、防护措施未落实不得进行检修作业。</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（2）加强对从业人员的安全教育，提高安全意识。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中毒和窒息</w:t>
            </w:r>
          </w:p>
        </w:tc>
        <w:tc>
          <w:tcPr>
            <w:tcW w:w="11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加油区、储油罐区、发电机房等</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（1）人员吸入油蒸气或接触油品。</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（2）罐内作业没有进行通风或通风条件不良。</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（1）从业人员配备相应的劳动防护用品。</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（2）进行罐内检修作业时必须进行置换并确保含氧量符合要求。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坍塌</w:t>
            </w:r>
          </w:p>
        </w:tc>
        <w:tc>
          <w:tcPr>
            <w:tcW w:w="11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罩棚、围墙、挡土墙</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（1）罩棚本身施工质量不良。</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（2）地质原因塌陷。</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（1）加强罩棚的维护、检修。</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（2）加强围墙的检查、维护。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机械伤害</w:t>
            </w:r>
          </w:p>
        </w:tc>
        <w:tc>
          <w:tcPr>
            <w:tcW w:w="1171" w:type="dxa"/>
            <w:vAlign w:val="center"/>
          </w:tcPr>
          <w:p>
            <w:pPr>
              <w:pStyle w:val="77"/>
              <w:rPr>
                <w:color w:val="000000" w:themeColor="text1"/>
                <w14:textFill>
                  <w14:solidFill>
                    <w14:schemeClr w14:val="tx1"/>
                  </w14:solidFill>
                </w14:textFill>
              </w:rPr>
            </w:pPr>
            <w:r>
              <w:rPr>
                <w:rFonts w:hint="eastAsia"/>
                <w:bCs/>
                <w:color w:val="000000" w:themeColor="text1"/>
                <w14:textFill>
                  <w14:solidFill>
                    <w14:schemeClr w14:val="tx1"/>
                  </w14:solidFill>
                </w14:textFill>
              </w:rPr>
              <w:t>加油机、发电机、机械设备检修等</w:t>
            </w:r>
          </w:p>
        </w:tc>
        <w:tc>
          <w:tcPr>
            <w:tcW w:w="3837"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（1）违章作业或操作不当；</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（2）在检修时，使用切割等机械作业时，易对人体造成机械伤害；</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（3）在检修或日常检查时，打开加油机机盖，其内部电动机可能会造成机械伤害；</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（4）若发电机工作时，转动部件未设置相应防护罩，可能会造成机械伤害。</w:t>
            </w:r>
          </w:p>
        </w:tc>
        <w:tc>
          <w:tcPr>
            <w:tcW w:w="316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（1）加强安全教育；</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（2）正确佩戴劳动防护用品；</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（3）为转动部件设置相应防护罩。</w:t>
            </w:r>
          </w:p>
        </w:tc>
      </w:tr>
    </w:tbl>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加油站涉及的危险化学品主要为汽油和柴油，涉及的危险有害因素为火灾爆炸、车辆伤害、触电、中毒和窒息、高处坠落、坍塌等。其中最主要的危险有害因素是火灾、爆炸。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事故易发及危险点是：加油区（加油场地及加油机）、储油罐区（包括卸油区、油罐及管道）、站房，存在的主要危险有害因素见表3-4。</w:t>
      </w:r>
    </w:p>
    <w:p>
      <w:pPr>
        <w:pStyle w:val="78"/>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表3-4  加油站事故易发及危险点主要危险有害因素表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7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blHeader/>
          <w:jc w:val="center"/>
        </w:trPr>
        <w:tc>
          <w:tcPr>
            <w:tcW w:w="2069"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事故易发部位</w:t>
            </w:r>
          </w:p>
        </w:tc>
        <w:tc>
          <w:tcPr>
            <w:tcW w:w="700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危险点辨识内容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20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加油区（加油场地及加油机）</w:t>
            </w:r>
          </w:p>
        </w:tc>
        <w:tc>
          <w:tcPr>
            <w:tcW w:w="700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（1）加油岛是为各种机动车辆加油的场所。由于汽车尾气带火星、车厢漏油、加油过满溢出、加油机漏油、加油机防爆电气故障等原因，容易引发火灾爆炸事故。</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（2）违章用油枪往塑料桶加油，汽油在塑料桶内流动摩擦产生静电积聚，当静电压和桶内的油蒸气达到一定值时，就会引发爆炸。</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（3）加油场地也可能因外来加油车违章驾驶、路面积油污、路面积雪积冰，加油岛照明不足等原因造成车辆伤害事故。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20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储油罐区（包括卸油区、油罐及管道）</w:t>
            </w:r>
          </w:p>
        </w:tc>
        <w:tc>
          <w:tcPr>
            <w:tcW w:w="700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（1）在加油站的各类事故中，油罐和管道发生的事故占很大比例。如地面水进入地下油罐，使油品溢出；卸油时油气外溢遇明火引爆；油罐、卸油接管等处接地不良，通气管遭遇雷击，或静电闪火引燃引爆。</w:t>
            </w:r>
          </w:p>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加油车不熄火，油罐车静电没有消散，油罐车卸油连通软管导静电性能差；雷雨天往油罐卸油或往汽车车厢加油速度过快，加油操作失误；密闭卸油接口处漏油；对明火管理不严等，都会导致火灾、爆炸或设备损坏或人身伤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06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站房（包括营业室、值班室等）、辅助用房</w:t>
            </w:r>
          </w:p>
        </w:tc>
        <w:tc>
          <w:tcPr>
            <w:tcW w:w="7002"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如有油气进入站房，遇到明火，值班人员烧水、热饭和吸烟、乱扔烟头余烬等，会导致火灾或爆炸。</w:t>
            </w:r>
          </w:p>
        </w:tc>
      </w:tr>
    </w:tbl>
    <w:p>
      <w:pPr>
        <w:pStyle w:val="3"/>
        <w:rPr>
          <w:color w:val="000000" w:themeColor="text1"/>
          <w14:textFill>
            <w14:solidFill>
              <w14:schemeClr w14:val="tx1"/>
            </w14:solidFill>
          </w14:textFill>
        </w:rPr>
      </w:pPr>
      <w:bookmarkStart w:id="294" w:name="_Toc15081"/>
      <w:bookmarkStart w:id="295" w:name="_Toc195156249"/>
      <w:bookmarkStart w:id="296" w:name="_Toc213232900"/>
      <w:bookmarkStart w:id="297" w:name="_Toc387135676"/>
      <w:r>
        <w:rPr>
          <w:rFonts w:hint="eastAsia"/>
          <w:color w:val="000000" w:themeColor="text1"/>
          <w14:textFill>
            <w14:solidFill>
              <w14:schemeClr w14:val="tx1"/>
            </w14:solidFill>
          </w14:textFill>
        </w:rPr>
        <w:t>重大危险源辨识</w:t>
      </w:r>
      <w:bookmarkEnd w:id="294"/>
      <w:bookmarkEnd w:id="295"/>
      <w:bookmarkEnd w:id="296"/>
      <w:bookmarkEnd w:id="297"/>
    </w:p>
    <w:p>
      <w:pPr>
        <w:pStyle w:val="4"/>
        <w:ind w:firstLine="562"/>
        <w:rPr>
          <w:color w:val="000000" w:themeColor="text1"/>
          <w14:textFill>
            <w14:solidFill>
              <w14:schemeClr w14:val="tx1"/>
            </w14:solidFill>
          </w14:textFill>
        </w:rPr>
      </w:pPr>
      <w:bookmarkStart w:id="298" w:name="_Toc13554"/>
      <w:bookmarkStart w:id="299" w:name="_Toc360569563"/>
      <w:bookmarkStart w:id="300" w:name="_Toc456527720"/>
      <w:bookmarkStart w:id="301" w:name="_Toc363315958"/>
      <w:r>
        <w:rPr>
          <w:rFonts w:hint="eastAsia"/>
          <w:color w:val="000000" w:themeColor="text1"/>
          <w14:textFill>
            <w14:solidFill>
              <w14:schemeClr w14:val="tx1"/>
            </w14:solidFill>
          </w14:textFill>
        </w:rPr>
        <w:t>方法介绍</w:t>
      </w:r>
      <w:bookmarkEnd w:id="298"/>
      <w:bookmarkEnd w:id="299"/>
      <w:bookmarkEnd w:id="300"/>
      <w:bookmarkEnd w:id="301"/>
    </w:p>
    <w:p>
      <w:pPr>
        <w:rPr>
          <w:color w:val="000000" w:themeColor="text1"/>
          <w14:textFill>
            <w14:solidFill>
              <w14:schemeClr w14:val="tx1"/>
            </w14:solidFill>
          </w14:textFill>
        </w:rPr>
      </w:pPr>
      <w:bookmarkStart w:id="302" w:name="_Toc363315959"/>
      <w:bookmarkStart w:id="303" w:name="_Toc360569564"/>
      <w:bookmarkStart w:id="304" w:name="_Toc456527721"/>
      <w:r>
        <w:rPr>
          <w:rFonts w:hint="eastAsia"/>
          <w:color w:val="000000" w:themeColor="text1"/>
          <w14:textFill>
            <w14:solidFill>
              <w14:schemeClr w14:val="tx1"/>
            </w14:solidFill>
          </w14:textFill>
        </w:rPr>
        <w:t>依据《危险化学品重大危险源辨识》（GB18218-2018），危险化学品重大危险源是指长期地或者临时地生产、储存、使用和经营危险化学品，且危险化学品的数量等于或超过临界量的单元。</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危险化学品重大危险源的辨识依据是物质的危险性及数量。</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生产单元、储存单元内存在危险化学品的数量等于或超过危险化学品规定的临界量，即被定为重大危险源。单元内存在危险化学品的数量根据危险化学品种类的多少分为以下两种情况：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（1）生产单元、储存单元内存在的危险化学品为单一品种，该危险化学品的数量即为单元内危险化学品的总量，若等于或超过相应的临界量，则定为重大危险源。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（2）生产单元、储存单元内存在的危险化学品为多品种时，则按下式计算，若满足下面公式，则定为重大危险源：</w:t>
      </w:r>
    </w:p>
    <w:p>
      <w:pPr>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S=q</w:t>
      </w:r>
      <w:r>
        <w:rPr>
          <w:rFonts w:hint="eastAsia"/>
          <w:color w:val="000000" w:themeColor="text1"/>
          <w:szCs w:val="28"/>
          <w:vertAlign w:val="subscript"/>
          <w14:textFill>
            <w14:solidFill>
              <w14:schemeClr w14:val="tx1"/>
            </w14:solidFill>
          </w14:textFill>
        </w:rPr>
        <w:t>1</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1</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2</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2</w:t>
      </w:r>
      <w:r>
        <w:rPr>
          <w:rFonts w:hint="eastAsia"/>
          <w:color w:val="000000" w:themeColor="text1"/>
          <w:szCs w:val="28"/>
          <w14:textFill>
            <w14:solidFill>
              <w14:schemeClr w14:val="tx1"/>
            </w14:solidFill>
          </w14:textFill>
        </w:rPr>
        <w:t>+…+ q</w:t>
      </w:r>
      <w:r>
        <w:rPr>
          <w:rFonts w:hint="eastAsia"/>
          <w:color w:val="000000" w:themeColor="text1"/>
          <w:szCs w:val="28"/>
          <w:vertAlign w:val="subscript"/>
          <w14:textFill>
            <w14:solidFill>
              <w14:schemeClr w14:val="tx1"/>
            </w14:solidFill>
          </w14:textFill>
        </w:rPr>
        <w:t>n</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n</w:t>
      </w:r>
      <w:r>
        <w:rPr>
          <w:rFonts w:hint="eastAsia"/>
          <w:color w:val="000000" w:themeColor="text1"/>
          <w:szCs w:val="28"/>
          <w14:textFill>
            <w14:solidFill>
              <w14:schemeClr w14:val="tx1"/>
            </w14:solidFill>
          </w14:textFill>
        </w:rPr>
        <w:t>≥1        （1）</w:t>
      </w:r>
    </w:p>
    <w:p>
      <w:pPr>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式中：S            ---辨识指标</w:t>
      </w:r>
    </w:p>
    <w:p>
      <w:pPr>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1</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2</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n</w:t>
      </w:r>
      <w:r>
        <w:rPr>
          <w:rFonts w:hint="eastAsia"/>
          <w:color w:val="000000" w:themeColor="text1"/>
          <w:szCs w:val="28"/>
          <w14:textFill>
            <w14:solidFill>
              <w14:schemeClr w14:val="tx1"/>
            </w14:solidFill>
          </w14:textFill>
        </w:rPr>
        <w:t xml:space="preserve"> ---每种危险化学品实际存在量，单位为吨（t）；</w:t>
      </w:r>
    </w:p>
    <w:p>
      <w:pPr>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1</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2</w:t>
      </w:r>
      <w:r>
        <w:rPr>
          <w:rFonts w:hint="eastAsia"/>
          <w:color w:val="000000" w:themeColor="text1"/>
          <w:szCs w:val="28"/>
          <w14:textFill>
            <w14:solidFill>
              <w14:schemeClr w14:val="tx1"/>
            </w14:solidFill>
          </w14:textFill>
        </w:rPr>
        <w:t>……Q</w:t>
      </w:r>
      <w:r>
        <w:rPr>
          <w:rFonts w:hint="eastAsia"/>
          <w:color w:val="000000" w:themeColor="text1"/>
          <w:szCs w:val="28"/>
          <w:vertAlign w:val="subscript"/>
          <w14:textFill>
            <w14:solidFill>
              <w14:schemeClr w14:val="tx1"/>
            </w14:solidFill>
          </w14:textFill>
        </w:rPr>
        <w:t>n</w:t>
      </w:r>
      <w:r>
        <w:rPr>
          <w:rFonts w:hint="eastAsia"/>
          <w:color w:val="000000" w:themeColor="text1"/>
          <w:szCs w:val="28"/>
          <w14:textFill>
            <w14:solidFill>
              <w14:schemeClr w14:val="tx1"/>
            </w14:solidFill>
          </w14:textFill>
        </w:rPr>
        <w:t>---与每种危险化学品相对应的临界量，单位为吨（t）。</w:t>
      </w:r>
    </w:p>
    <w:p>
      <w:pPr>
        <w:pStyle w:val="4"/>
        <w:ind w:firstLine="562"/>
        <w:rPr>
          <w:color w:val="000000" w:themeColor="text1"/>
          <w14:textFill>
            <w14:solidFill>
              <w14:schemeClr w14:val="tx1"/>
            </w14:solidFill>
          </w14:textFill>
        </w:rPr>
      </w:pPr>
      <w:bookmarkStart w:id="305" w:name="_Toc11727"/>
      <w:r>
        <w:rPr>
          <w:rFonts w:hint="eastAsia"/>
          <w:color w:val="000000" w:themeColor="text1"/>
          <w14:textFill>
            <w14:solidFill>
              <w14:schemeClr w14:val="tx1"/>
            </w14:solidFill>
          </w14:textFill>
        </w:rPr>
        <w:t>物质的临界量</w:t>
      </w:r>
      <w:bookmarkEnd w:id="302"/>
      <w:bookmarkEnd w:id="303"/>
      <w:bookmarkEnd w:id="304"/>
      <w:bookmarkEnd w:id="30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根据《危险化学品重大危险源辨识》（GB18218-2018）的规定，汽油的临界量为200t。柴油（W5.4类易燃液体），柴油的临界量为5000t。</w:t>
      </w:r>
    </w:p>
    <w:p>
      <w:pPr>
        <w:pStyle w:val="4"/>
        <w:ind w:firstLine="562"/>
        <w:rPr>
          <w:color w:val="000000" w:themeColor="text1"/>
          <w14:textFill>
            <w14:solidFill>
              <w14:schemeClr w14:val="tx1"/>
            </w14:solidFill>
          </w14:textFill>
        </w:rPr>
      </w:pPr>
      <w:bookmarkStart w:id="306" w:name="_Toc456527722"/>
      <w:bookmarkStart w:id="307" w:name="_Toc363315960"/>
      <w:bookmarkStart w:id="308" w:name="_Toc360569565"/>
      <w:bookmarkStart w:id="309" w:name="_Toc32256"/>
      <w:r>
        <w:rPr>
          <w:rFonts w:hint="eastAsia"/>
          <w:color w:val="000000" w:themeColor="text1"/>
          <w14:textFill>
            <w14:solidFill>
              <w14:schemeClr w14:val="tx1"/>
            </w14:solidFill>
          </w14:textFill>
        </w:rPr>
        <w:t>重大危险源辨识</w:t>
      </w:r>
      <w:bookmarkEnd w:id="306"/>
      <w:bookmarkEnd w:id="307"/>
      <w:bookmarkEnd w:id="308"/>
      <w:bookmarkEnd w:id="309"/>
    </w:p>
    <w:p>
      <w:pPr>
        <w:wordWrap w:val="0"/>
        <w:overflowPunct w:val="0"/>
        <w:adjustRightInd w:val="0"/>
        <w:rPr>
          <w:color w:val="000000" w:themeColor="text1"/>
          <w14:textFill>
            <w14:solidFill>
              <w14:schemeClr w14:val="tx1"/>
            </w14:solidFill>
          </w14:textFill>
        </w:rPr>
      </w:pPr>
      <w:bookmarkStart w:id="310" w:name="_Toc360569566"/>
      <w:bookmarkStart w:id="311" w:name="_Toc363315961"/>
      <w:bookmarkStart w:id="312" w:name="_Toc456527723"/>
      <w:r>
        <w:rPr>
          <w:rFonts w:hint="eastAsia"/>
          <w:color w:val="000000" w:themeColor="text1"/>
          <w14:textFill>
            <w14:solidFill>
              <w14:schemeClr w14:val="tx1"/>
            </w14:solidFill>
          </w14:textFill>
        </w:rPr>
        <w:t>加油站有汽油罐</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个，汽油罐</w:t>
      </w:r>
      <w:r>
        <w:rPr>
          <w:rFonts w:hint="eastAsia"/>
          <w:color w:val="000000" w:themeColor="text1"/>
          <w:lang w:val="en-US" w:eastAsia="zh-CN"/>
          <w14:textFill>
            <w14:solidFill>
              <w14:schemeClr w14:val="tx1"/>
            </w14:solidFill>
          </w14:textFill>
        </w:rPr>
        <w:t>总</w:t>
      </w:r>
      <w:r>
        <w:rPr>
          <w:rFonts w:hint="eastAsia"/>
          <w:color w:val="000000" w:themeColor="text1"/>
          <w14:textFill>
            <w14:solidFill>
              <w14:schemeClr w14:val="tx1"/>
            </w14:solidFill>
          </w14:textFill>
        </w:rPr>
        <w:t>容积为</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m³，汽油密度取0.775t/m³，该加油站储存的汽油设计最大量为</w:t>
      </w:r>
      <w:r>
        <w:rPr>
          <w:color w:val="000000" w:themeColor="text1"/>
          <w14:textFill>
            <w14:solidFill>
              <w14:schemeClr w14:val="tx1"/>
            </w14:solidFill>
          </w14:textFill>
        </w:rPr>
        <w:t>46.5</w:t>
      </w:r>
      <w:r>
        <w:rPr>
          <w:rFonts w:hint="eastAsia"/>
          <w:color w:val="000000" w:themeColor="text1"/>
          <w14:textFill>
            <w14:solidFill>
              <w14:schemeClr w14:val="tx1"/>
            </w14:solidFill>
          </w14:textFill>
        </w:rPr>
        <w:t>t；柴油罐</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个，柴油罐容积为</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m³，柴油的密度取</w:t>
      </w:r>
      <w:r>
        <w:rPr>
          <w:color w:val="000000" w:themeColor="text1"/>
          <w14:textFill>
            <w14:solidFill>
              <w14:schemeClr w14:val="tx1"/>
            </w14:solidFill>
          </w14:textFill>
        </w:rPr>
        <w:t>0.8</w:t>
      </w:r>
      <w:r>
        <w:rPr>
          <w:rFonts w:hint="eastAsia"/>
          <w:color w:val="000000" w:themeColor="text1"/>
          <w14:textFill>
            <w14:solidFill>
              <w14:schemeClr w14:val="tx1"/>
            </w14:solidFill>
          </w14:textFill>
        </w:rPr>
        <w:t>45t/m³，该加油站储存的柴油设计最大量为</w:t>
      </w:r>
      <w:r>
        <w:rPr>
          <w:rFonts w:hint="eastAsia"/>
          <w:color w:val="000000" w:themeColor="text1"/>
          <w:lang w:val="en-US" w:eastAsia="zh-CN"/>
          <w14:textFill>
            <w14:solidFill>
              <w14:schemeClr w14:val="tx1"/>
            </w14:solidFill>
          </w14:textFill>
        </w:rPr>
        <w:t>42.25</w:t>
      </w:r>
      <w:r>
        <w:rPr>
          <w:rFonts w:hint="eastAsia"/>
          <w:color w:val="000000" w:themeColor="text1"/>
          <w14:textFill>
            <w14:solidFill>
              <w14:schemeClr w14:val="tx1"/>
            </w14:solidFill>
          </w14:textFill>
        </w:rPr>
        <w:t>t；则加油站油品储存单元重大危险源计算为：</w:t>
      </w:r>
    </w:p>
    <w:p>
      <w:pPr>
        <w:wordWrap w:val="0"/>
        <w:overflowPunct w:val="0"/>
        <w:adjustRightInd w:val="0"/>
        <w:rPr>
          <w:color w:val="000000" w:themeColor="text1"/>
          <w14:textFill>
            <w14:solidFill>
              <w14:schemeClr w14:val="tx1"/>
            </w14:solidFill>
          </w14:textFill>
        </w:rPr>
      </w:pPr>
      <w:r>
        <w:rPr>
          <w:color w:val="000000" w:themeColor="text1"/>
          <w14:textFill>
            <w14:solidFill>
              <w14:schemeClr w14:val="tx1"/>
            </w14:solidFill>
          </w14:textFill>
        </w:rPr>
        <w:t>46.5</w:t>
      </w:r>
      <w:r>
        <w:rPr>
          <w:rFonts w:hint="eastAsia"/>
          <w:color w:val="000000" w:themeColor="text1"/>
          <w14:textFill>
            <w14:solidFill>
              <w14:schemeClr w14:val="tx1"/>
            </w14:solidFill>
          </w14:textFill>
        </w:rPr>
        <w:t>÷200＋</w:t>
      </w:r>
      <w:r>
        <w:rPr>
          <w:rFonts w:hint="eastAsia"/>
          <w:color w:val="000000" w:themeColor="text1"/>
          <w:lang w:val="en-US" w:eastAsia="zh-CN"/>
          <w14:textFill>
            <w14:solidFill>
              <w14:schemeClr w14:val="tx1"/>
            </w14:solidFill>
          </w14:textFill>
        </w:rPr>
        <w:t>42.25</w:t>
      </w:r>
      <w:r>
        <w:rPr>
          <w:rFonts w:hint="eastAsia"/>
          <w:color w:val="000000" w:themeColor="text1"/>
          <w14:textFill>
            <w14:solidFill>
              <w14:schemeClr w14:val="tx1"/>
            </w14:solidFill>
          </w14:textFill>
        </w:rPr>
        <w:t>÷5000≈</w:t>
      </w:r>
      <w:r>
        <w:rPr>
          <w:rFonts w:hint="eastAsia"/>
          <w:color w:val="000000" w:themeColor="text1"/>
          <w:lang w:val="en-US" w:eastAsia="zh-CN"/>
          <w14:textFill>
            <w14:solidFill>
              <w14:schemeClr w14:val="tx1"/>
            </w14:solidFill>
          </w14:textFill>
        </w:rPr>
        <w:t>0.24095</w:t>
      </w:r>
      <w:r>
        <w:rPr>
          <w:rFonts w:hint="eastAsia"/>
          <w:color w:val="000000" w:themeColor="text1"/>
          <w14:textFill>
            <w14:solidFill>
              <w14:schemeClr w14:val="tx1"/>
            </w14:solidFill>
          </w14:textFill>
        </w:rPr>
        <w:t>＜1。</w:t>
      </w:r>
    </w:p>
    <w:p>
      <w:pPr>
        <w:ind w:firstLine="562"/>
        <w:rPr>
          <w:rFonts w:hint="eastAsia"/>
          <w:color w:val="000000" w:themeColor="text1"/>
          <w14:textFill>
            <w14:solidFill>
              <w14:schemeClr w14:val="tx1"/>
            </w14:solidFill>
          </w14:textFill>
        </w:rPr>
      </w:pPr>
      <w:r>
        <w:rPr>
          <w:rStyle w:val="67"/>
          <w:rFonts w:hint="eastAsia"/>
          <w:color w:val="000000" w:themeColor="text1"/>
          <w14:textFill>
            <w14:solidFill>
              <w14:schemeClr w14:val="tx1"/>
            </w14:solidFill>
          </w14:textFill>
        </w:rPr>
        <w:t>辨识结果：</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油品储存单元未构成危险化学品重大危险源。</w:t>
      </w:r>
    </w:p>
    <w:p>
      <w:pPr>
        <w:pStyle w:val="3"/>
        <w:rPr>
          <w:color w:val="000000" w:themeColor="text1"/>
          <w14:textFill>
            <w14:solidFill>
              <w14:schemeClr w14:val="tx1"/>
            </w14:solidFill>
          </w14:textFill>
        </w:rPr>
      </w:pPr>
      <w:bookmarkStart w:id="313" w:name="_Toc19973"/>
      <w:r>
        <w:rPr>
          <w:rFonts w:hint="eastAsia"/>
          <w:color w:val="000000" w:themeColor="text1"/>
          <w14:textFill>
            <w14:solidFill>
              <w14:schemeClr w14:val="tx1"/>
            </w14:solidFill>
          </w14:textFill>
        </w:rPr>
        <w:t>重点监管的危险化学品辨识</w:t>
      </w:r>
      <w:bookmarkEnd w:id="310"/>
      <w:bookmarkEnd w:id="311"/>
      <w:bookmarkEnd w:id="312"/>
      <w:bookmarkEnd w:id="31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根据《首批重点监管的危险化学品名录》（安监总管三〔</w:t>
      </w:r>
      <w:r>
        <w:rPr>
          <w:color w:val="000000" w:themeColor="text1"/>
          <w14:textFill>
            <w14:solidFill>
              <w14:schemeClr w14:val="tx1"/>
            </w14:solidFill>
          </w14:textFill>
        </w:rPr>
        <w:t>2011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95</w:t>
      </w:r>
      <w:r>
        <w:rPr>
          <w:rFonts w:hint="eastAsia"/>
          <w:color w:val="000000" w:themeColor="text1"/>
          <w14:textFill>
            <w14:solidFill>
              <w14:schemeClr w14:val="tx1"/>
            </w14:solidFill>
          </w14:textFill>
        </w:rPr>
        <w:t>号）和《第二批重点监管的危险化学品名录》（安监总管三〔</w:t>
      </w:r>
      <w:r>
        <w:rPr>
          <w:color w:val="000000" w:themeColor="text1"/>
          <w14:textFill>
            <w14:solidFill>
              <w14:schemeClr w14:val="tx1"/>
            </w14:solidFill>
          </w14:textFill>
        </w:rPr>
        <w:t>201</w:t>
      </w:r>
      <w:r>
        <w:rPr>
          <w:rFonts w:hint="eastAsia"/>
          <w:color w:val="000000" w:themeColor="text1"/>
          <w14:textFill>
            <w14:solidFill>
              <w14:schemeClr w14:val="tx1"/>
            </w14:solidFill>
          </w14:textFill>
        </w:rPr>
        <w:t>3〕12号）的规定，该加油站经营的汽油为重点监管的危险化学品，根据《关于印发首批重点监管的危险化学品安全措施和应急处置原则的通知》（总厅管三〔</w:t>
      </w:r>
      <w:r>
        <w:rPr>
          <w:color w:val="000000" w:themeColor="text1"/>
          <w14:textFill>
            <w14:solidFill>
              <w14:schemeClr w14:val="tx1"/>
            </w14:solidFill>
          </w14:textFill>
        </w:rPr>
        <w:t>2011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142</w:t>
      </w:r>
      <w:r>
        <w:rPr>
          <w:rFonts w:hint="eastAsia"/>
          <w:color w:val="000000" w:themeColor="text1"/>
          <w14:textFill>
            <w14:solidFill>
              <w14:schemeClr w14:val="tx1"/>
            </w14:solidFill>
          </w14:textFill>
        </w:rPr>
        <w:t>号）的要求对汽油储存、操作、运输采取相应的安全措施，并制定相应的应急处置原则，确保加油站汽油经营的安全。</w:t>
      </w:r>
    </w:p>
    <w:p>
      <w:pPr>
        <w:pStyle w:val="3"/>
        <w:rPr>
          <w:color w:val="000000" w:themeColor="text1"/>
          <w14:textFill>
            <w14:solidFill>
              <w14:schemeClr w14:val="tx1"/>
            </w14:solidFill>
          </w14:textFill>
        </w:rPr>
      </w:pPr>
      <w:bookmarkStart w:id="314" w:name="_Toc2392"/>
      <w:r>
        <w:rPr>
          <w:rFonts w:hint="eastAsia"/>
          <w:color w:val="000000" w:themeColor="text1"/>
          <w14:textFill>
            <w14:solidFill>
              <w14:schemeClr w14:val="tx1"/>
            </w14:solidFill>
          </w14:textFill>
        </w:rPr>
        <w:t>特别管控危险化学品辨识</w:t>
      </w:r>
      <w:bookmarkEnd w:id="31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根据2</w:t>
      </w:r>
      <w:r>
        <w:rPr>
          <w:color w:val="000000" w:themeColor="text1"/>
          <w14:textFill>
            <w14:solidFill>
              <w14:schemeClr w14:val="tx1"/>
            </w14:solidFill>
          </w14:textFill>
        </w:rPr>
        <w:t>020</w:t>
      </w:r>
      <w:r>
        <w:rPr>
          <w:rFonts w:hint="eastAsia"/>
          <w:color w:val="000000" w:themeColor="text1"/>
          <w14:textFill>
            <w14:solidFill>
              <w14:schemeClr w14:val="tx1"/>
            </w14:solidFill>
          </w14:textFill>
        </w:rPr>
        <w:t>年5月3</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日应急管理部、工业和信息化部、公安部、交通运输部联合发布的《特别管控危险化学品目录（第一版）》对本项目涉及的危险化学品进行辨识，本项目涉及的特别管控危险化学品为汽油。</w:t>
      </w:r>
    </w:p>
    <w:p>
      <w:pPr>
        <w:pStyle w:val="3"/>
        <w:rPr>
          <w:color w:val="000000" w:themeColor="text1"/>
          <w14:textFill>
            <w14:solidFill>
              <w14:schemeClr w14:val="tx1"/>
            </w14:solidFill>
          </w14:textFill>
        </w:rPr>
      </w:pPr>
      <w:bookmarkStart w:id="315" w:name="_Toc353832127"/>
      <w:bookmarkStart w:id="316" w:name="_Toc353831623"/>
      <w:bookmarkStart w:id="317" w:name="_Toc353831875"/>
      <w:bookmarkStart w:id="318" w:name="_Toc78491500"/>
      <w:bookmarkStart w:id="319" w:name="_Toc77355032"/>
      <w:bookmarkStart w:id="320" w:name="_Toc19877"/>
      <w:bookmarkStart w:id="321" w:name="_Toc476084976"/>
      <w:r>
        <w:rPr>
          <w:rFonts w:hint="eastAsia"/>
          <w:color w:val="000000" w:themeColor="text1"/>
          <w14:textFill>
            <w14:solidFill>
              <w14:schemeClr w14:val="tx1"/>
            </w14:solidFill>
          </w14:textFill>
        </w:rPr>
        <w:t>易制毒化学品</w:t>
      </w:r>
      <w:bookmarkEnd w:id="315"/>
      <w:bookmarkEnd w:id="316"/>
      <w:bookmarkEnd w:id="317"/>
      <w:r>
        <w:rPr>
          <w:rFonts w:hint="eastAsia"/>
          <w:color w:val="000000" w:themeColor="text1"/>
          <w14:textFill>
            <w14:solidFill>
              <w14:schemeClr w14:val="tx1"/>
            </w14:solidFill>
          </w14:textFill>
        </w:rPr>
        <w:t>辨识</w:t>
      </w:r>
      <w:bookmarkEnd w:id="318"/>
      <w:bookmarkEnd w:id="319"/>
      <w:bookmarkEnd w:id="320"/>
      <w:bookmarkEnd w:id="321"/>
    </w:p>
    <w:p>
      <w:pPr>
        <w:rPr>
          <w:color w:val="000000" w:themeColor="text1"/>
          <w14:textFill>
            <w14:solidFill>
              <w14:schemeClr w14:val="tx1"/>
            </w14:solidFill>
          </w14:textFill>
        </w:rPr>
      </w:pPr>
      <w:bookmarkStart w:id="322" w:name="_Toc77355033"/>
      <w:bookmarkStart w:id="323" w:name="_Toc78491501"/>
      <w:bookmarkStart w:id="324" w:name="_Toc476084977"/>
      <w:r>
        <w:rPr>
          <w:rFonts w:hint="eastAsia"/>
          <w:color w:val="000000" w:themeColor="text1"/>
          <w14:textFill>
            <w14:solidFill>
              <w14:schemeClr w14:val="tx1"/>
            </w14:solidFill>
          </w14:textFill>
        </w:rPr>
        <w:t>根据《易制毒化学品管理条例》、</w:t>
      </w:r>
      <w:r>
        <w:rPr>
          <w:color w:val="000000" w:themeColor="text1"/>
          <w14:textFill>
            <w14:solidFill>
              <w14:schemeClr w14:val="tx1"/>
            </w14:solidFill>
          </w14:textFill>
        </w:rPr>
        <w:t>《国务院办公厅关于同意将α-苯乙酰乙酸甲酯等6种物质列入易制毒化学品品种目录的函》</w:t>
      </w:r>
      <w:r>
        <w:rPr>
          <w:rFonts w:hint="eastAsia"/>
          <w:color w:val="000000" w:themeColor="text1"/>
          <w14:textFill>
            <w14:solidFill>
              <w14:schemeClr w14:val="tx1"/>
            </w14:solidFill>
          </w14:textFill>
        </w:rPr>
        <w:t>，加油站不涉及</w:t>
      </w:r>
      <w:r>
        <w:rPr>
          <w:color w:val="000000" w:themeColor="text1"/>
          <w14:textFill>
            <w14:solidFill>
              <w14:schemeClr w14:val="tx1"/>
            </w14:solidFill>
          </w14:textFill>
        </w:rPr>
        <w:t>易制毒化学品。</w:t>
      </w:r>
    </w:p>
    <w:p>
      <w:pPr>
        <w:pStyle w:val="3"/>
        <w:rPr>
          <w:color w:val="000000" w:themeColor="text1"/>
          <w14:textFill>
            <w14:solidFill>
              <w14:schemeClr w14:val="tx1"/>
            </w14:solidFill>
          </w14:textFill>
        </w:rPr>
      </w:pPr>
      <w:bookmarkStart w:id="325" w:name="_Toc29854"/>
      <w:r>
        <w:rPr>
          <w:rFonts w:hint="eastAsia"/>
          <w:color w:val="000000" w:themeColor="text1"/>
          <w14:textFill>
            <w14:solidFill>
              <w14:schemeClr w14:val="tx1"/>
            </w14:solidFill>
          </w14:textFill>
        </w:rPr>
        <w:t>易制爆危险化学品辨识</w:t>
      </w:r>
      <w:bookmarkEnd w:id="322"/>
      <w:bookmarkEnd w:id="323"/>
      <w:bookmarkEnd w:id="324"/>
      <w:bookmarkEnd w:id="32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根据《易制爆危险化学品名录》（公安部，2017年版），加油站不涉及易制爆危险化学品。</w:t>
      </w:r>
    </w:p>
    <w:p>
      <w:pPr>
        <w:pStyle w:val="3"/>
        <w:rPr>
          <w:color w:val="000000" w:themeColor="text1"/>
          <w14:textFill>
            <w14:solidFill>
              <w14:schemeClr w14:val="tx1"/>
            </w14:solidFill>
          </w14:textFill>
        </w:rPr>
      </w:pPr>
      <w:bookmarkStart w:id="326" w:name="_Toc476084978"/>
      <w:bookmarkStart w:id="327" w:name="_Toc77355034"/>
      <w:bookmarkStart w:id="328" w:name="_Toc78491502"/>
      <w:bookmarkStart w:id="329" w:name="_Toc24585"/>
      <w:r>
        <w:rPr>
          <w:rFonts w:hint="eastAsia"/>
          <w:color w:val="000000" w:themeColor="text1"/>
          <w14:textFill>
            <w14:solidFill>
              <w14:schemeClr w14:val="tx1"/>
            </w14:solidFill>
          </w14:textFill>
        </w:rPr>
        <w:t>剧毒化学品辨识</w:t>
      </w:r>
      <w:bookmarkEnd w:id="326"/>
      <w:bookmarkEnd w:id="327"/>
      <w:bookmarkEnd w:id="328"/>
      <w:bookmarkEnd w:id="329"/>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根据《危险化学品目录》（2022年调整），加油站不涉及剧毒化学品。</w:t>
      </w:r>
    </w:p>
    <w:p>
      <w:pPr>
        <w:pStyle w:val="3"/>
        <w:rPr>
          <w:color w:val="000000" w:themeColor="text1"/>
          <w14:textFill>
            <w14:solidFill>
              <w14:schemeClr w14:val="tx1"/>
            </w14:solidFill>
          </w14:textFill>
        </w:rPr>
      </w:pPr>
      <w:bookmarkStart w:id="330" w:name="_Toc2295"/>
      <w:bookmarkStart w:id="331" w:name="_Toc360569567"/>
      <w:bookmarkStart w:id="332" w:name="_Toc363315962"/>
      <w:bookmarkStart w:id="333" w:name="_Toc456527724"/>
      <w:bookmarkStart w:id="334" w:name="_Toc195176745"/>
      <w:bookmarkStart w:id="335" w:name="_Toc258574843"/>
      <w:r>
        <w:rPr>
          <w:rFonts w:hint="eastAsia"/>
          <w:color w:val="000000" w:themeColor="text1"/>
          <w14:textFill>
            <w14:solidFill>
              <w14:schemeClr w14:val="tx1"/>
            </w14:solidFill>
          </w14:textFill>
        </w:rPr>
        <w:t>淘汰落后工艺、设备辨识</w:t>
      </w:r>
      <w:bookmarkEnd w:id="33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根据《淘汰落后生产能力、工艺和产品的目录》，加油站不涉及淘汰落后工艺、设备。</w:t>
      </w:r>
    </w:p>
    <w:p>
      <w:pPr>
        <w:pStyle w:val="3"/>
        <w:rPr>
          <w:color w:val="000000" w:themeColor="text1"/>
          <w14:textFill>
            <w14:solidFill>
              <w14:schemeClr w14:val="tx1"/>
            </w14:solidFill>
          </w14:textFill>
        </w:rPr>
      </w:pPr>
      <w:bookmarkStart w:id="336" w:name="_Toc26637"/>
      <w:r>
        <w:rPr>
          <w:rFonts w:hint="eastAsia"/>
          <w:color w:val="000000" w:themeColor="text1"/>
          <w14:textFill>
            <w14:solidFill>
              <w14:schemeClr w14:val="tx1"/>
            </w14:solidFill>
          </w14:textFill>
        </w:rPr>
        <w:t>本章小结</w:t>
      </w:r>
      <w:bookmarkEnd w:id="331"/>
      <w:bookmarkEnd w:id="332"/>
      <w:bookmarkEnd w:id="333"/>
      <w:bookmarkEnd w:id="33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本章对危险有害因素分析结果表明，加油站的主要危险有害因素有火灾爆炸、触电、车辆伤害、机械伤害、毒性危害、受限空间作业和雷击危险性等。其中最主要的危险有害因素是火灾和爆炸。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事故易发及危险点是：卸油点、油罐区、加油区（加油场地及加油机）、发配电室、站房及管道等作业场所。</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根据《危险化学品重大危险源辨识》（GB18218-20</w:t>
      </w:r>
      <w:r>
        <w:rPr>
          <w:color w:val="000000" w:themeColor="text1"/>
          <w14:textFill>
            <w14:solidFill>
              <w14:schemeClr w14:val="tx1"/>
            </w14:solidFill>
          </w14:textFill>
        </w:rPr>
        <w:t>18</w:t>
      </w:r>
      <w:r>
        <w:rPr>
          <w:rFonts w:hint="eastAsia"/>
          <w:color w:val="000000" w:themeColor="text1"/>
          <w14:textFill>
            <w14:solidFill>
              <w14:schemeClr w14:val="tx1"/>
            </w14:solidFill>
          </w14:textFill>
        </w:rPr>
        <w:t>）的规定，</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未构成重大危险源。根据《首批重点监管的危险化学品名录》（安监总管三〔2011〕95号）、《第二批重点监管的危险化学品名录》（安监总管三〔2013〕12号）和《特别管控危险化学品目录（第一版）》的规定，该加油站经营的汽油为重点监管的危险化学品和特别管控危险化学品，应按要求采取相应的安全对策措施，确保油品经营的安全。</w:t>
      </w:r>
    </w:p>
    <w:p>
      <w:pPr>
        <w:rPr>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p>
    <w:bookmarkEnd w:id="334"/>
    <w:p>
      <w:pPr>
        <w:pStyle w:val="2"/>
        <w:spacing w:before="193" w:after="193"/>
        <w:rPr>
          <w:color w:val="000000" w:themeColor="text1"/>
          <w14:textFill>
            <w14:solidFill>
              <w14:schemeClr w14:val="tx1"/>
            </w14:solidFill>
          </w14:textFill>
        </w:rPr>
      </w:pPr>
      <w:bookmarkStart w:id="337" w:name="_Toc10971"/>
      <w:r>
        <w:rPr>
          <w:rFonts w:hint="eastAsia"/>
          <w:color w:val="000000" w:themeColor="text1"/>
          <w14:textFill>
            <w14:solidFill>
              <w14:schemeClr w14:val="tx1"/>
            </w14:solidFill>
          </w14:textFill>
        </w:rPr>
        <w:t>安全评价单元的划分及评价方法</w:t>
      </w:r>
      <w:bookmarkEnd w:id="335"/>
      <w:r>
        <w:rPr>
          <w:rFonts w:hint="eastAsia"/>
          <w:color w:val="000000" w:themeColor="text1"/>
          <w14:textFill>
            <w14:solidFill>
              <w14:schemeClr w14:val="tx1"/>
            </w14:solidFill>
          </w14:textFill>
        </w:rPr>
        <w:t>介绍</w:t>
      </w:r>
      <w:bookmarkEnd w:id="337"/>
    </w:p>
    <w:p>
      <w:pPr>
        <w:pStyle w:val="3"/>
        <w:rPr>
          <w:color w:val="000000" w:themeColor="text1"/>
          <w14:textFill>
            <w14:solidFill>
              <w14:schemeClr w14:val="tx1"/>
            </w14:solidFill>
          </w14:textFill>
        </w:rPr>
      </w:pPr>
      <w:bookmarkStart w:id="338" w:name="_Toc258574844"/>
      <w:bookmarkStart w:id="339" w:name="_Toc14639"/>
      <w:bookmarkStart w:id="340" w:name="_Toc195176746"/>
      <w:bookmarkStart w:id="341" w:name="_Toc213233037"/>
      <w:r>
        <w:rPr>
          <w:rFonts w:hint="eastAsia"/>
          <w:color w:val="000000" w:themeColor="text1"/>
          <w14:textFill>
            <w14:solidFill>
              <w14:schemeClr w14:val="tx1"/>
            </w14:solidFill>
          </w14:textFill>
        </w:rPr>
        <w:t>安全评价单元划分</w:t>
      </w:r>
      <w:bookmarkEnd w:id="338"/>
      <w:bookmarkEnd w:id="339"/>
      <w:bookmarkEnd w:id="340"/>
      <w:bookmarkEnd w:id="341"/>
    </w:p>
    <w:p>
      <w:pPr>
        <w:pStyle w:val="4"/>
        <w:ind w:firstLine="562"/>
        <w:rPr>
          <w:color w:val="000000" w:themeColor="text1"/>
          <w14:textFill>
            <w14:solidFill>
              <w14:schemeClr w14:val="tx1"/>
            </w14:solidFill>
          </w14:textFill>
        </w:rPr>
      </w:pPr>
      <w:bookmarkStart w:id="342" w:name="_Toc213233038"/>
      <w:bookmarkStart w:id="343" w:name="_Toc25899"/>
      <w:r>
        <w:rPr>
          <w:rFonts w:hint="eastAsia"/>
          <w:color w:val="000000" w:themeColor="text1"/>
          <w14:textFill>
            <w14:solidFill>
              <w14:schemeClr w14:val="tx1"/>
            </w14:solidFill>
          </w14:textFill>
        </w:rPr>
        <w:t>安全评价单元的划分结果</w:t>
      </w:r>
      <w:bookmarkEnd w:id="342"/>
      <w:bookmarkEnd w:id="34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根据本次</w:t>
      </w:r>
      <w:r>
        <w:rPr>
          <w:color w:val="000000" w:themeColor="text1"/>
          <w14:textFill>
            <w14:solidFill>
              <w14:schemeClr w14:val="tx1"/>
            </w14:solidFill>
          </w14:textFill>
        </w:rPr>
        <w:t>安全</w:t>
      </w:r>
      <w:r>
        <w:rPr>
          <w:rFonts w:hint="eastAsia"/>
          <w:color w:val="000000" w:themeColor="text1"/>
          <w14:textFill>
            <w14:solidFill>
              <w14:schemeClr w14:val="tx1"/>
            </w14:solidFill>
          </w14:textFill>
        </w:rPr>
        <w:t>现状</w:t>
      </w:r>
      <w:r>
        <w:rPr>
          <w:color w:val="000000" w:themeColor="text1"/>
          <w14:textFill>
            <w14:solidFill>
              <w14:schemeClr w14:val="tx1"/>
            </w14:solidFill>
          </w14:textFill>
        </w:rPr>
        <w:t>评</w:t>
      </w:r>
      <w:r>
        <w:rPr>
          <w:rFonts w:hint="eastAsia"/>
          <w:color w:val="000000" w:themeColor="text1"/>
          <w14:textFill>
            <w14:solidFill>
              <w14:schemeClr w14:val="tx1"/>
            </w14:solidFill>
          </w14:textFill>
        </w:rPr>
        <w:t>价</w:t>
      </w:r>
      <w:r>
        <w:rPr>
          <w:color w:val="000000" w:themeColor="text1"/>
          <w14:textFill>
            <w14:solidFill>
              <w14:schemeClr w14:val="tx1"/>
            </w14:solidFill>
          </w14:textFill>
        </w:rPr>
        <w:t>的特点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本报告对</w:t>
      </w:r>
      <w:r>
        <w:rPr>
          <w:rFonts w:hint="eastAsia"/>
          <w:color w:val="000000" w:themeColor="text1"/>
          <w14:textFill>
            <w14:solidFill>
              <w14:schemeClr w14:val="tx1"/>
            </w14:solidFill>
          </w14:textFill>
        </w:rPr>
        <w:t>该加油站</w:t>
      </w:r>
      <w:r>
        <w:rPr>
          <w:color w:val="000000" w:themeColor="text1"/>
          <w14:textFill>
            <w14:solidFill>
              <w14:schemeClr w14:val="tx1"/>
            </w14:solidFill>
          </w14:textFill>
        </w:rPr>
        <w:t>共分</w:t>
      </w:r>
      <w:r>
        <w:rPr>
          <w:rFonts w:hint="eastAsia"/>
          <w:color w:val="000000" w:themeColor="text1"/>
          <w14:textFill>
            <w14:solidFill>
              <w14:schemeClr w14:val="tx1"/>
            </w14:solidFill>
          </w14:textFill>
        </w:rPr>
        <w:t>如下7</w:t>
      </w:r>
      <w:r>
        <w:rPr>
          <w:color w:val="000000" w:themeColor="text1"/>
          <w14:textFill>
            <w14:solidFill>
              <w14:schemeClr w14:val="tx1"/>
            </w14:solidFill>
          </w14:textFill>
        </w:rPr>
        <w:t>个单元进行评价</w:t>
      </w:r>
      <w:r>
        <w:rPr>
          <w:rFonts w:hint="eastAsia"/>
          <w:color w:val="000000" w:themeColor="text1"/>
          <w14:textFill>
            <w14:solidFill>
              <w14:schemeClr w14:val="tx1"/>
            </w14:solidFill>
          </w14:textFill>
        </w:rPr>
        <w:t>：</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外部安全条件评价单元；</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平面布置评价单元；</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工艺及设施评价单元；</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公用工程评价单元；</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安全设施评价单元；</w:t>
      </w:r>
    </w:p>
    <w:p>
      <w:pPr>
        <w:numPr>
          <w:ilvl w:val="0"/>
          <w:numId w:val="10"/>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安全管理评价单元；</w:t>
      </w:r>
    </w:p>
    <w:p>
      <w:pPr>
        <w:numPr>
          <w:ilvl w:val="0"/>
          <w:numId w:val="10"/>
        </w:numPr>
        <w:ind w:firstLine="560"/>
        <w:rPr>
          <w:color w:val="000000" w:themeColor="text1"/>
          <w14:textFill>
            <w14:solidFill>
              <w14:schemeClr w14:val="tx1"/>
            </w14:solidFill>
          </w14:textFill>
        </w:rPr>
      </w:pPr>
      <w:bookmarkStart w:id="344" w:name="_Hlk119964065"/>
      <w:r>
        <w:rPr>
          <w:rFonts w:hint="eastAsia"/>
          <w:color w:val="000000" w:themeColor="text1"/>
          <w14:textFill>
            <w14:solidFill>
              <w14:schemeClr w14:val="tx1"/>
            </w14:solidFill>
          </w14:textFill>
        </w:rPr>
        <w:t>重大事故隐患分析评价。</w:t>
      </w:r>
    </w:p>
    <w:bookmarkEnd w:id="344"/>
    <w:p>
      <w:pPr>
        <w:pStyle w:val="4"/>
        <w:ind w:firstLine="562"/>
        <w:rPr>
          <w:color w:val="000000" w:themeColor="text1"/>
          <w14:textFill>
            <w14:solidFill>
              <w14:schemeClr w14:val="tx1"/>
            </w14:solidFill>
          </w14:textFill>
        </w:rPr>
      </w:pPr>
      <w:bookmarkStart w:id="345" w:name="_Toc2749"/>
      <w:bookmarkStart w:id="346" w:name="_Toc195176747"/>
      <w:bookmarkStart w:id="347" w:name="_Toc213233039"/>
      <w:r>
        <w:rPr>
          <w:rFonts w:hint="eastAsia"/>
          <w:color w:val="000000" w:themeColor="text1"/>
          <w14:textFill>
            <w14:solidFill>
              <w14:schemeClr w14:val="tx1"/>
            </w14:solidFill>
          </w14:textFill>
        </w:rPr>
        <w:t>安全评价单元划分说明</w:t>
      </w:r>
      <w:bookmarkEnd w:id="345"/>
      <w:bookmarkEnd w:id="346"/>
      <w:bookmarkEnd w:id="347"/>
    </w:p>
    <w:p>
      <w:pPr>
        <w:pStyle w:val="5"/>
        <w:ind w:firstLine="560"/>
        <w:rPr>
          <w:color w:val="000000" w:themeColor="text1"/>
          <w14:textFill>
            <w14:solidFill>
              <w14:schemeClr w14:val="tx1"/>
            </w14:solidFill>
          </w14:textFill>
        </w:rPr>
      </w:pPr>
      <w:bookmarkStart w:id="348" w:name="_Toc195176748"/>
      <w:r>
        <w:rPr>
          <w:rFonts w:hint="eastAsia"/>
          <w:color w:val="000000" w:themeColor="text1"/>
          <w14:textFill>
            <w14:solidFill>
              <w14:schemeClr w14:val="tx1"/>
            </w14:solidFill>
          </w14:textFill>
        </w:rPr>
        <w:t>评价单元划分原则</w:t>
      </w:r>
      <w:bookmarkEnd w:id="34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评价单元就是在危险、有害因素分析的基础上，根据评价目标和评价方法的需要，将系统分成的有限、确定范围进行评价的单元。</w:t>
      </w:r>
      <w:r>
        <w:rPr>
          <w:color w:val="000000" w:themeColor="text1"/>
          <w14:textFill>
            <w14:solidFill>
              <w14:schemeClr w14:val="tx1"/>
            </w14:solidFill>
          </w14:textFill>
        </w:rPr>
        <w:t>划分评价单元是为评价目标和评价方法服务的</w:t>
      </w:r>
      <w:r>
        <w:rPr>
          <w:rFonts w:hint="eastAsia"/>
          <w:color w:val="000000" w:themeColor="text1"/>
          <w14:textFill>
            <w14:solidFill>
              <w14:schemeClr w14:val="tx1"/>
            </w14:solidFill>
          </w14:textFill>
        </w:rPr>
        <w:t>，但</w:t>
      </w:r>
      <w:r>
        <w:rPr>
          <w:color w:val="000000" w:themeColor="text1"/>
          <w14:textFill>
            <w14:solidFill>
              <w14:schemeClr w14:val="tx1"/>
            </w14:solidFill>
          </w14:textFill>
        </w:rPr>
        <w:t>由于至今尚无一个明确通用的“规则”来规范单元的划分方法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因此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不同的评价人员对同一个评价对象所划分的评价单元有所不同。由于评价目标不同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各评价方法均有自身特点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只要达到评价的目的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评价单元划分并不要求绝对一致。</w:t>
      </w:r>
    </w:p>
    <w:p>
      <w:pPr>
        <w:rPr>
          <w:color w:val="000000" w:themeColor="text1"/>
          <w14:textFill>
            <w14:solidFill>
              <w14:schemeClr w14:val="tx1"/>
            </w14:solidFill>
          </w14:textFill>
        </w:rPr>
      </w:pPr>
      <w:r>
        <w:rPr>
          <w:color w:val="000000" w:themeColor="text1"/>
          <w14:textFill>
            <w14:solidFill>
              <w14:schemeClr w14:val="tx1"/>
            </w14:solidFill>
          </w14:textFill>
        </w:rPr>
        <w:t>评价单元划分应遵循的原则如下</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以危险、有害因素的类别为主划分评价单元</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以装置和物质的特征划分评价单元</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依据评价方法的有关具体规定划分。</w:t>
      </w:r>
    </w:p>
    <w:p>
      <w:pPr>
        <w:pStyle w:val="5"/>
        <w:ind w:firstLine="560"/>
        <w:rPr>
          <w:color w:val="000000" w:themeColor="text1"/>
          <w14:textFill>
            <w14:solidFill>
              <w14:schemeClr w14:val="tx1"/>
            </w14:solidFill>
          </w14:textFill>
        </w:rPr>
      </w:pPr>
      <w:bookmarkStart w:id="349" w:name="_Toc195176749"/>
      <w:r>
        <w:rPr>
          <w:rFonts w:hint="eastAsia"/>
          <w:color w:val="000000" w:themeColor="text1"/>
          <w14:textFill>
            <w14:solidFill>
              <w14:schemeClr w14:val="tx1"/>
            </w14:solidFill>
          </w14:textFill>
        </w:rPr>
        <w:t>评价单元划分依据</w:t>
      </w:r>
      <w:bookmarkEnd w:id="349"/>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在对项目进行具体分析时，</w:t>
      </w:r>
      <w:r>
        <w:rPr>
          <w:color w:val="000000" w:themeColor="text1"/>
          <w14:textFill>
            <w14:solidFill>
              <w14:schemeClr w14:val="tx1"/>
            </w14:solidFill>
          </w14:textFill>
        </w:rPr>
        <w:t>为达到对</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进行系统、科学、全面的评价目的</w:t>
      </w:r>
      <w:r>
        <w:rPr>
          <w:rFonts w:hint="eastAsia"/>
          <w:color w:val="000000" w:themeColor="text1"/>
          <w14:textFill>
            <w14:solidFill>
              <w14:schemeClr w14:val="tx1"/>
            </w14:solidFill>
          </w14:textFill>
        </w:rPr>
        <w:t>，首先应从整体上分析项目与周边环境的相互关系，即对项目的外部安全条件进行分析评价，在此基础上再对项目的安全运行条件进行分析，而对项目的安全运行条件进行分析应从项目的平面布置、工艺设施、公用工程及辅助工程以及安全管理方面进行，这样才能保证对项目分析评价切实到位、不漏项，指导评价准确的分析出项目存在的实际问题，提出具有实际针对性和较强可操作性的安全对策措施，为指导企业整改提出建设性意见或建议。</w:t>
      </w:r>
    </w:p>
    <w:p>
      <w:pPr>
        <w:pStyle w:val="3"/>
        <w:rPr>
          <w:color w:val="000000" w:themeColor="text1"/>
          <w14:textFill>
            <w14:solidFill>
              <w14:schemeClr w14:val="tx1"/>
            </w14:solidFill>
          </w14:textFill>
        </w:rPr>
      </w:pPr>
      <w:bookmarkStart w:id="350" w:name="_Toc213233040"/>
      <w:bookmarkStart w:id="351" w:name="_Toc21031"/>
      <w:bookmarkStart w:id="352" w:name="_Toc258574845"/>
      <w:r>
        <w:rPr>
          <w:rFonts w:hint="eastAsia"/>
          <w:color w:val="000000" w:themeColor="text1"/>
          <w14:textFill>
            <w14:solidFill>
              <w14:schemeClr w14:val="tx1"/>
            </w14:solidFill>
          </w14:textFill>
        </w:rPr>
        <w:t>评价方法选用</w:t>
      </w:r>
      <w:bookmarkEnd w:id="350"/>
      <w:bookmarkEnd w:id="351"/>
      <w:bookmarkEnd w:id="352"/>
    </w:p>
    <w:p>
      <w:pPr>
        <w:pStyle w:val="4"/>
        <w:ind w:firstLine="562"/>
        <w:rPr>
          <w:color w:val="000000" w:themeColor="text1"/>
          <w14:textFill>
            <w14:solidFill>
              <w14:schemeClr w14:val="tx1"/>
            </w14:solidFill>
          </w14:textFill>
        </w:rPr>
      </w:pPr>
      <w:bookmarkStart w:id="353" w:name="_Toc30072"/>
      <w:bookmarkStart w:id="354" w:name="_Toc213233041"/>
      <w:r>
        <w:rPr>
          <w:rFonts w:hint="eastAsia"/>
          <w:color w:val="000000" w:themeColor="text1"/>
          <w14:textFill>
            <w14:solidFill>
              <w14:schemeClr w14:val="tx1"/>
            </w14:solidFill>
          </w14:textFill>
        </w:rPr>
        <w:t>评价方法选用结果</w:t>
      </w:r>
      <w:bookmarkEnd w:id="353"/>
      <w:bookmarkEnd w:id="35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根据评价方法选取应遵循充分性、适应性、系统性、针对性和合理性的原则，</w:t>
      </w:r>
      <w:r>
        <w:rPr>
          <w:color w:val="000000" w:themeColor="text1"/>
          <w14:textFill>
            <w14:solidFill>
              <w14:schemeClr w14:val="tx1"/>
            </w14:solidFill>
          </w14:textFill>
        </w:rPr>
        <w:t>结合</w:t>
      </w:r>
      <w:r>
        <w:rPr>
          <w:rFonts w:hint="eastAsia"/>
          <w:color w:val="000000" w:themeColor="text1"/>
          <w14:textFill>
            <w14:solidFill>
              <w14:schemeClr w14:val="tx1"/>
            </w14:solidFill>
          </w14:textFill>
        </w:rPr>
        <w:t>该加油站</w:t>
      </w:r>
      <w:r>
        <w:rPr>
          <w:color w:val="000000" w:themeColor="text1"/>
          <w14:textFill>
            <w14:solidFill>
              <w14:schemeClr w14:val="tx1"/>
            </w14:solidFill>
          </w14:textFill>
        </w:rPr>
        <w:t>的特点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本报告选用</w:t>
      </w:r>
      <w:r>
        <w:rPr>
          <w:rFonts w:hint="eastAsia"/>
          <w:color w:val="000000" w:themeColor="text1"/>
          <w14:textFill>
            <w14:solidFill>
              <w14:schemeClr w14:val="tx1"/>
            </w14:solidFill>
          </w14:textFill>
        </w:rPr>
        <w:t>预先危险性分析、</w:t>
      </w:r>
      <w:r>
        <w:rPr>
          <w:color w:val="000000" w:themeColor="text1"/>
          <w14:textFill>
            <w14:solidFill>
              <w14:schemeClr w14:val="tx1"/>
            </w14:solidFill>
          </w14:textFill>
        </w:rPr>
        <w:t>安全检查表（SCA）</w:t>
      </w:r>
      <w:r>
        <w:rPr>
          <w:rFonts w:hint="eastAsia"/>
          <w:color w:val="000000" w:themeColor="text1"/>
          <w14:textFill>
            <w14:solidFill>
              <w14:schemeClr w14:val="tx1"/>
            </w14:solidFill>
          </w14:textFill>
        </w:rPr>
        <w:t>等安全</w:t>
      </w:r>
      <w:r>
        <w:rPr>
          <w:color w:val="000000" w:themeColor="text1"/>
          <w14:textFill>
            <w14:solidFill>
              <w14:schemeClr w14:val="tx1"/>
            </w14:solidFill>
          </w14:textFill>
        </w:rPr>
        <w:t>评价方法对</w:t>
      </w:r>
      <w:r>
        <w:rPr>
          <w:rFonts w:hint="eastAsia"/>
          <w:color w:val="000000" w:themeColor="text1"/>
          <w14:textFill>
            <w14:solidFill>
              <w14:schemeClr w14:val="tx1"/>
            </w14:solidFill>
          </w14:textFill>
        </w:rPr>
        <w:t>该</w:t>
      </w:r>
      <w:r>
        <w:rPr>
          <w:color w:val="000000" w:themeColor="text1"/>
          <w14:textFill>
            <w14:solidFill>
              <w14:schemeClr w14:val="tx1"/>
            </w14:solidFill>
          </w14:textFill>
        </w:rPr>
        <w:t>工程</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危险、有害因素及危险、有害程度进行分析评价。</w:t>
      </w:r>
    </w:p>
    <w:p>
      <w:pPr>
        <w:pStyle w:val="4"/>
        <w:ind w:firstLine="562"/>
        <w:rPr>
          <w:color w:val="000000" w:themeColor="text1"/>
          <w14:textFill>
            <w14:solidFill>
              <w14:schemeClr w14:val="tx1"/>
            </w14:solidFill>
          </w14:textFill>
        </w:rPr>
      </w:pPr>
      <w:bookmarkStart w:id="355" w:name="_Toc30980"/>
      <w:bookmarkStart w:id="356" w:name="_Toc213233042"/>
      <w:r>
        <w:rPr>
          <w:rFonts w:hint="eastAsia"/>
          <w:color w:val="000000" w:themeColor="text1"/>
          <w14:textFill>
            <w14:solidFill>
              <w14:schemeClr w14:val="tx1"/>
            </w14:solidFill>
          </w14:textFill>
        </w:rPr>
        <w:t>评价方法选用说明</w:t>
      </w:r>
      <w:bookmarkEnd w:id="355"/>
      <w:bookmarkEnd w:id="356"/>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评价方法选用原则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评价方法是进行定性、定量安全评价的工具，根据安全评价对象的不同，安全评价的内容和指标也不相同，因此，选用的安全评价方法也不相同。在进行安全评价时，应根据安全评价对象和要实现的安全评价目标，选择适用的安全评价方法，选择安全评价方法应遵循以下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1.充分性原则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2.适应性原则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3.系统性原则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4.针对性原则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5.合理性原则</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评价方法选用依据</w:t>
      </w:r>
    </w:p>
    <w:p>
      <w:pPr>
        <w:numPr>
          <w:ilvl w:val="0"/>
          <w:numId w:val="11"/>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安全检查表</w:t>
      </w:r>
    </w:p>
    <w:p>
      <w:pPr>
        <w:rPr>
          <w:color w:val="000000" w:themeColor="text1"/>
          <w14:textFill>
            <w14:solidFill>
              <w14:schemeClr w14:val="tx1"/>
            </w14:solidFill>
          </w14:textFill>
        </w:rPr>
      </w:pPr>
      <w:r>
        <w:rPr>
          <w:color w:val="000000" w:themeColor="text1"/>
          <w14:textFill>
            <w14:solidFill>
              <w14:schemeClr w14:val="tx1"/>
            </w14:solidFill>
          </w14:textFill>
        </w:rPr>
        <w:t>安全</w:t>
      </w:r>
      <w:r>
        <w:rPr>
          <w:rFonts w:hint="eastAsia"/>
          <w:color w:val="000000" w:themeColor="text1"/>
          <w14:textFill>
            <w14:solidFill>
              <w14:schemeClr w14:val="tx1"/>
            </w14:solidFill>
          </w14:textFill>
        </w:rPr>
        <w:t>现状</w:t>
      </w:r>
      <w:r>
        <w:rPr>
          <w:color w:val="000000" w:themeColor="text1"/>
          <w14:textFill>
            <w14:solidFill>
              <w14:schemeClr w14:val="tx1"/>
            </w14:solidFill>
          </w14:textFill>
        </w:rPr>
        <w:t>评价主要从评价对象</w:t>
      </w:r>
      <w:r>
        <w:rPr>
          <w:rFonts w:hint="eastAsia"/>
          <w:color w:val="000000" w:themeColor="text1"/>
          <w14:textFill>
            <w14:solidFill>
              <w14:schemeClr w14:val="tx1"/>
            </w14:solidFill>
          </w14:textFill>
        </w:rPr>
        <w:t>平面布置、工艺设备设施、安全设施、公用工程以及安全管理等方面对照现行规范要求进行符合性检查评价，因此选用安全检查表法可以得出最有效的评价结果</w:t>
      </w:r>
      <w:r>
        <w:rPr>
          <w:color w:val="000000" w:themeColor="text1"/>
          <w14:textFill>
            <w14:solidFill>
              <w14:schemeClr w14:val="tx1"/>
            </w14:solidFill>
          </w14:textFill>
        </w:rPr>
        <w:t>。</w:t>
      </w:r>
    </w:p>
    <w:p>
      <w:pPr>
        <w:numPr>
          <w:ilvl w:val="0"/>
          <w:numId w:val="11"/>
        </w:numPr>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安全检查法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采用安全检查表进行现场检查评价时，由于编制安全检查表的人员的素质或资料收集情况等原因，通常存在编制的安全检查表不能全面反映现场实际的情况，因此需要评价人员根据平时相关知识的积累对现场检查结果进行分析评价。通常在对项目进行安全评价时，安全检查表法与安全检查配合使用可以使分析评价更加完整，更符合评价实际。</w:t>
      </w:r>
    </w:p>
    <w:p>
      <w:pPr>
        <w:pStyle w:val="3"/>
        <w:rPr>
          <w:color w:val="000000" w:themeColor="text1"/>
          <w14:textFill>
            <w14:solidFill>
              <w14:schemeClr w14:val="tx1"/>
            </w14:solidFill>
          </w14:textFill>
        </w:rPr>
      </w:pPr>
      <w:bookmarkStart w:id="357" w:name="_Toc213233043"/>
      <w:bookmarkStart w:id="358" w:name="_Toc22360"/>
      <w:bookmarkStart w:id="359" w:name="_Toc258574846"/>
      <w:bookmarkStart w:id="360" w:name="_Toc213232160"/>
      <w:r>
        <w:rPr>
          <w:rFonts w:hint="eastAsia"/>
          <w:color w:val="000000" w:themeColor="text1"/>
          <w14:textFill>
            <w14:solidFill>
              <w14:schemeClr w14:val="tx1"/>
            </w14:solidFill>
          </w14:textFill>
        </w:rPr>
        <w:t>各评价单元采用的评价方法</w:t>
      </w:r>
      <w:bookmarkEnd w:id="357"/>
      <w:bookmarkEnd w:id="358"/>
      <w:bookmarkEnd w:id="359"/>
      <w:bookmarkEnd w:id="36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根据评价方法选取应遵循充分性、适应性、系统性、针对性和合理性的原则，</w:t>
      </w:r>
      <w:r>
        <w:rPr>
          <w:color w:val="000000" w:themeColor="text1"/>
          <w14:textFill>
            <w14:solidFill>
              <w14:schemeClr w14:val="tx1"/>
            </w14:solidFill>
          </w14:textFill>
        </w:rPr>
        <w:t>结合</w:t>
      </w:r>
      <w:r>
        <w:rPr>
          <w:rFonts w:hint="eastAsia"/>
          <w:color w:val="000000" w:themeColor="text1"/>
          <w14:textFill>
            <w14:solidFill>
              <w14:schemeClr w14:val="tx1"/>
            </w14:solidFill>
          </w14:textFill>
        </w:rPr>
        <w:t>加油站</w:t>
      </w:r>
      <w:r>
        <w:rPr>
          <w:color w:val="000000" w:themeColor="text1"/>
          <w14:textFill>
            <w14:solidFill>
              <w14:schemeClr w14:val="tx1"/>
            </w14:solidFill>
          </w14:textFill>
        </w:rPr>
        <w:t>的特点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本报告选用</w:t>
      </w:r>
      <w:r>
        <w:rPr>
          <w:rFonts w:hint="eastAsia"/>
          <w:color w:val="000000" w:themeColor="text1"/>
          <w14:textFill>
            <w14:solidFill>
              <w14:schemeClr w14:val="tx1"/>
            </w14:solidFill>
          </w14:textFill>
        </w:rPr>
        <w:t>安全检查法（SR）、</w:t>
      </w:r>
      <w:r>
        <w:rPr>
          <w:color w:val="000000" w:themeColor="text1"/>
          <w14:textFill>
            <w14:solidFill>
              <w14:schemeClr w14:val="tx1"/>
            </w14:solidFill>
          </w14:textFill>
        </w:rPr>
        <w:t>安全检查表（SCA）</w:t>
      </w:r>
      <w:r>
        <w:rPr>
          <w:rFonts w:hint="eastAsia"/>
          <w:color w:val="000000" w:themeColor="text1"/>
          <w14:textFill>
            <w14:solidFill>
              <w14:schemeClr w14:val="tx1"/>
            </w14:solidFill>
          </w14:textFill>
        </w:rPr>
        <w:t>等安全</w:t>
      </w:r>
      <w:r>
        <w:rPr>
          <w:color w:val="000000" w:themeColor="text1"/>
          <w14:textFill>
            <w14:solidFill>
              <w14:schemeClr w14:val="tx1"/>
            </w14:solidFill>
          </w14:textFill>
        </w:rPr>
        <w:t>评价方法对</w:t>
      </w:r>
      <w:r>
        <w:rPr>
          <w:rFonts w:hint="eastAsia"/>
          <w:color w:val="000000" w:themeColor="text1"/>
          <w14:textFill>
            <w14:solidFill>
              <w14:schemeClr w14:val="tx1"/>
            </w14:solidFill>
          </w14:textFill>
        </w:rPr>
        <w:t>该</w:t>
      </w:r>
      <w:r>
        <w:rPr>
          <w:color w:val="000000" w:themeColor="text1"/>
          <w14:textFill>
            <w14:solidFill>
              <w14:schemeClr w14:val="tx1"/>
            </w14:solidFill>
          </w14:textFill>
        </w:rPr>
        <w:t>工程</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危险、有害因素及危险、有害程度进行分析评价。</w:t>
      </w:r>
      <w:r>
        <w:rPr>
          <w:rFonts w:hint="eastAsia"/>
          <w:color w:val="000000" w:themeColor="text1"/>
          <w14:textFill>
            <w14:solidFill>
              <w14:schemeClr w14:val="tx1"/>
            </w14:solidFill>
          </w14:textFill>
        </w:rPr>
        <w:t>具体评价单元采用的评价方法如下：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1.外部安全条件评价单元：安全检查法、安全检查表法；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2.平面布置评价单元：安全检查法、安全检查表法；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3.工艺及设施评价单元：安全检查法、安全检查表法；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4.公用工程评价单元：安全检查法、安全检查表法；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5.安全设施评价单元：安全检查法、安全检查表法；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6.安全管理评价单元：</w:t>
      </w:r>
      <w:bookmarkStart w:id="361" w:name="_Hlk119964091"/>
      <w:r>
        <w:rPr>
          <w:rFonts w:hint="eastAsia"/>
          <w:color w:val="000000" w:themeColor="text1"/>
          <w14:textFill>
            <w14:solidFill>
              <w14:schemeClr w14:val="tx1"/>
            </w14:solidFill>
          </w14:textFill>
        </w:rPr>
        <w:t>安全检查法、安全检查表法</w:t>
      </w:r>
      <w:bookmarkEnd w:id="361"/>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bookmarkStart w:id="362" w:name="_Hlk122520327"/>
      <w:r>
        <w:rPr>
          <w:rFonts w:hint="eastAsia"/>
          <w:color w:val="000000" w:themeColor="text1"/>
          <w14:textFill>
            <w14:solidFill>
              <w14:schemeClr w14:val="tx1"/>
            </w14:solidFill>
          </w14:textFill>
        </w:rPr>
        <w:t>7.重大事故隐患分析评价单元：</w:t>
      </w:r>
      <w:bookmarkEnd w:id="362"/>
      <w:r>
        <w:rPr>
          <w:rFonts w:hint="eastAsia"/>
          <w:color w:val="000000" w:themeColor="text1"/>
          <w14:textFill>
            <w14:solidFill>
              <w14:schemeClr w14:val="tx1"/>
            </w14:solidFill>
          </w14:textFill>
        </w:rPr>
        <w:t>安全检查法、安全检查表法。</w:t>
      </w:r>
    </w:p>
    <w:p>
      <w:pPr>
        <w:rPr>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p>
    <w:p>
      <w:pPr>
        <w:pStyle w:val="2"/>
        <w:spacing w:before="193" w:after="193"/>
        <w:rPr>
          <w:color w:val="000000" w:themeColor="text1"/>
          <w14:textFill>
            <w14:solidFill>
              <w14:schemeClr w14:val="tx1"/>
            </w14:solidFill>
          </w14:textFill>
        </w:rPr>
      </w:pPr>
      <w:bookmarkStart w:id="363" w:name="_Toc195176755"/>
      <w:bookmarkStart w:id="364" w:name="_Toc258574847"/>
      <w:bookmarkStart w:id="365" w:name="_Toc11558"/>
      <w:r>
        <w:rPr>
          <w:rFonts w:hint="eastAsia"/>
          <w:color w:val="000000" w:themeColor="text1"/>
          <w14:textFill>
            <w14:solidFill>
              <w14:schemeClr w14:val="tx1"/>
            </w14:solidFill>
          </w14:textFill>
        </w:rPr>
        <w:t>定性分析</w:t>
      </w:r>
      <w:bookmarkEnd w:id="363"/>
      <w:bookmarkEnd w:id="364"/>
      <w:r>
        <w:rPr>
          <w:rFonts w:hint="eastAsia"/>
          <w:color w:val="000000" w:themeColor="text1"/>
          <w14:textFill>
            <w14:solidFill>
              <w14:schemeClr w14:val="tx1"/>
            </w14:solidFill>
          </w14:textFill>
        </w:rPr>
        <w:t>评价</w:t>
      </w:r>
      <w:bookmarkEnd w:id="365"/>
    </w:p>
    <w:p>
      <w:pPr>
        <w:pStyle w:val="3"/>
        <w:rPr>
          <w:color w:val="000000" w:themeColor="text1"/>
          <w14:textFill>
            <w14:solidFill>
              <w14:schemeClr w14:val="tx1"/>
            </w14:solidFill>
          </w14:textFill>
        </w:rPr>
      </w:pPr>
      <w:bookmarkStart w:id="366" w:name="_Toc258574849"/>
      <w:bookmarkStart w:id="367" w:name="_Toc195176757"/>
      <w:bookmarkStart w:id="368" w:name="_Toc5710"/>
      <w:bookmarkStart w:id="369" w:name="_Toc187699937"/>
      <w:r>
        <w:rPr>
          <w:rFonts w:hint="eastAsia"/>
          <w:color w:val="000000" w:themeColor="text1"/>
          <w14:textFill>
            <w14:solidFill>
              <w14:schemeClr w14:val="tx1"/>
            </w14:solidFill>
          </w14:textFill>
        </w:rPr>
        <w:t>定性分析</w:t>
      </w:r>
      <w:bookmarkEnd w:id="366"/>
      <w:bookmarkEnd w:id="367"/>
      <w:r>
        <w:rPr>
          <w:rFonts w:hint="eastAsia"/>
          <w:color w:val="000000" w:themeColor="text1"/>
          <w14:textFill>
            <w14:solidFill>
              <w14:schemeClr w14:val="tx1"/>
            </w14:solidFill>
          </w14:textFill>
        </w:rPr>
        <w:t>危险、有害程度</w:t>
      </w:r>
      <w:bookmarkEnd w:id="368"/>
      <w:bookmarkStart w:id="370" w:name="_Toc184958709"/>
      <w:bookmarkStart w:id="371" w:name="_Toc116909514"/>
      <w:bookmarkStart w:id="372" w:name="_Toc172100104"/>
      <w:bookmarkStart w:id="373" w:name="_Toc18160045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为识别与系统有关的主要危险，鉴别产生危险的原因，预测事故发生对人员和系统的影响，判别危险等级，提出消除或控制危险性的对策措施，本报告采用了预先危险性分析法进行危险、有害程度分析评价，分析的具体结果见表</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-1。</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-1  预先危险性分析表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390"/>
        <w:gridCol w:w="1725"/>
        <w:gridCol w:w="698"/>
        <w:gridCol w:w="915"/>
        <w:gridCol w:w="700"/>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49"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危险因素</w:t>
            </w:r>
          </w:p>
        </w:tc>
        <w:tc>
          <w:tcPr>
            <w:tcW w:w="139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产生原因</w:t>
            </w:r>
          </w:p>
        </w:tc>
        <w:tc>
          <w:tcPr>
            <w:tcW w:w="1724"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触发条件</w:t>
            </w:r>
          </w:p>
        </w:tc>
        <w:tc>
          <w:tcPr>
            <w:tcW w:w="698"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事故类型</w:t>
            </w:r>
          </w:p>
        </w:tc>
        <w:tc>
          <w:tcPr>
            <w:tcW w:w="91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可能后果</w:t>
            </w:r>
          </w:p>
        </w:tc>
        <w:tc>
          <w:tcPr>
            <w:tcW w:w="70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危险等级</w:t>
            </w:r>
          </w:p>
        </w:tc>
        <w:tc>
          <w:tcPr>
            <w:tcW w:w="289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场所</w:t>
            </w:r>
          </w:p>
        </w:tc>
        <w:tc>
          <w:tcPr>
            <w:tcW w:w="8322" w:type="dxa"/>
            <w:gridSpan w:val="6"/>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卸油点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1.油蒸气泄漏，遇明火发生爆炸；2.线路老化引起电气短路造成电器火灾。</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1.将火种带入禁火区；2.在禁火区违章动火或使用铁质工具；3.静电打火；4.雷击；5.电气、线路老化造成短路。</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划定禁火区；2.严格执行作业规程；3.加强职工的安全教育，提高安全素质，严禁无证上岗，严禁违章作业；4.定期检查设备、管道及电气线路；5.对防雷防静电设施进行定期检测；6.火灾爆炸区域悬挂明显的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中毒</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油蒸气泄漏</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人体吸入</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中毒</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人员中毒或死亡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1.严格执行操作规程；2.按作业规程进行检修；3.加强安全教育，提高安全意识。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窒息</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通风条件不良</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人员进入受限空间作业</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窒息</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1.严格执行操作规程；2.按作业规程进行检修；3.加强安全教育，提高安全意识；4.佩戴劳动保护用品。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车辆伤害</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1.违章作业、违章驾驶；2.车辆有缺陷；3.作业环境不符合安全要求，如通道、场地、照明；4.疲劳驾驶等。</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车辆翻车，刹车失灵造成对周围人员的伤害。</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车辆伤害</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1.设置减速警示标志；2.严禁疲劳驾车；3.在进入多人存在的作业区域时，须鸣号或听从指挥；4.加强职工的安全教育，提高安全素质。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场所</w:t>
            </w:r>
          </w:p>
        </w:tc>
        <w:tc>
          <w:tcPr>
            <w:tcW w:w="8322" w:type="dxa"/>
            <w:gridSpan w:val="6"/>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1.油蒸气泄漏，遇明火发生爆炸；2.线路老化引起电气短路造成电器火灾。</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1.将火种带入禁火区；2.在禁火区违章动火或使用铁质工具；3.静电打火；4.雷击；5.电气、线路老化造成短路。</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划定禁火区；2.严格执行作业规程；3.加强职工的安全教育，提高安全素质，严禁无证上岗，严禁违章作业；4.定期检查设备、管道及电气线路；5.对防雷防静电设施进行定期检测；6.火灾爆炸区域悬挂明显的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坍塌</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1.设计不周；</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2.施工质量不良；</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3.不按要求进行定期检修。</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1.风速过大；</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2.降雨、降雪；3.地震。</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坍塌</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1.罩棚设计、施工单位必须具备相关资质；</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2.设计应符合相应的规范要求；</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3.严格按照设计图纸进行施工，未经设计单位同意，严禁变更设计图纸；</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4.加强安全管理，按设计要求定期对罩棚进行检修、维护。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触电</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1.电气设备未采取接地、接零保护；2.电气短路、线路老化，绝缘失效；3.电气设备接地、接零装置失效；4.检修电气设备时带电检修；5.违章作业。</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1.人体接触漏电设备；2.人体与带电体直接接触，使人体流过超过承受阈值的电流而造成的伤害。</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触电</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1.严格执行作业规程； 2.定期检查电气线路及设备；3.操作人员必须经培训取证上岗；4.作业点悬挂明显的警示标志；5.加强职工的安全教育，提高安全素质，严禁无证上岗，严禁违章作业；6.严格执行劳动防护用品发放、使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车辆伤害</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1.违章作业、违章驾驶；2.车辆有缺陷；3.作业环境不符合安全要求，如通道、场地、照明；4.疲劳驾驶等。</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车辆翻车，刹车失灵造成对周围人员的伤害。</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车辆伤害</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1.设置减速警示标志；2.严禁疲劳驾车；3.在进入多人存在的作业区域时，须鸣号或听从指挥；4.加强职工的安全教育，提高安全素质。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高处坠落</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1.对罩棚照明等检修或其他高处检修作业或巡查时未采取安全防护措施；2.高于2m以上作业无</w:t>
            </w:r>
            <w:r>
              <w:rPr>
                <w:color w:val="000000" w:themeColor="text1"/>
                <w14:textFill>
                  <w14:solidFill>
                    <w14:schemeClr w14:val="tx1"/>
                  </w14:solidFill>
                </w14:textFill>
              </w:rPr>
              <w:t>有效</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安全防护</w:t>
            </w:r>
            <w:r>
              <w:rPr>
                <w:rFonts w:hint="eastAsia"/>
                <w:color w:val="000000" w:themeColor="text1"/>
                <w14:textFill>
                  <w14:solidFill>
                    <w14:schemeClr w14:val="tx1"/>
                  </w14:solidFill>
                </w14:textFill>
              </w:rPr>
              <w:t>措施。</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不落实高处作业的各项安全措施就进行作业。</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高处坠落</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1.严格执行操作规程；2.按作业规程进行检修；3.加强安全教育，提高安全意识；4.佩戴劳动保护用品。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机械伤害</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1.传动装置未加盖防护罩；2.设备在运转过程中进行检修作业。</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人体接触传动设备部件或转动设备。</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机械伤害</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人员受伤</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1.外露传动装置或转动部件加装安全防护罩；2.严格按设备检修规程和安全规程进行检修；3.加强安全教育，提高安全意识；4.佩戴劳动防护用品。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场所</w:t>
            </w:r>
          </w:p>
        </w:tc>
        <w:tc>
          <w:tcPr>
            <w:tcW w:w="8322" w:type="dxa"/>
            <w:gridSpan w:val="6"/>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1.油蒸气泄漏，遇明火发生爆炸；2.线路老化引起电气短路造成电器火灾。</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1.将火种带入禁火区；2.在禁火区违章动火或使用铁质工具；3.静电打火；4.雷击；5.电气、线路老化造成短路。</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划定禁火区；2.严格执行作业规程；3.加强职工的安全教育，提高安全素质，严禁无证上岗，严禁违章作业；4.定期检查设备、管道及电气线路；5.对防雷防静电设施进行定期检测；6.火灾爆炸区域悬挂明显的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触电</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1.电气设备未采取接地、接零保护；2.电气短路、线路老化，绝缘失效；3.电气设备接地、接零装置失效；4.检修电气设备时带电检修；5.违章作业。</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1.人体接触漏电设备；2.人体与带电体直接接触，使人体流过超过承受阈值的电流而造成的伤害。</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触电</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作业规程；2.定期检查电气线路及设备；3.操作人员必须经培训取证上岗；4.作业点悬挂明显的警示标志；5.加强职工的安全教育，提高安全素质，严禁无证上岗，严禁违章作业；6.严格执行劳动防护用品发放、使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场所</w:t>
            </w:r>
          </w:p>
        </w:tc>
        <w:tc>
          <w:tcPr>
            <w:tcW w:w="8322" w:type="dxa"/>
            <w:gridSpan w:val="6"/>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储油区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1.油蒸气泄漏，遇明火发生爆炸；2.线路老化引起电气短路造成电器火灾。</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1.将火种带入禁火区；2.在禁火区违章动火或使用铁质工具；3.静电打火；4.雷击；5.电气、线路老化造成短路。</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划定禁火区；2.严格执行作业规程；3.加强职工的安全教育，提高安全素质，严禁无证上岗，严禁违章作业；4.定期检查设备、管道及电气线路；5.对防雷防静电设施进行定期检测；6.火灾爆炸区域悬挂显明的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中毒</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油蒸气泄漏</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人体吸入</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中毒</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人员中毒或死亡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1.严格执行操作规程；2.按作业规程进行检修；3.加强安全教育，提高安全意识。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窒息</w:t>
            </w:r>
          </w:p>
        </w:tc>
        <w:tc>
          <w:tcPr>
            <w:tcW w:w="138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通风条件不良</w:t>
            </w:r>
          </w:p>
        </w:tc>
        <w:tc>
          <w:tcPr>
            <w:tcW w:w="172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人员进入受限空间作业</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窒息</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III</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1.严格执行操作规程；2.按作业规程进行检修；3.加强安全教育，提高安全意识；4.佩戴劳动保护用品。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71" w:type="dxa"/>
            <w:gridSpan w:val="7"/>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自然条件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13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1.高温致使油蒸气蒸发量加大；</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2.低温致使油罐、管路破裂，油品泄漏。</w:t>
            </w:r>
          </w:p>
        </w:tc>
        <w:tc>
          <w:tcPr>
            <w:tcW w:w="17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1.将火种带入禁火区；2.在禁火区违章动火或使用铁质工具；3.静电打火；4.雷击；5.电气、线路老化造成短路；6.加油站外有点火源。</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划定禁火区；2.严格执行作业规程；3.加强职工的安全教育，提高安全素质，严禁无证上岗，严禁违章作业；4.定期检查设备、管道及电气线路；5.对防雷防静电设施进行定期检测；6.火灾爆炸区域悬挂明显的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坍塌</w:t>
            </w:r>
          </w:p>
        </w:tc>
        <w:tc>
          <w:tcPr>
            <w:tcW w:w="139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地面沉陷、地震、东面石挡墙坍塌。</w:t>
            </w:r>
          </w:p>
        </w:tc>
        <w:tc>
          <w:tcPr>
            <w:tcW w:w="1724"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1.地质条件不良；2.地震；3.设计不符合规范要求；4.施工不良。</w:t>
            </w:r>
          </w:p>
        </w:tc>
        <w:tc>
          <w:tcPr>
            <w:tcW w:w="698"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坍塌</w:t>
            </w:r>
          </w:p>
        </w:tc>
        <w:tc>
          <w:tcPr>
            <w:tcW w:w="91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人员伤亡、财产损失</w:t>
            </w:r>
          </w:p>
        </w:tc>
        <w:tc>
          <w:tcPr>
            <w:tcW w:w="700"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IV</w:t>
            </w:r>
          </w:p>
        </w:tc>
        <w:tc>
          <w:tcPr>
            <w:tcW w:w="28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1.进行地质勘查；2.设计单位必须有相应资质；3.设计应符合相应的规范要求；4.严格按照设计图纸进行施工，未经设计单位同意，变更设计图纸。</w:t>
            </w:r>
          </w:p>
        </w:tc>
      </w:tr>
      <w:bookmarkEnd w:id="370"/>
      <w:bookmarkEnd w:id="371"/>
      <w:bookmarkEnd w:id="372"/>
      <w:bookmarkEnd w:id="373"/>
    </w:tbl>
    <w:p>
      <w:pPr>
        <w:pStyle w:val="3"/>
        <w:rPr>
          <w:color w:val="000000" w:themeColor="text1"/>
          <w14:textFill>
            <w14:solidFill>
              <w14:schemeClr w14:val="tx1"/>
            </w14:solidFill>
          </w14:textFill>
        </w:rPr>
      </w:pPr>
      <w:bookmarkStart w:id="374" w:name="_Toc9299"/>
      <w:r>
        <w:rPr>
          <w:rFonts w:hint="eastAsia"/>
          <w:color w:val="000000" w:themeColor="text1"/>
          <w14:textFill>
            <w14:solidFill>
              <w14:schemeClr w14:val="tx1"/>
            </w14:solidFill>
          </w14:textFill>
        </w:rPr>
        <w:t>事故案例</w:t>
      </w:r>
      <w:bookmarkEnd w:id="374"/>
    </w:p>
    <w:p>
      <w:pPr>
        <w:rPr>
          <w:color w:val="000000" w:themeColor="text1"/>
          <w14:textFill>
            <w14:solidFill>
              <w14:schemeClr w14:val="tx1"/>
            </w14:solidFill>
          </w14:textFill>
        </w:rPr>
      </w:pPr>
      <w:r>
        <w:rPr>
          <w:color w:val="000000" w:themeColor="text1"/>
          <w14:textFill>
            <w14:solidFill>
              <w14:schemeClr w14:val="tx1"/>
            </w14:solidFill>
          </w14:textFill>
        </w:rPr>
        <w:t>油罐车卸油后晃车卸余油拉断罐车底阀</w:t>
      </w:r>
      <w:r>
        <w:rPr>
          <w:rFonts w:hint="eastAsia"/>
          <w:color w:val="000000" w:themeColor="text1"/>
          <w14:textFill>
            <w14:solidFill>
              <w14:schemeClr w14:val="tx1"/>
            </w14:solidFill>
          </w14:textFill>
        </w:rPr>
        <w:t>事故</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2009年4月1日22时许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驾驶员李某驾驶油罐车在某加油站卸完油后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为卸尽车内余油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在卸油管仍与油罐车、油罐同时连接的情况下即进行晃车。在晃车过程中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李某误操作（</w:t>
      </w:r>
      <w:r>
        <w:rPr>
          <w:rFonts w:hint="eastAsia"/>
          <w:color w:val="000000" w:themeColor="text1"/>
          <w14:textFill>
            <w14:solidFill>
              <w14:schemeClr w14:val="tx1"/>
            </w14:solidFill>
          </w14:textFill>
        </w:rPr>
        <w:t>将倒挡</w:t>
      </w:r>
      <w:r>
        <w:rPr>
          <w:color w:val="000000" w:themeColor="text1"/>
          <w14:textFill>
            <w14:solidFill>
              <w14:schemeClr w14:val="tx1"/>
            </w14:solidFill>
          </w14:textFill>
        </w:rPr>
        <w:t>挂成二档）</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车辆行驶幅度过大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将罐车海底阀拉断。事件未造成其他设备损坏及油品</w:t>
      </w:r>
      <w:r>
        <w:rPr>
          <w:rFonts w:hint="eastAsia"/>
          <w:color w:val="000000" w:themeColor="text1"/>
          <w14:textFill>
            <w14:solidFill>
              <w14:schemeClr w14:val="tx1"/>
            </w14:solidFill>
          </w14:textFill>
        </w:rPr>
        <w:t>泄漏</w:t>
      </w:r>
      <w:r>
        <w:rPr>
          <w:color w:val="000000" w:themeColor="text1"/>
          <w14:textFill>
            <w14:solidFill>
              <w14:schemeClr w14:val="tx1"/>
            </w14:solidFill>
          </w14:textFill>
        </w:rPr>
        <w:t>。</w:t>
      </w:r>
    </w:p>
    <w:p>
      <w:pPr>
        <w:rPr>
          <w:color w:val="000000" w:themeColor="text1"/>
          <w14:textFill>
            <w14:solidFill>
              <w14:schemeClr w14:val="tx1"/>
            </w14:solidFill>
          </w14:textFill>
        </w:rPr>
      </w:pPr>
      <w:r>
        <w:rPr>
          <w:color w:val="000000" w:themeColor="text1"/>
          <w14:textFill>
            <w14:solidFill>
              <w14:schemeClr w14:val="tx1"/>
            </w14:solidFill>
          </w14:textFill>
        </w:rPr>
        <w:t>原因分析：承运人员安全意识淡薄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图省事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采取不规范的</w:t>
      </w:r>
      <w:r>
        <w:rPr>
          <w:rFonts w:hint="eastAsia"/>
          <w:color w:val="000000" w:themeColor="text1"/>
          <w14:textFill>
            <w14:solidFill>
              <w14:schemeClr w14:val="tx1"/>
            </w14:solidFill>
          </w14:textFill>
        </w:rPr>
        <w:t>卸</w:t>
      </w:r>
      <w:r>
        <w:rPr>
          <w:color w:val="000000" w:themeColor="text1"/>
          <w14:textFill>
            <w14:solidFill>
              <w14:schemeClr w14:val="tx1"/>
            </w14:solidFill>
          </w14:textFill>
        </w:rPr>
        <w:t>油方式</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在未取下卸油管的情况下</w:t>
      </w:r>
      <w:r>
        <w:rPr>
          <w:rFonts w:hint="eastAsia"/>
          <w:color w:val="000000" w:themeColor="text1"/>
          <w14:textFill>
            <w14:solidFill>
              <w14:schemeClr w14:val="tx1"/>
            </w14:solidFill>
          </w14:textFill>
        </w:rPr>
        <w:t>即</w:t>
      </w:r>
      <w:r>
        <w:rPr>
          <w:color w:val="000000" w:themeColor="text1"/>
          <w14:textFill>
            <w14:solidFill>
              <w14:schemeClr w14:val="tx1"/>
            </w14:solidFill>
          </w14:textFill>
        </w:rPr>
        <w:t>进行晃车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加之业务技能不熟练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导致事件发生。加油站监卸人员卸油作业现场监管不到位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未能及时制止承运人员的不安全行为间接导致事件发生。</w:t>
      </w:r>
    </w:p>
    <w:p>
      <w:pPr>
        <w:rPr>
          <w:color w:val="000000" w:themeColor="text1"/>
          <w14:textFill>
            <w14:solidFill>
              <w14:schemeClr w14:val="tx1"/>
            </w14:solidFill>
          </w14:textFill>
        </w:rPr>
      </w:pPr>
      <w:r>
        <w:rPr>
          <w:color w:val="000000" w:themeColor="text1"/>
          <w14:textFill>
            <w14:solidFill>
              <w14:schemeClr w14:val="tx1"/>
            </w14:solidFill>
          </w14:textFill>
        </w:rPr>
        <w:t>经验教训：此次事件虽未造成严重后果</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但通过晃车卸余油带来的安全隐患必须引起我们的高度重视。晃车卸余油一是易造成罐车内剩余油品产生、聚集静电</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晃车完毕接卸余油时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一旦未能有效连接静电接地线</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极易引发火灾事故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类似事故已在系统内发生并造成了严重损失。二是油罐车在加油</w:t>
      </w:r>
      <w:r>
        <w:rPr>
          <w:rFonts w:hint="eastAsia"/>
          <w:color w:val="000000" w:themeColor="text1"/>
          <w14:textFill>
            <w14:solidFill>
              <w14:schemeClr w14:val="tx1"/>
            </w14:solidFill>
          </w14:textFill>
        </w:rPr>
        <w:t>站</w:t>
      </w:r>
      <w:r>
        <w:rPr>
          <w:color w:val="000000" w:themeColor="text1"/>
          <w14:textFill>
            <w14:solidFill>
              <w14:schemeClr w14:val="tx1"/>
            </w14:solidFill>
          </w14:textFill>
        </w:rPr>
        <w:t>内急速行驶晃动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给站内员工及进站加油人员人身安全带来威胁</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极易造成交通事故。各企业要吸取此次未遂事件的经验教训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切实加强加油站内油罐车卸余油的管理。</w:t>
      </w:r>
    </w:p>
    <w:p>
      <w:pPr>
        <w:rPr>
          <w:color w:val="000000" w:themeColor="text1"/>
          <w14:textFill>
            <w14:solidFill>
              <w14:schemeClr w14:val="tx1"/>
            </w14:solidFill>
          </w14:textFill>
        </w:rPr>
      </w:pPr>
      <w:r>
        <w:rPr>
          <w:color w:val="000000" w:themeColor="text1"/>
          <w14:textFill>
            <w14:solidFill>
              <w14:schemeClr w14:val="tx1"/>
            </w14:solidFill>
          </w14:textFill>
        </w:rPr>
        <w:t>防范措施：企业要加强对承运商司运人员的教育培训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完善相应的规章制度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明确要求油罐车卸余油要通过规范的方式进行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如在指定地点</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利用地形坡度等方式。严格执行禁令和纪律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结合“我要安全”主题活动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落实规章制度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规范操作行为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进一步强化加油站卸油环节的安全质量管理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加油站油品监卸人员要切实负起责任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及时发现并有效制止违章行为。</w:t>
      </w:r>
    </w:p>
    <w:p>
      <w:pPr>
        <w:pStyle w:val="3"/>
        <w:rPr>
          <w:color w:val="000000" w:themeColor="text1"/>
          <w14:textFill>
            <w14:solidFill>
              <w14:schemeClr w14:val="tx1"/>
            </w14:solidFill>
          </w14:textFill>
        </w:rPr>
      </w:pPr>
      <w:bookmarkStart w:id="375" w:name="_Toc16951"/>
      <w:r>
        <w:rPr>
          <w:rFonts w:hint="eastAsia"/>
          <w:color w:val="000000" w:themeColor="text1"/>
          <w14:textFill>
            <w14:solidFill>
              <w14:schemeClr w14:val="tx1"/>
            </w14:solidFill>
          </w14:textFill>
        </w:rPr>
        <w:t>本章小结</w:t>
      </w:r>
      <w:bookmarkEnd w:id="375"/>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预先危险性分析结果：预先危险性分析过程见上表5</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（定性分析危险、有害程度），分析结果如下：</w:t>
      </w:r>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加油站涉及的主要危险物质为汽油和柴油，危险有害因素为火灾爆炸、触电、机械伤害、中毒与窒息、车辆伤害、高处坠落、坍塌等。其中，火灾爆炸、坍塌的危险性等级为Ⅳ级，窒息、车辆伤害、触电、中毒、高处坠落、机械伤害的危险性等级为III级。</w:t>
      </w:r>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r>
        <w:rPr>
          <w:rFonts w:hint="eastAsia"/>
          <w:color w:val="000000" w:themeColor="text1"/>
          <w14:textFill>
            <w14:solidFill>
              <w14:schemeClr w14:val="tx1"/>
            </w14:solidFill>
          </w14:textFill>
        </w:rPr>
        <w:t>本章针对其危险源潜在事故及其触发条件进行了分析，指出了防止项目存在的危险转化为事故的主要防范措施。通过预先危险性分析，确定进一步分析的范围，使分析、评价后提出的消除、控制危险的措施更具有针对性。</w:t>
      </w:r>
    </w:p>
    <w:bookmarkEnd w:id="369"/>
    <w:p>
      <w:pPr>
        <w:pStyle w:val="2"/>
        <w:spacing w:before="193" w:after="193"/>
        <w:rPr>
          <w:color w:val="000000" w:themeColor="text1"/>
          <w14:textFill>
            <w14:solidFill>
              <w14:schemeClr w14:val="tx1"/>
            </w14:solidFill>
          </w14:textFill>
        </w:rPr>
      </w:pPr>
      <w:bookmarkStart w:id="376" w:name="_Toc258574851"/>
      <w:bookmarkStart w:id="377" w:name="_Toc195176759"/>
      <w:bookmarkStart w:id="378" w:name="_Toc25437"/>
      <w:r>
        <w:rPr>
          <w:rFonts w:hint="eastAsia"/>
          <w:color w:val="000000" w:themeColor="text1"/>
          <w14:textFill>
            <w14:solidFill>
              <w14:schemeClr w14:val="tx1"/>
            </w14:solidFill>
          </w14:textFill>
        </w:rPr>
        <w:t>各单元分析</w:t>
      </w:r>
      <w:bookmarkEnd w:id="376"/>
      <w:bookmarkEnd w:id="377"/>
      <w:r>
        <w:rPr>
          <w:rFonts w:hint="eastAsia"/>
          <w:color w:val="000000" w:themeColor="text1"/>
          <w14:textFill>
            <w14:solidFill>
              <w14:schemeClr w14:val="tx1"/>
            </w14:solidFill>
          </w14:textFill>
        </w:rPr>
        <w:t>评价</w:t>
      </w:r>
      <w:bookmarkEnd w:id="378"/>
    </w:p>
    <w:p>
      <w:pPr>
        <w:pStyle w:val="3"/>
        <w:rPr>
          <w:color w:val="000000" w:themeColor="text1"/>
          <w14:textFill>
            <w14:solidFill>
              <w14:schemeClr w14:val="tx1"/>
            </w14:solidFill>
          </w14:textFill>
        </w:rPr>
      </w:pPr>
      <w:bookmarkStart w:id="379" w:name="_Toc258574852"/>
      <w:bookmarkStart w:id="380" w:name="_Toc195176760"/>
      <w:bookmarkStart w:id="381" w:name="_Toc22375"/>
      <w:r>
        <w:rPr>
          <w:rFonts w:hint="eastAsia"/>
          <w:color w:val="000000" w:themeColor="text1"/>
          <w14:textFill>
            <w14:solidFill>
              <w14:schemeClr w14:val="tx1"/>
            </w14:solidFill>
          </w14:textFill>
        </w:rPr>
        <w:t>外部安全条件分析</w:t>
      </w:r>
      <w:bookmarkEnd w:id="379"/>
      <w:bookmarkEnd w:id="380"/>
      <w:r>
        <w:rPr>
          <w:rFonts w:hint="eastAsia"/>
          <w:color w:val="000000" w:themeColor="text1"/>
          <w14:textFill>
            <w14:solidFill>
              <w14:schemeClr w14:val="tx1"/>
            </w14:solidFill>
          </w14:textFill>
        </w:rPr>
        <w:t>评价</w:t>
      </w:r>
      <w:bookmarkEnd w:id="381"/>
    </w:p>
    <w:p>
      <w:pPr>
        <w:pStyle w:val="4"/>
        <w:ind w:firstLine="562"/>
        <w:rPr>
          <w:color w:val="000000" w:themeColor="text1"/>
          <w14:textFill>
            <w14:solidFill>
              <w14:schemeClr w14:val="tx1"/>
            </w14:solidFill>
          </w14:textFill>
        </w:rPr>
      </w:pPr>
      <w:bookmarkStart w:id="382" w:name="_Toc23813"/>
      <w:bookmarkStart w:id="383" w:name="_Toc195176761"/>
      <w:r>
        <w:rPr>
          <w:rFonts w:hint="eastAsia"/>
          <w:color w:val="000000" w:themeColor="text1"/>
          <w14:textFill>
            <w14:solidFill>
              <w14:schemeClr w14:val="tx1"/>
            </w14:solidFill>
          </w14:textFill>
        </w:rPr>
        <w:t>站址选择分析评价</w:t>
      </w:r>
      <w:bookmarkEnd w:id="38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依据《汽车加油加气加氢站技术标准》（GB50156-2021）编制安全检查表对加油站站址进行分析评价，检查结果见表6-1。</w:t>
      </w:r>
    </w:p>
    <w:p>
      <w:pPr>
        <w:pStyle w:val="78"/>
        <w:rPr>
          <w:b w:val="0"/>
          <w:bCs/>
          <w:color w:val="000000" w:themeColor="text1"/>
          <w14:textFill>
            <w14:solidFill>
              <w14:schemeClr w14:val="tx1"/>
            </w14:solidFill>
          </w14:textFill>
        </w:rPr>
      </w:pPr>
      <w:r>
        <w:rPr>
          <w:rFonts w:hint="eastAsia"/>
          <w:color w:val="000000" w:themeColor="text1"/>
          <w14:textFill>
            <w14:solidFill>
              <w14:schemeClr w14:val="tx1"/>
            </w14:solidFill>
          </w14:textFill>
        </w:rPr>
        <w:t>表6-1  加油站站址安全检查表</w:t>
      </w:r>
    </w:p>
    <w:tbl>
      <w:tblPr>
        <w:tblStyle w:val="33"/>
        <w:tblW w:w="907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44"/>
        <w:gridCol w:w="1619"/>
        <w:gridCol w:w="2837"/>
        <w:gridCol w:w="7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3844" w:type="dxa"/>
            <w:vAlign w:val="center"/>
          </w:tcPr>
          <w:p>
            <w:pPr>
              <w:pStyle w:val="77"/>
              <w:rPr>
                <w:b/>
                <w:color w:val="000000" w:themeColor="text1"/>
                <w14:textFill>
                  <w14:solidFill>
                    <w14:schemeClr w14:val="tx1"/>
                  </w14:solidFill>
                </w14:textFill>
              </w:rPr>
            </w:pPr>
            <w:r>
              <w:rPr>
                <w:rFonts w:hint="eastAsia"/>
                <w:b/>
                <w:color w:val="000000" w:themeColor="text1"/>
                <w14:textFill>
                  <w14:solidFill>
                    <w14:schemeClr w14:val="tx1"/>
                  </w14:solidFill>
                </w14:textFill>
              </w:rPr>
              <w:t>检查内容</w:t>
            </w:r>
          </w:p>
        </w:tc>
        <w:tc>
          <w:tcPr>
            <w:tcW w:w="1619" w:type="dxa"/>
            <w:vAlign w:val="center"/>
          </w:tcPr>
          <w:p>
            <w:pPr>
              <w:pStyle w:val="77"/>
              <w:rPr>
                <w:b/>
                <w:color w:val="000000" w:themeColor="text1"/>
                <w14:textFill>
                  <w14:solidFill>
                    <w14:schemeClr w14:val="tx1"/>
                  </w14:solidFill>
                </w14:textFill>
              </w:rPr>
            </w:pPr>
            <w:r>
              <w:rPr>
                <w:rFonts w:hint="eastAsia"/>
                <w:b/>
                <w:color w:val="000000" w:themeColor="text1"/>
                <w14:textFill>
                  <w14:solidFill>
                    <w14:schemeClr w14:val="tx1"/>
                  </w14:solidFill>
                </w14:textFill>
              </w:rPr>
              <w:t>检查依据</w:t>
            </w:r>
          </w:p>
        </w:tc>
        <w:tc>
          <w:tcPr>
            <w:tcW w:w="2837" w:type="dxa"/>
            <w:vAlign w:val="center"/>
          </w:tcPr>
          <w:p>
            <w:pPr>
              <w:pStyle w:val="77"/>
              <w:rPr>
                <w:b/>
                <w:color w:val="000000" w:themeColor="text1"/>
                <w14:textFill>
                  <w14:solidFill>
                    <w14:schemeClr w14:val="tx1"/>
                  </w14:solidFill>
                </w14:textFill>
              </w:rPr>
            </w:pPr>
            <w:r>
              <w:rPr>
                <w:rFonts w:hint="eastAsia"/>
                <w:b/>
                <w:color w:val="000000" w:themeColor="text1"/>
                <w14:textFill>
                  <w14:solidFill>
                    <w14:schemeClr w14:val="tx1"/>
                  </w14:solidFill>
                </w14:textFill>
              </w:rPr>
              <w:t>检查结果</w:t>
            </w:r>
          </w:p>
        </w:tc>
        <w:tc>
          <w:tcPr>
            <w:tcW w:w="771" w:type="dxa"/>
            <w:vAlign w:val="center"/>
          </w:tcPr>
          <w:p>
            <w:pPr>
              <w:pStyle w:val="77"/>
              <w:rPr>
                <w:b/>
                <w:color w:val="000000" w:themeColor="text1"/>
                <w14:textFill>
                  <w14:solidFill>
                    <w14:schemeClr w14:val="tx1"/>
                  </w14:solidFill>
                </w14:textFill>
              </w:rPr>
            </w:pPr>
            <w:r>
              <w:rPr>
                <w:rFonts w:hint="eastAsia"/>
                <w:b/>
                <w:color w:val="000000" w:themeColor="text1"/>
                <w14:textFill>
                  <w14:solidFill>
                    <w14:schemeClr w14:val="tx1"/>
                  </w14:solidFill>
                </w14:textFill>
              </w:rPr>
              <w:t>结论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3844" w:type="dxa"/>
            <w:vAlign w:val="center"/>
          </w:tcPr>
          <w:p>
            <w:pPr>
              <w:pStyle w:val="77"/>
              <w:jc w:val="left"/>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汽车加油站的站址选择应符合有关规划、环境保护和防火安全的要求，并应选在交通便利、用户使用方便的地点</w:t>
            </w:r>
            <w:r>
              <w:rPr>
                <w:color w:val="000000" w:themeColor="text1"/>
                <w14:textFill>
                  <w14:solidFill>
                    <w14:schemeClr w14:val="tx1"/>
                  </w14:solidFill>
                </w14:textFill>
              </w:rPr>
              <w:t>。</w:t>
            </w:r>
          </w:p>
        </w:tc>
        <w:tc>
          <w:tcPr>
            <w:tcW w:w="161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GB50156-2021第4.0.1条</w:t>
            </w:r>
          </w:p>
        </w:tc>
        <w:tc>
          <w:tcPr>
            <w:tcW w:w="283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加油站位于</w:t>
            </w:r>
            <w:r>
              <w:rPr>
                <w:rFonts w:hint="eastAsia"/>
                <w:color w:val="000000" w:themeColor="text1"/>
                <w:lang w:val="en-US" w:eastAsia="zh-CN"/>
                <w14:textFill>
                  <w14:solidFill>
                    <w14:schemeClr w14:val="tx1"/>
                  </w14:solidFill>
                </w14:textFill>
              </w:rPr>
              <w:t>丘北至天星公路北侧</w:t>
            </w:r>
            <w:r>
              <w:rPr>
                <w:rFonts w:hint="eastAsia"/>
                <w:color w:val="000000" w:themeColor="text1"/>
                <w14:textFill>
                  <w14:solidFill>
                    <w14:schemeClr w14:val="tx1"/>
                  </w14:solidFill>
                </w14:textFill>
              </w:rPr>
              <w:t>，所处位置交通便利。</w:t>
            </w:r>
          </w:p>
        </w:tc>
        <w:tc>
          <w:tcPr>
            <w:tcW w:w="7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3844" w:type="dxa"/>
            <w:vAlign w:val="center"/>
          </w:tcPr>
          <w:p>
            <w:pPr>
              <w:pStyle w:val="77"/>
              <w:keepNext w:val="0"/>
              <w:keepLines w:val="0"/>
              <w:pageBreakBefore w:val="0"/>
              <w:widowControl w:val="0"/>
              <w:kinsoku/>
              <w:wordWrap/>
              <w:overflowPunct/>
              <w:topLinePunct/>
              <w:autoSpaceDE/>
              <w:autoSpaceDN/>
              <w:bidi w:val="0"/>
              <w:adjustRightInd w:val="0"/>
              <w:snapToGrid w:val="0"/>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在城市中心区不应建一级汽车加油站。</w:t>
            </w:r>
          </w:p>
        </w:tc>
        <w:tc>
          <w:tcPr>
            <w:tcW w:w="161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GB50156-2021第4.0.2条</w:t>
            </w:r>
          </w:p>
        </w:tc>
        <w:tc>
          <w:tcPr>
            <w:tcW w:w="2837" w:type="dxa"/>
            <w:vAlign w:val="center"/>
          </w:tcPr>
          <w:p>
            <w:pPr>
              <w:pStyle w:val="77"/>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加油站属于三级加油站</w:t>
            </w:r>
            <w:r>
              <w:rPr>
                <w:rFonts w:hint="eastAsia"/>
                <w:color w:val="000000" w:themeColor="text1"/>
                <w:lang w:eastAsia="zh-CN"/>
                <w14:textFill>
                  <w14:solidFill>
                    <w14:schemeClr w14:val="tx1"/>
                  </w14:solidFill>
                </w14:textFill>
              </w:rPr>
              <w:t>。</w:t>
            </w:r>
          </w:p>
        </w:tc>
        <w:tc>
          <w:tcPr>
            <w:tcW w:w="7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3844"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3.城市建成区内的汽车加油站宜靠近城市道路，但不宜选在城市干道的交叉路口附近</w:t>
            </w:r>
            <w:r>
              <w:rPr>
                <w:color w:val="000000" w:themeColor="text1"/>
                <w14:textFill>
                  <w14:solidFill>
                    <w14:schemeClr w14:val="tx1"/>
                  </w14:solidFill>
                </w14:textFill>
              </w:rPr>
              <w:t>。</w:t>
            </w:r>
          </w:p>
        </w:tc>
        <w:tc>
          <w:tcPr>
            <w:tcW w:w="161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第4.0.3条</w:t>
            </w:r>
          </w:p>
        </w:tc>
        <w:tc>
          <w:tcPr>
            <w:tcW w:w="2837"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加油站所处位置靠近</w:t>
            </w:r>
            <w:r>
              <w:rPr>
                <w:rFonts w:hint="eastAsia"/>
                <w:color w:val="000000" w:themeColor="text1"/>
                <w:lang w:val="en-US" w:eastAsia="zh-CN"/>
                <w14:textFill>
                  <w14:solidFill>
                    <w14:schemeClr w14:val="tx1"/>
                  </w14:solidFill>
                </w14:textFill>
              </w:rPr>
              <w:t>天星公路</w:t>
            </w:r>
            <w:r>
              <w:rPr>
                <w:rFonts w:hint="eastAsia"/>
                <w:color w:val="000000" w:themeColor="text1"/>
                <w14:textFill>
                  <w14:solidFill>
                    <w14:schemeClr w14:val="tx1"/>
                  </w14:solidFill>
                </w14:textFill>
              </w:rPr>
              <w:t>。</w:t>
            </w:r>
          </w:p>
        </w:tc>
        <w:tc>
          <w:tcPr>
            <w:tcW w:w="7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3844" w:type="dxa"/>
            <w:vAlign w:val="center"/>
          </w:tcPr>
          <w:p>
            <w:pPr>
              <w:pStyle w:val="77"/>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.加油站的</w:t>
            </w:r>
            <w:r>
              <w:rPr>
                <w:rFonts w:hint="eastAsia"/>
                <w:color w:val="000000" w:themeColor="text1"/>
                <w14:textFill>
                  <w14:solidFill>
                    <w14:schemeClr w14:val="tx1"/>
                  </w14:solidFill>
                </w14:textFill>
              </w:rPr>
              <w:t>汽油、柴油工艺设备</w:t>
            </w:r>
            <w:r>
              <w:rPr>
                <w:color w:val="000000" w:themeColor="text1"/>
                <w14:textFill>
                  <w14:solidFill>
                    <w14:schemeClr w14:val="tx1"/>
                  </w14:solidFill>
                </w14:textFill>
              </w:rPr>
              <w:t>与站外建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筑物的防火距离应</w:t>
            </w:r>
            <w:r>
              <w:rPr>
                <w:rFonts w:hint="eastAsia"/>
                <w:color w:val="000000" w:themeColor="text1"/>
                <w14:textFill>
                  <w14:solidFill>
                    <w14:schemeClr w14:val="tx1"/>
                  </w14:solidFill>
                </w14:textFill>
              </w:rPr>
              <w:t>符合本规范中表4.0.4中的规定</w:t>
            </w:r>
            <w:r>
              <w:rPr>
                <w:color w:val="000000" w:themeColor="text1"/>
                <w14:textFill>
                  <w14:solidFill>
                    <w14:schemeClr w14:val="tx1"/>
                  </w14:solidFill>
                </w14:textFill>
              </w:rPr>
              <w:t>。</w:t>
            </w:r>
          </w:p>
        </w:tc>
        <w:tc>
          <w:tcPr>
            <w:tcW w:w="161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第4.0.4条</w:t>
            </w:r>
          </w:p>
        </w:tc>
        <w:tc>
          <w:tcPr>
            <w:tcW w:w="2837" w:type="dxa"/>
            <w:vAlign w:val="center"/>
          </w:tcPr>
          <w:p>
            <w:pPr>
              <w:pStyle w:val="77"/>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加油站与相关设施的距离符合规范的要求</w:t>
            </w:r>
            <w:r>
              <w:rPr>
                <w:rFonts w:hint="eastAsia"/>
                <w:color w:val="000000" w:themeColor="text1"/>
                <w:lang w:eastAsia="zh-CN"/>
                <w14:textFill>
                  <w14:solidFill>
                    <w14:schemeClr w14:val="tx1"/>
                  </w14:solidFill>
                </w14:textFill>
              </w:rPr>
              <w:t>。</w:t>
            </w:r>
          </w:p>
        </w:tc>
        <w:tc>
          <w:tcPr>
            <w:tcW w:w="77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72"/>
        <w:ind w:firstLine="467" w:firstLineChars="167"/>
        <w:rPr>
          <w:color w:val="000000" w:themeColor="text1"/>
          <w14:textFill>
            <w14:solidFill>
              <w14:schemeClr w14:val="tx1"/>
            </w14:solidFill>
          </w14:textFill>
        </w:rPr>
      </w:pPr>
      <w:r>
        <w:rPr>
          <w:color w:val="000000" w:themeColor="text1"/>
          <w14:textFill>
            <w14:solidFill>
              <w14:schemeClr w14:val="tx1"/>
            </w14:solidFill>
          </w14:textFill>
        </w:rPr>
        <w:t>检查结果：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加油站所处位置交通便利，加油站的设施</w:t>
      </w:r>
      <w:r>
        <w:rPr>
          <w:color w:val="000000" w:themeColor="text1"/>
          <w14:textFill>
            <w14:solidFill>
              <w14:schemeClr w14:val="tx1"/>
            </w14:solidFill>
          </w14:textFill>
        </w:rPr>
        <w:t>与站外建、构筑物的</w:t>
      </w:r>
      <w:r>
        <w:rPr>
          <w:rFonts w:hint="eastAsia"/>
          <w:color w:val="000000" w:themeColor="text1"/>
          <w14:textFill>
            <w14:solidFill>
              <w14:schemeClr w14:val="tx1"/>
            </w14:solidFill>
          </w14:textFill>
        </w:rPr>
        <w:t>安全</w:t>
      </w:r>
      <w:r>
        <w:rPr>
          <w:color w:val="000000" w:themeColor="text1"/>
          <w14:textFill>
            <w14:solidFill>
              <w14:schemeClr w14:val="tx1"/>
            </w14:solidFill>
          </w14:textFill>
        </w:rPr>
        <w:t>距离</w:t>
      </w:r>
      <w:r>
        <w:rPr>
          <w:rFonts w:hint="eastAsia"/>
          <w:color w:val="000000" w:themeColor="text1"/>
          <w14:textFill>
            <w14:solidFill>
              <w14:schemeClr w14:val="tx1"/>
            </w14:solidFill>
          </w14:textFill>
        </w:rPr>
        <w:t>，从</w:t>
      </w:r>
      <w:r>
        <w:rPr>
          <w:rFonts w:hint="eastAsia"/>
          <w:color w:val="000000" w:themeColor="text1"/>
          <w:lang w:val="en-US" w:eastAsia="zh-CN"/>
          <w14:textFill>
            <w14:solidFill>
              <w14:schemeClr w14:val="tx1"/>
            </w14:solidFill>
          </w14:textFill>
        </w:rPr>
        <w:t>加油站</w:t>
      </w:r>
      <w:r>
        <w:rPr>
          <w:rFonts w:hint="eastAsia"/>
          <w:color w:val="000000" w:themeColor="text1"/>
          <w14:textFill>
            <w14:solidFill>
              <w14:schemeClr w14:val="tx1"/>
            </w14:solidFill>
          </w14:textFill>
        </w:rPr>
        <w:t>平面布置来看，</w:t>
      </w:r>
      <w:r>
        <w:rPr>
          <w:color w:val="000000" w:themeColor="text1"/>
          <w14:textFill>
            <w14:solidFill>
              <w14:schemeClr w14:val="tx1"/>
            </w14:solidFill>
          </w14:textFill>
        </w:rPr>
        <w:t>该</w:t>
      </w:r>
      <w:r>
        <w:rPr>
          <w:rFonts w:hint="eastAsia"/>
          <w:color w:val="000000" w:themeColor="text1"/>
          <w14:textFill>
            <w14:solidFill>
              <w14:schemeClr w14:val="tx1"/>
            </w14:solidFill>
          </w14:textFill>
        </w:rPr>
        <w:t>加油站</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《汽车加油加气加氢站技术标准》（GB50156-2021）对加油站站址</w:t>
      </w:r>
      <w:r>
        <w:rPr>
          <w:color w:val="000000" w:themeColor="text1"/>
          <w14:textFill>
            <w14:solidFill>
              <w14:schemeClr w14:val="tx1"/>
            </w14:solidFill>
          </w14:textFill>
        </w:rPr>
        <w:t>的要求。</w:t>
      </w:r>
    </w:p>
    <w:p>
      <w:pPr>
        <w:pStyle w:val="4"/>
        <w:ind w:firstLine="562"/>
        <w:rPr>
          <w:color w:val="000000" w:themeColor="text1"/>
          <w14:textFill>
            <w14:solidFill>
              <w14:schemeClr w14:val="tx1"/>
            </w14:solidFill>
          </w14:textFill>
        </w:rPr>
      </w:pPr>
      <w:bookmarkStart w:id="384" w:name="_Toc11881"/>
      <w:r>
        <w:rPr>
          <w:rFonts w:hint="eastAsia"/>
          <w:color w:val="000000" w:themeColor="text1"/>
          <w14:textFill>
            <w14:solidFill>
              <w14:schemeClr w14:val="tx1"/>
            </w14:solidFill>
          </w14:textFill>
        </w:rPr>
        <w:t>加油站对周边环境的影响分析评价</w:t>
      </w:r>
      <w:bookmarkEnd w:id="38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该加油站运行过程中，若安全管理不到位、设备缺陷或人员操作失误，造成加油站储罐发生泄漏，泄漏的油品挥发形成蒸气云，若遇到点火源将会发生爆炸，危及加油站周边道路行人的生命及财产安全。</w:t>
      </w:r>
    </w:p>
    <w:p>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根据计算及对照</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的平面布置，汽油储罐发生蒸气云雾爆炸后，其对人体的伤害及其对周围的建构筑物及设备的破坏范围覆盖整个加油站及周边</w:t>
      </w:r>
      <w:r>
        <w:rPr>
          <w:rFonts w:hint="eastAsia"/>
          <w:color w:val="000000" w:themeColor="text1"/>
          <w:lang w:val="en-US" w:eastAsia="zh-CN"/>
          <w14:textFill>
            <w14:solidFill>
              <w14:schemeClr w14:val="tx1"/>
            </w14:solidFill>
          </w14:textFill>
        </w:rPr>
        <w:t>建筑</w:t>
      </w:r>
      <w:r>
        <w:rPr>
          <w:rFonts w:hint="eastAsia"/>
          <w:color w:val="000000" w:themeColor="text1"/>
          <w14:textFill>
            <w14:solidFill>
              <w14:schemeClr w14:val="tx1"/>
            </w14:solidFill>
          </w14:textFill>
        </w:rPr>
        <w:t>，后果是非常严重的。尽管汽油储罐爆炸事故发生时其危害性较大，但此事故发生的概率极低，是可以通过加强安全管理和采取安全技术措施加以预防的。</w:t>
      </w:r>
    </w:p>
    <w:p>
      <w:pPr>
        <w:pStyle w:val="4"/>
        <w:ind w:firstLine="562"/>
        <w:rPr>
          <w:color w:val="000000" w:themeColor="text1"/>
          <w14:textFill>
            <w14:solidFill>
              <w14:schemeClr w14:val="tx1"/>
            </w14:solidFill>
          </w14:textFill>
        </w:rPr>
      </w:pPr>
      <w:bookmarkStart w:id="385" w:name="_Toc15666"/>
      <w:r>
        <w:rPr>
          <w:rFonts w:hint="eastAsia"/>
          <w:color w:val="000000" w:themeColor="text1"/>
          <w14:textFill>
            <w14:solidFill>
              <w14:schemeClr w14:val="tx1"/>
            </w14:solidFill>
          </w14:textFill>
        </w:rPr>
        <w:t>加油站周边环境对加油站运行的影响</w:t>
      </w:r>
      <w:bookmarkEnd w:id="385"/>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加油站周边居民、设施对加油站运行的影响</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加油站周边无重要公共建筑物，其他建筑物与加油站油罐、通气管、加油机的距离符合《汽车加油加气加氢站技术标准》（GB50156-2021）的要求。加油站区边界设置有实体围墙与周边隔开，站内2</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h有人值守，配备有视频监控系统，进出站区均设置有车辆减速标志。周边道路上行驶的车辆、周边居民等对加油站的影响在可接受范围内。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在加油站日常运营过程中，认真落实对加油站的安全管理，加强相关设施的安全检查，加油站是可以安全运行的。</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应急救援及交通的影响</w:t>
      </w:r>
    </w:p>
    <w:p>
      <w:pPr>
        <w:pStyle w:val="17"/>
        <w:rPr>
          <w:color w:val="000000" w:themeColor="text1"/>
          <w14:textFill>
            <w14:solidFill>
              <w14:schemeClr w14:val="tx1"/>
            </w14:solidFill>
          </w14:textFill>
        </w:rPr>
      </w:pPr>
      <w:r>
        <w:rPr>
          <w:rFonts w:hint="eastAsia"/>
          <w:color w:val="000000" w:themeColor="text1"/>
          <w14:textFill>
            <w14:solidFill>
              <w14:schemeClr w14:val="tx1"/>
            </w14:solidFill>
          </w14:textFill>
        </w:rPr>
        <w:t>加油站位于</w:t>
      </w:r>
      <w:r>
        <w:rPr>
          <w:rFonts w:hint="eastAsia"/>
          <w:lang w:val="en-US" w:eastAsia="zh-CN"/>
        </w:rPr>
        <w:t>丘北至天星公路北侧</w:t>
      </w:r>
      <w:r>
        <w:rPr>
          <w:rFonts w:hint="eastAsia"/>
          <w:color w:val="000000" w:themeColor="text1"/>
          <w14:textFill>
            <w14:solidFill>
              <w14:schemeClr w14:val="tx1"/>
            </w14:solidFill>
          </w14:textFill>
        </w:rPr>
        <w:t>，交通运输十分便利。加油站发生事故时，可就近向附近相关部门求援，应急救援力量有保障。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加油站前的道路能满足项目应急救援的需要，使事故后果损失大幅度减少。</w:t>
      </w:r>
    </w:p>
    <w:p>
      <w:pPr>
        <w:pStyle w:val="4"/>
        <w:ind w:firstLine="562"/>
        <w:rPr>
          <w:color w:val="000000" w:themeColor="text1"/>
          <w14:textFill>
            <w14:solidFill>
              <w14:schemeClr w14:val="tx1"/>
            </w14:solidFill>
          </w14:textFill>
        </w:rPr>
      </w:pPr>
      <w:bookmarkStart w:id="386" w:name="_Toc19180"/>
      <w:r>
        <w:rPr>
          <w:rFonts w:hint="eastAsia"/>
          <w:color w:val="000000" w:themeColor="text1"/>
          <w14:textFill>
            <w14:solidFill>
              <w14:schemeClr w14:val="tx1"/>
            </w14:solidFill>
          </w14:textFill>
        </w:rPr>
        <w:t>所在地自然条件对加油站运行的影响</w:t>
      </w:r>
      <w:bookmarkEnd w:id="386"/>
    </w:p>
    <w:p>
      <w:pPr>
        <w:pStyle w:val="5"/>
        <w:ind w:firstLine="560"/>
        <w:rPr>
          <w:color w:val="000000" w:themeColor="text1"/>
          <w14:textFill>
            <w14:solidFill>
              <w14:schemeClr w14:val="tx1"/>
            </w14:solidFill>
          </w14:textFill>
        </w:rPr>
      </w:pPr>
      <w:bookmarkStart w:id="387" w:name="_Toc259450480"/>
      <w:r>
        <w:rPr>
          <w:rFonts w:hint="eastAsia"/>
          <w:color w:val="000000" w:themeColor="text1"/>
          <w14:textFill>
            <w14:solidFill>
              <w14:schemeClr w14:val="tx1"/>
            </w14:solidFill>
          </w14:textFill>
        </w:rPr>
        <w:t>风的影响</w:t>
      </w:r>
      <w:bookmarkEnd w:id="38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依据项目所在地风速、主导风向，该地风向、风速对加油站影响不大。</w:t>
      </w:r>
    </w:p>
    <w:p>
      <w:pPr>
        <w:pStyle w:val="5"/>
        <w:ind w:firstLine="560"/>
        <w:rPr>
          <w:color w:val="000000" w:themeColor="text1"/>
          <w14:textFill>
            <w14:solidFill>
              <w14:schemeClr w14:val="tx1"/>
            </w14:solidFill>
          </w14:textFill>
        </w:rPr>
      </w:pPr>
      <w:bookmarkStart w:id="388" w:name="_Toc259450481"/>
      <w:r>
        <w:rPr>
          <w:rFonts w:hint="eastAsia"/>
          <w:color w:val="000000" w:themeColor="text1"/>
          <w14:textFill>
            <w14:solidFill>
              <w14:schemeClr w14:val="tx1"/>
            </w14:solidFill>
          </w14:textFill>
        </w:rPr>
        <w:t>温、湿度的影响</w:t>
      </w:r>
      <w:bookmarkEnd w:id="38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该站位于</w:t>
      </w:r>
      <w:r>
        <w:rPr>
          <w:rFonts w:hint="eastAsia"/>
          <w:color w:val="000000" w:themeColor="text1"/>
          <w:lang w:val="en-US" w:eastAsia="zh-CN"/>
          <w14:textFill>
            <w14:solidFill>
              <w14:schemeClr w14:val="tx1"/>
            </w14:solidFill>
          </w14:textFill>
        </w:rPr>
        <w:t>丘北县</w:t>
      </w:r>
      <w:r>
        <w:rPr>
          <w:rFonts w:hint="eastAsia"/>
          <w:color w:val="000000" w:themeColor="text1"/>
          <w14:textFill>
            <w14:solidFill>
              <w14:schemeClr w14:val="tx1"/>
            </w14:solidFill>
          </w14:textFill>
        </w:rPr>
        <w:t>，年平均气温</w:t>
      </w:r>
      <w:r>
        <w:rPr>
          <w:rFonts w:hint="eastAsia"/>
          <w:color w:val="000000" w:themeColor="text1"/>
          <w:lang w:val="en-US" w:eastAsia="zh-CN"/>
          <w14:textFill>
            <w14:solidFill>
              <w14:schemeClr w14:val="tx1"/>
            </w14:solidFill>
          </w14:textFill>
        </w:rPr>
        <w:t>16.7</w:t>
      </w:r>
      <w:r>
        <w:rPr>
          <w:rFonts w:hint="eastAsia"/>
          <w:color w:val="000000" w:themeColor="text1"/>
          <w14:textFill>
            <w14:solidFill>
              <w14:schemeClr w14:val="tx1"/>
            </w14:solidFill>
          </w14:textFill>
        </w:rPr>
        <w:t>℃，极端最低温度为-</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℃，极端最高温度为</w:t>
      </w:r>
      <w:r>
        <w:rPr>
          <w:color w:val="000000" w:themeColor="text1"/>
          <w14:textFill>
            <w14:solidFill>
              <w14:schemeClr w14:val="tx1"/>
            </w14:solidFill>
          </w14:textFill>
        </w:rPr>
        <w:t>33.7</w:t>
      </w:r>
      <w:r>
        <w:rPr>
          <w:rFonts w:hint="eastAsia"/>
          <w:color w:val="000000" w:themeColor="text1"/>
          <w14:textFill>
            <w14:solidFill>
              <w14:schemeClr w14:val="tx1"/>
            </w14:solidFill>
          </w14:textFill>
        </w:rPr>
        <w:t>℃。根据建设项目所在地的温、湿度等方面的数据，该站在运营期间，均要在每年天干物燥的旱季、高温季特别加强对火灾、爆炸、雷击、静电、毒性等危险、危害因素的防范，加强安全检查、安全管理和教育。</w:t>
      </w:r>
      <w:r>
        <w:rPr>
          <w:rStyle w:val="36"/>
          <w:rFonts w:ascii="微软雅黑" w:hAnsi="微软雅黑" w:eastAsia="微软雅黑" w:cs="微软雅黑"/>
          <w:i w:val="0"/>
          <w:iCs w:val="0"/>
          <w:caps w:val="0"/>
          <w:color w:val="333333"/>
          <w:spacing w:val="0"/>
          <w:sz w:val="18"/>
          <w:szCs w:val="18"/>
          <w:shd w:val="clear" w:fill="FAF8F4"/>
        </w:rPr>
        <w:t> </w:t>
      </w:r>
    </w:p>
    <w:p>
      <w:pPr>
        <w:pStyle w:val="5"/>
        <w:ind w:firstLine="560"/>
        <w:rPr>
          <w:color w:val="000000" w:themeColor="text1"/>
          <w14:textFill>
            <w14:solidFill>
              <w14:schemeClr w14:val="tx1"/>
            </w14:solidFill>
          </w14:textFill>
        </w:rPr>
      </w:pPr>
      <w:bookmarkStart w:id="389" w:name="_Toc259450482"/>
      <w:r>
        <w:rPr>
          <w:rFonts w:hint="eastAsia"/>
          <w:color w:val="000000" w:themeColor="text1"/>
          <w14:textFill>
            <w14:solidFill>
              <w14:schemeClr w14:val="tx1"/>
            </w14:solidFill>
          </w14:textFill>
        </w:rPr>
        <w:t>降水和排涝的影响</w:t>
      </w:r>
      <w:bookmarkEnd w:id="389"/>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罩棚若未设置足够的排水设施或排水管堵塞，将可能有大量雨水聚集在罩棚顶部，导致罩棚垮塌，造成群死群伤的事故后果。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罩棚为网架结构，若由于网架选用材质不合格、制作安装有缺陷、使用过程中不按设计要求定期进行全面防腐维修，可能出现断裂垮塌，造成群死群伤的严重后果。只要定期对罩棚进行维修保养，对加油站的影响是可控的。</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在暴雨情况下，若未及时抽排油罐池内积水，可能出现油罐上移拉断管线导致油品泄漏。油罐已设置抱带防上浮，对加油站的影响是可接受的。</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该加油站虽然场地平坦，但在汛期应特别加强对雷击、静电、水涝、垮塌、漏油等危险、危害因素的防范，加强安全检查、安全管理和教育。</w:t>
      </w:r>
    </w:p>
    <w:p>
      <w:pPr>
        <w:pStyle w:val="5"/>
        <w:ind w:firstLine="560"/>
        <w:rPr>
          <w:color w:val="000000" w:themeColor="text1"/>
          <w14:textFill>
            <w14:solidFill>
              <w14:schemeClr w14:val="tx1"/>
            </w14:solidFill>
          </w14:textFill>
        </w:rPr>
      </w:pPr>
      <w:bookmarkStart w:id="390" w:name="_Toc259450483"/>
      <w:r>
        <w:rPr>
          <w:rFonts w:hint="eastAsia"/>
          <w:color w:val="000000" w:themeColor="text1"/>
          <w14:textFill>
            <w14:solidFill>
              <w14:schemeClr w14:val="tx1"/>
            </w14:solidFill>
          </w14:textFill>
        </w:rPr>
        <w:t>地震的影响</w:t>
      </w:r>
      <w:bookmarkEnd w:id="390"/>
    </w:p>
    <w:p>
      <w:pPr>
        <w:rPr>
          <w:color w:val="000000" w:themeColor="text1"/>
          <w14:textFill>
            <w14:solidFill>
              <w14:schemeClr w14:val="tx1"/>
            </w14:solidFill>
          </w14:textFill>
        </w:rPr>
      </w:pPr>
      <w:bookmarkStart w:id="391" w:name="_Hlk122534177"/>
      <w:r>
        <w:rPr>
          <w:color w:val="000000" w:themeColor="text1"/>
          <w14:textFill>
            <w14:solidFill>
              <w14:schemeClr w14:val="tx1"/>
            </w14:solidFill>
          </w14:textFill>
        </w:rPr>
        <w:t>按照《建筑抗震设计规范</w:t>
      </w:r>
      <w:r>
        <w:rPr>
          <w:rFonts w:hint="eastAsia"/>
          <w:color w:val="000000" w:themeColor="text1"/>
          <w14:textFill>
            <w14:solidFill>
              <w14:schemeClr w14:val="tx1"/>
            </w14:solidFill>
          </w14:textFill>
        </w:rPr>
        <w:t>（2016年版）</w:t>
      </w:r>
      <w:r>
        <w:rPr>
          <w:color w:val="000000" w:themeColor="text1"/>
          <w14:textFill>
            <w14:solidFill>
              <w14:schemeClr w14:val="tx1"/>
            </w14:solidFill>
          </w14:textFill>
        </w:rPr>
        <w:t>》（GB50011-20</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）的划分</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丘北县</w:t>
      </w:r>
      <w:r>
        <w:rPr>
          <w:rFonts w:hint="eastAsia"/>
          <w:color w:val="000000" w:themeColor="text1"/>
          <w14:textFill>
            <w14:solidFill>
              <w14:schemeClr w14:val="tx1"/>
            </w14:solidFill>
          </w14:textFill>
        </w:rPr>
        <w:t>抗震设防烈度为</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度，分组为第三组，设计基本地震加速度值为0.</w:t>
      </w:r>
      <w:r>
        <w:rPr>
          <w:rFonts w:hint="eastAsia"/>
          <w:color w:val="000000" w:themeColor="text1"/>
          <w:lang w:val="en-US" w:eastAsia="zh-CN"/>
          <w14:textFill>
            <w14:solidFill>
              <w14:schemeClr w14:val="tx1"/>
            </w14:solidFill>
          </w14:textFill>
        </w:rPr>
        <w:t>05</w:t>
      </w:r>
      <w:r>
        <w:rPr>
          <w:rFonts w:hint="eastAsia"/>
          <w:color w:val="000000" w:themeColor="text1"/>
          <w14:textFill>
            <w14:solidFill>
              <w14:schemeClr w14:val="tx1"/>
            </w14:solidFill>
          </w14:textFill>
        </w:rPr>
        <w:t>g。</w:t>
      </w:r>
    </w:p>
    <w:bookmarkEnd w:id="391"/>
    <w:p>
      <w:pPr>
        <w:pStyle w:val="5"/>
        <w:ind w:firstLine="560"/>
        <w:rPr>
          <w:color w:val="000000" w:themeColor="text1"/>
          <w14:textFill>
            <w14:solidFill>
              <w14:schemeClr w14:val="tx1"/>
            </w14:solidFill>
          </w14:textFill>
        </w:rPr>
      </w:pPr>
      <w:bookmarkStart w:id="392" w:name="_Toc259450484"/>
      <w:r>
        <w:rPr>
          <w:rFonts w:hint="eastAsia"/>
          <w:color w:val="000000" w:themeColor="text1"/>
          <w14:textFill>
            <w14:solidFill>
              <w14:schemeClr w14:val="tx1"/>
            </w14:solidFill>
          </w14:textFill>
        </w:rPr>
        <w:t>地质条件的影响</w:t>
      </w:r>
      <w:bookmarkEnd w:id="392"/>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从现场踏勘情况看，场地稳定，未见滑坡、断裂、围墙开裂等不良地质现象。</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地下水的影响</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从现场了解情况来看，该加油站场地未见明显的地下水，已对油罐采取了抗浮措施，油罐区设置了观察井，并设置了排水设施。</w:t>
      </w:r>
    </w:p>
    <w:bookmarkEnd w:id="383"/>
    <w:p>
      <w:pPr>
        <w:pStyle w:val="3"/>
        <w:rPr>
          <w:color w:val="000000" w:themeColor="text1"/>
          <w14:textFill>
            <w14:solidFill>
              <w14:schemeClr w14:val="tx1"/>
            </w14:solidFill>
          </w14:textFill>
        </w:rPr>
      </w:pPr>
      <w:bookmarkStart w:id="393" w:name="_Toc195176762"/>
      <w:bookmarkStart w:id="394" w:name="_Toc27312"/>
      <w:r>
        <w:rPr>
          <w:rFonts w:hint="eastAsia"/>
          <w:color w:val="000000" w:themeColor="text1"/>
          <w14:textFill>
            <w14:solidFill>
              <w14:schemeClr w14:val="tx1"/>
            </w14:solidFill>
          </w14:textFill>
        </w:rPr>
        <w:t>平面布置分析</w:t>
      </w:r>
      <w:bookmarkEnd w:id="393"/>
      <w:r>
        <w:rPr>
          <w:rFonts w:hint="eastAsia"/>
          <w:color w:val="000000" w:themeColor="text1"/>
          <w14:textFill>
            <w14:solidFill>
              <w14:schemeClr w14:val="tx1"/>
            </w14:solidFill>
          </w14:textFill>
        </w:rPr>
        <w:t>评价</w:t>
      </w:r>
      <w:bookmarkEnd w:id="39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依据《汽车加油加气加氢站技术标准》（GB50156-2021）编制安全检查表对平面布置进行分析评价，检查结果见表6-2。</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表6-2  平面布置安全检查表</w:t>
      </w:r>
    </w:p>
    <w:tbl>
      <w:tblPr>
        <w:tblStyle w:val="33"/>
        <w:tblW w:w="89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451"/>
        <w:gridCol w:w="1502"/>
        <w:gridCol w:w="2203"/>
        <w:gridCol w:w="78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445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检查内容</w:t>
            </w:r>
          </w:p>
        </w:tc>
        <w:tc>
          <w:tcPr>
            <w:tcW w:w="150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检查依据</w:t>
            </w:r>
          </w:p>
        </w:tc>
        <w:tc>
          <w:tcPr>
            <w:tcW w:w="2203"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检查结果</w:t>
            </w:r>
          </w:p>
        </w:tc>
        <w:tc>
          <w:tcPr>
            <w:tcW w:w="782"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结论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车辆入口和出口应分开设置。</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2021第5.0.1条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加油站车辆出、入口分开设置。</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站区内停车位和道路应符合下列规定：（</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）站内车道或停车位宽度应按车辆类型确定。加油站的车道或停车位，单车道或单车停车位宽度不应小于4</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，双车道或双车停车位不应小于</w:t>
            </w:r>
            <w:r>
              <w:rPr>
                <w:color w:val="000000" w:themeColor="text1"/>
                <w14:textFill>
                  <w14:solidFill>
                    <w14:schemeClr w14:val="tx1"/>
                  </w14:solidFill>
                </w14:textFill>
              </w:rPr>
              <w:t>6m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）站内的道路转弯半径按行驶车型确定，且不宜小于</w:t>
            </w:r>
            <w:r>
              <w:rPr>
                <w:color w:val="000000" w:themeColor="text1"/>
                <w14:textFill>
                  <w14:solidFill>
                    <w14:schemeClr w14:val="tx1"/>
                  </w14:solidFill>
                </w14:textFill>
              </w:rPr>
              <w:t>9m</w:t>
            </w:r>
            <w:r>
              <w:rPr>
                <w:rFonts w:hint="eastAsia"/>
                <w:color w:val="000000" w:themeColor="text1"/>
                <w14:textFill>
                  <w14:solidFill>
                    <w14:schemeClr w14:val="tx1"/>
                  </w14:solidFill>
                </w14:textFill>
              </w:rPr>
              <w:t>。（3）站内停车位应为平坡，道路坡度不应大于8％，且宜坡向站外。</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（4）作业区内的停车场和道路路面不应采用沥青路面。</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2021第5.0.2条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车道宽度</w:t>
            </w:r>
            <w:r>
              <w:rPr>
                <w:rFonts w:hint="eastAsia"/>
                <w:color w:val="000000" w:themeColor="text1"/>
                <w14:textFill>
                  <w14:solidFill>
                    <w14:schemeClr w14:val="tx1"/>
                  </w14:solidFill>
                </w14:textFill>
              </w:rPr>
              <w:t>满足标准要求，站内地面全部采用混凝土不发火花地面。</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3.加油作业区内，不得有“明火地点”或“散发火花地点”。</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2021第5.0.5条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加油作业区内无“明火地点”或“散发火花地点”。</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4.加油站的变配电间或室外变压器应布置在爆炸危险区域之外，变配电间的起算点应为门窗等洞口。</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2021第5.0.8条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站内配电室布置于加油作业区之外。</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5.站房不应布置在爆炸危险区域。站房部分位于作业区内时，建筑面积等应符合本标准第14.2.10条的规定。</w:t>
            </w:r>
          </w:p>
        </w:tc>
        <w:tc>
          <w:tcPr>
            <w:tcW w:w="150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第5.0.9条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站房未布置在爆炸危险区域，建筑面积等应符合本标准第14.2.10条的规定</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6.加油站内的爆炸危险区域，不应超出站区围墙和可用边界线。</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w:t>
            </w:r>
            <w:r>
              <w:rPr>
                <w:rFonts w:hint="eastAsia"/>
                <w:color w:val="000000" w:themeColor="text1"/>
                <w14:textFill>
                  <w14:solidFill>
                    <w14:schemeClr w14:val="tx1"/>
                  </w14:solidFill>
                </w14:textFill>
              </w:rPr>
              <w:t>021第5.0.11条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加油站内的爆炸危险区域，未超出站区围墙和可用边界线。</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加油站内设施之间的防火距离不应小于</w:t>
            </w:r>
            <w:r>
              <w:rPr>
                <w:color w:val="000000" w:themeColor="text1"/>
                <w14:textFill>
                  <w14:solidFill>
                    <w14:schemeClr w14:val="tx1"/>
                  </w14:solidFill>
                </w14:textFill>
              </w:rPr>
              <w:t>5.0.</w:t>
            </w:r>
            <w:r>
              <w:rPr>
                <w:rFonts w:hint="eastAsia"/>
                <w:color w:val="000000" w:themeColor="text1"/>
                <w14:textFill>
                  <w14:solidFill>
                    <w14:schemeClr w14:val="tx1"/>
                  </w14:solidFill>
                </w14:textFill>
              </w:rPr>
              <w:t>13-1和表5.0.13-2的规定。</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2021第5.0.13条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加油站内设施之间防火距离符合规范要求。</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8.本规范表</w:t>
            </w:r>
            <w:r>
              <w:rPr>
                <w:color w:val="000000" w:themeColor="text1"/>
                <w14:textFill>
                  <w14:solidFill>
                    <w14:schemeClr w14:val="tx1"/>
                  </w14:solidFill>
                </w14:textFill>
              </w:rPr>
              <w:t>5.0.</w:t>
            </w:r>
            <w:r>
              <w:rPr>
                <w:rFonts w:hint="eastAsia"/>
                <w:color w:val="000000" w:themeColor="text1"/>
                <w14:textFill>
                  <w14:solidFill>
                    <w14:schemeClr w14:val="tx1"/>
                  </w14:solidFill>
                </w14:textFill>
              </w:rPr>
              <w:t>13-1和表5.0.13-2中，油品卸车点与站区围墙的防火间距还应符合本规范第5.0.11条的规定，设备或建（构）筑物的计算间距起止点应符合本规范附录A的规定。</w:t>
            </w:r>
          </w:p>
        </w:tc>
        <w:tc>
          <w:tcPr>
            <w:tcW w:w="1502"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2021第5.0.15条</w:t>
            </w:r>
          </w:p>
        </w:tc>
        <w:tc>
          <w:tcPr>
            <w:tcW w:w="220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油品卸车点与的爆炸危险区域没有超出站区围墙。</w:t>
            </w:r>
          </w:p>
        </w:tc>
        <w:tc>
          <w:tcPr>
            <w:tcW w:w="782"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72"/>
        <w:ind w:firstLine="467" w:firstLineChars="167"/>
        <w:rPr>
          <w:color w:val="000000" w:themeColor="text1"/>
          <w14:textFill>
            <w14:solidFill>
              <w14:schemeClr w14:val="tx1"/>
            </w14:solidFill>
          </w14:textFill>
        </w:rPr>
      </w:pPr>
      <w:r>
        <w:rPr>
          <w:color w:val="000000" w:themeColor="text1"/>
          <w14:textFill>
            <w14:solidFill>
              <w14:schemeClr w14:val="tx1"/>
            </w14:solidFill>
          </w14:textFill>
        </w:rPr>
        <w:t>平面布置检查结果：</w:t>
      </w:r>
    </w:p>
    <w:p>
      <w:pPr>
        <w:keepNext w:val="0"/>
        <w:keepLines w:val="0"/>
        <w:pageBreakBefore w:val="0"/>
        <w:widowControl w:val="0"/>
        <w:kinsoku/>
        <w:wordWrap/>
        <w:overflowPunct/>
        <w:topLinePunct w:val="0"/>
        <w:autoSpaceDE/>
        <w:autoSpaceDN/>
        <w:bidi w:val="0"/>
        <w:adjustRightInd/>
        <w:snapToGrid w:val="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根据安全检查表进行分析，</w:t>
      </w:r>
      <w:r>
        <w:rPr>
          <w:color w:val="000000" w:themeColor="text1"/>
          <w14:textFill>
            <w14:solidFill>
              <w14:schemeClr w14:val="tx1"/>
            </w14:solidFill>
          </w14:textFill>
        </w:rPr>
        <w:t>该</w:t>
      </w:r>
      <w:r>
        <w:rPr>
          <w:rFonts w:hint="eastAsia"/>
          <w:color w:val="000000" w:themeColor="text1"/>
          <w14:textFill>
            <w14:solidFill>
              <w14:schemeClr w14:val="tx1"/>
            </w14:solidFill>
          </w14:textFill>
        </w:rPr>
        <w:t>加油站的</w:t>
      </w:r>
      <w:r>
        <w:rPr>
          <w:color w:val="000000" w:themeColor="text1"/>
          <w14:textFill>
            <w14:solidFill>
              <w14:schemeClr w14:val="tx1"/>
            </w14:solidFill>
          </w14:textFill>
        </w:rPr>
        <w:t>平面布置</w:t>
      </w:r>
      <w:r>
        <w:rPr>
          <w:rFonts w:hint="eastAsia"/>
          <w:color w:val="000000" w:themeColor="text1"/>
          <w14:textFill>
            <w14:solidFill>
              <w14:schemeClr w14:val="tx1"/>
            </w14:solidFill>
          </w14:textFill>
        </w:rPr>
        <w:t>合理，功能设置分区划分明确，</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《汽车加油加气加氢站技术标准》（GB50156-2021）的</w:t>
      </w:r>
      <w:r>
        <w:rPr>
          <w:color w:val="000000" w:themeColor="text1"/>
          <w14:textFill>
            <w14:solidFill>
              <w14:schemeClr w14:val="tx1"/>
            </w14:solidFill>
          </w14:textFill>
        </w:rPr>
        <w:t>要求。</w:t>
      </w:r>
    </w:p>
    <w:p>
      <w:pPr>
        <w:pStyle w:val="3"/>
        <w:rPr>
          <w:color w:val="000000" w:themeColor="text1"/>
          <w14:textFill>
            <w14:solidFill>
              <w14:schemeClr w14:val="tx1"/>
            </w14:solidFill>
          </w14:textFill>
        </w:rPr>
      </w:pPr>
      <w:bookmarkStart w:id="395" w:name="_Toc195176763"/>
      <w:bookmarkStart w:id="396" w:name="_Toc2808"/>
      <w:r>
        <w:rPr>
          <w:rFonts w:hint="eastAsia"/>
          <w:color w:val="000000" w:themeColor="text1"/>
          <w14:textFill>
            <w14:solidFill>
              <w14:schemeClr w14:val="tx1"/>
            </w14:solidFill>
          </w14:textFill>
        </w:rPr>
        <w:t>工艺及设施分析</w:t>
      </w:r>
      <w:bookmarkEnd w:id="395"/>
      <w:r>
        <w:rPr>
          <w:rFonts w:hint="eastAsia"/>
          <w:color w:val="000000" w:themeColor="text1"/>
          <w14:textFill>
            <w14:solidFill>
              <w14:schemeClr w14:val="tx1"/>
            </w14:solidFill>
          </w14:textFill>
        </w:rPr>
        <w:t>评价</w:t>
      </w:r>
      <w:bookmarkEnd w:id="39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依据《汽车加油加气加氢站技术标准》（GB50156-2021）编制安全检查表对工艺及设施进行分析评价，检查结果见表6-3。</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表6-3  加油工艺及设施安全检查表</w:t>
      </w:r>
    </w:p>
    <w:tbl>
      <w:tblPr>
        <w:tblStyle w:val="33"/>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1"/>
        <w:gridCol w:w="1701"/>
        <w:gridCol w:w="2295"/>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90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检查内容</w:t>
            </w:r>
          </w:p>
        </w:tc>
        <w:tc>
          <w:tcPr>
            <w:tcW w:w="1701"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检查依据</w:t>
            </w:r>
          </w:p>
        </w:tc>
        <w:tc>
          <w:tcPr>
            <w:tcW w:w="2295"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检查对象及结果</w:t>
            </w:r>
          </w:p>
        </w:tc>
        <w:tc>
          <w:tcPr>
            <w:tcW w:w="833"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30" w:type="dxa"/>
            <w:gridSpan w:val="4"/>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1加油站的汽油罐和柴油罐应埋地设置，严禁设在室内或地下室内。</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2021第6.1.1条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汽油罐和柴油罐埋地设置，未设在室内或地下室内。</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2汽车加油站的储油罐应采用卧式油罐。</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w:t>
            </w:r>
            <w:r>
              <w:rPr>
                <w:rFonts w:hint="eastAsia"/>
                <w:color w:val="000000" w:themeColor="text1"/>
                <w14:textFill>
                  <w14:solidFill>
                    <w14:schemeClr w14:val="tx1"/>
                  </w14:solidFill>
                </w14:textFill>
              </w:rPr>
              <w:t>2021第6.1.2条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油罐为卧式油罐。</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第6.1.3条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加油站采用了卧式SF双层油罐。</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1.4油罐应采用钢制人孔盖。</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第6.1.11条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油罐采用钢制人孔盖。</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1.5.</w:t>
            </w:r>
            <w:r>
              <w:rPr>
                <w:color w:val="000000" w:themeColor="text1"/>
                <w14:textFill>
                  <w14:solidFill>
                    <w14:schemeClr w14:val="tx1"/>
                  </w14:solidFill>
                </w14:textFill>
              </w:rPr>
              <w:t>油罐设在非车行道下面时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罐顶的覆土厚度不应小于0.5m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设在车行道下面时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罐顶低于路面不宜小于0.9m。钢制油罐的周围应回填中性沙或细土</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其厚度不应小于0.3m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外层为玻璃纤维增强塑料材料的油罐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其回填料应符合产品说明书的要求。</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r>
              <w:rPr>
                <w:color w:val="000000" w:themeColor="text1"/>
                <w14:textFill>
                  <w14:solidFill>
                    <w14:schemeClr w14:val="tx1"/>
                  </w14:solidFill>
                </w14:textFill>
              </w:rPr>
              <w:t>第6.1.1</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条</w:t>
            </w:r>
          </w:p>
        </w:tc>
        <w:tc>
          <w:tcPr>
            <w:tcW w:w="2295"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罐顶的覆土厚度不小于0.5m。</w:t>
            </w:r>
          </w:p>
        </w:tc>
        <w:tc>
          <w:tcPr>
            <w:tcW w:w="833"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1.6当埋地油罐受地下水或雨水作用有上浮的可能时，应采取防止油罐上浮的措施。</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第6.1.13条</w:t>
            </w:r>
          </w:p>
        </w:tc>
        <w:tc>
          <w:tcPr>
            <w:tcW w:w="229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加油站已采取防止油罐上浮的措施。</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1.7埋地油罐的人孔应设操作井，设在行车道下面的人孔井应采用加油站车行道下专用的密闭井盖和井座。</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第6.1.14条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油罐的人孔设置有操作井。</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1.8油罐卸油应采取防满溢措施。油料达到油罐容量90%时，应能触动高液位报警装置；油料达到油罐容量95%时，应能自动停止油料继续进罐。高液位报警装置应位于工作人员便于觉察的地点。</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第6.1.15条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加油站油罐已安装液位检测报警仪。</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1.9设有油气回收系统的加油站，站内油罐应设带有高液位报警功能的液位监测系统。双层油罐的液位监测系统尚应具备渗漏检测功能，其渗漏检测分辨率不宜大于0.8 L/h。</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第6.1.16条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加油站设有油气回收系统，油罐为SF双层罐，已安装液位检测报警仪和防渗漏检测报警装置。</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30" w:type="dxa"/>
            <w:gridSpan w:val="4"/>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2.加油机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2.1加油机不得设置在室内。</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第6.2.1条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加油机设置在室外罩棚下。</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2.2加油枪应采用自封式加油枪，汽油加油枪的流量不应大于50L/min。</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第6.2.2条</w:t>
            </w:r>
          </w:p>
        </w:tc>
        <w:tc>
          <w:tcPr>
            <w:tcW w:w="229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加油枪采用自封式加油枪，汽油加油枪的流量不大于50L/min。</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2.3加油软管上宜设安全拉断阀。</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第6.2.3条</w:t>
            </w:r>
          </w:p>
        </w:tc>
        <w:tc>
          <w:tcPr>
            <w:tcW w:w="229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加油软管上设置安全拉断阀。</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2.4以正压（潜油泵）供油的加油机，其底部的供油管道上应设置剪切阀，当加油机被撞或者起火时，剪切阀应能自动关闭。</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第6.2.4条</w:t>
            </w:r>
          </w:p>
        </w:tc>
        <w:tc>
          <w:tcPr>
            <w:tcW w:w="229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加油站采用潜油泵供油方式的加油机，其底部的供油管道上设置有剪切阀。</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2.5采用一机多油品的加油机时，加油机上的放枪位应有各油品的文字标识，加油枪应有颜色标识。</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第6.2.5条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加油枪上有颜色标识。</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30" w:type="dxa"/>
            <w:gridSpan w:val="4"/>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3.工艺管道系统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汽油和柴油油罐车卸油必须采用密闭卸油方式。汽油油罐车应具有卸油油气回收系统。</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第6.3.1条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采用密闭卸油方式，汽油油罐车有卸油油气回收系统。</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每个油罐应各自设置卸油管道和卸油口。各卸油口及油气回收接口应有明显的标志。</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第6.3.2条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每个油罐有相应的卸油口和卸油管道，各个卸油口有明显的标志。</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3.3卸油口应装设快速接头及密封盖</w:t>
            </w:r>
            <w:r>
              <w:rPr>
                <w:color w:val="000000" w:themeColor="text1"/>
                <w14:textFill>
                  <w14:solidFill>
                    <w14:schemeClr w14:val="tx1"/>
                  </w14:solidFill>
                </w14:textFill>
              </w:rPr>
              <w:t>。</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第6.3.3条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卸油口设置有快速接头和密封盖。</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3.4加油站卸油油气回收系统的设计应符合下列规定：</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1.汽油罐车向站内油罐卸油应采用平衡式密闭油气回收系统；</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2.各汽油罐可共用一根卸油油气回收主管的公称直径不宜小于100mm；</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3.卸油油气回收管道的接口宜采用自闭式快速接头和盖帽，采用非自闭式快速接头时，应在靠近快速接头的连接管道上装设阀门和盖帽。</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第6.3.4条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汽油罐车向站内油罐卸油采用平衡式密闭油气回收系统；卸油油气回收主管的公称直径不小于100mm；卸油油气回收管道的接口采用了自闭式快速接头和盖帽。</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3.5加油站宜采用油罐装设潜油泵的一泵供多机的加油工艺。</w:t>
            </w:r>
            <w:r>
              <w:rPr>
                <w:color w:val="000000" w:themeColor="text1"/>
                <w14:textFill>
                  <w14:solidFill>
                    <w14:schemeClr w14:val="tx1"/>
                  </w14:solidFill>
                </w14:textFill>
              </w:rPr>
              <w:t>当采用自吸式加油机时、每台加油机应按加油品种单独设置进油管</w:t>
            </w:r>
            <w:r>
              <w:rPr>
                <w:rFonts w:hint="eastAsia"/>
                <w:color w:val="000000" w:themeColor="text1"/>
                <w14:textFill>
                  <w14:solidFill>
                    <w14:schemeClr w14:val="tx1"/>
                  </w14:solidFill>
                </w14:textFill>
              </w:rPr>
              <w:t>和底阀</w:t>
            </w:r>
            <w:r>
              <w:rPr>
                <w:color w:val="000000" w:themeColor="text1"/>
                <w14:textFill>
                  <w14:solidFill>
                    <w14:schemeClr w14:val="tx1"/>
                  </w14:solidFill>
                </w14:textFill>
              </w:rPr>
              <w:t>。</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第6.3.5条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加油机采用潜油泵供油。</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3.6加油站应采用加油油气回收系统。</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第6.3.6条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加油站采用加油油气回收系统。</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3.7加油油气回收系统应符合下列规定：应采用真空辅助式油气回收系统；汽油加油机与油罐之间应设油气回收管道，多台汽油加油机可共用一根油气回收管道，油气回收主管的公称直径不应小于50mm。</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第6.3.7条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加油油气回收系统采用真空辅助式油气回收系统；汽油加油机与油罐之间设油气回收管道，多台汽油加油机共用一根油气回收管道，油气回收主管的公称直径不小于50mm。</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3.8汽油罐与柴油罐的通气管应分开设置。通气管口高出地面高度不应小于4m。沿建（构）筑的墙（柱）向上敷设的通气管，管口应高出建筑物顶面2m及以上。通气管口应设置阻火器。</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第6.3.9条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汽油与柴油罐通气管分开设置，高度高出地面4</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5m，并安装了阻火器，汽油通气管安装了机械呼吸阀。</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3.9通气管的公称直径不应小于50mm。</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第6.3.10条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通气管公称直径为50mm。</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3.10当加油站采用油气回收系统时，汽油罐的通气管管口除应装设阻火器外，尚应装设呼吸阀。</w:t>
            </w:r>
            <w:r>
              <w:rPr>
                <w:color w:val="000000" w:themeColor="text1"/>
                <w14:textFill>
                  <w14:solidFill>
                    <w14:schemeClr w14:val="tx1"/>
                  </w14:solidFill>
                </w14:textFill>
              </w:rPr>
              <w:t>呼吸阀</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工作</w:t>
            </w:r>
            <w:r>
              <w:rPr>
                <w:rFonts w:hint="eastAsia"/>
                <w:color w:val="000000" w:themeColor="text1"/>
                <w14:textFill>
                  <w14:solidFill>
                    <w14:schemeClr w14:val="tx1"/>
                  </w14:solidFill>
                </w14:textFill>
              </w:rPr>
              <w:t>正</w:t>
            </w:r>
            <w:r>
              <w:rPr>
                <w:color w:val="000000" w:themeColor="text1"/>
                <w14:textFill>
                  <w14:solidFill>
                    <w14:schemeClr w14:val="tx1"/>
                  </w14:solidFill>
                </w14:textFill>
              </w:rPr>
              <w:t>压</w:t>
            </w:r>
            <w:r>
              <w:rPr>
                <w:rFonts w:hint="eastAsia"/>
                <w:color w:val="000000" w:themeColor="text1"/>
                <w14:textFill>
                  <w14:solidFill>
                    <w14:schemeClr w14:val="tx1"/>
                  </w14:solidFill>
                </w14:textFill>
              </w:rPr>
              <w:t>宜为2k</w:t>
            </w:r>
            <w:r>
              <w:rPr>
                <w:color w:val="000000" w:themeColor="text1"/>
                <w14:textFill>
                  <w14:solidFill>
                    <w14:schemeClr w14:val="tx1"/>
                  </w14:solidFill>
                </w14:textFill>
              </w:rPr>
              <w:t>Pa</w:t>
            </w:r>
            <w:r>
              <w:rPr>
                <w:rFonts w:hint="eastAsia"/>
                <w:color w:val="000000" w:themeColor="text1"/>
                <w14:textFill>
                  <w14:solidFill>
                    <w14:schemeClr w14:val="tx1"/>
                  </w14:solidFill>
                </w14:textFill>
              </w:rPr>
              <w:t>～3k</w:t>
            </w:r>
            <w:r>
              <w:rPr>
                <w:color w:val="000000" w:themeColor="text1"/>
                <w14:textFill>
                  <w14:solidFill>
                    <w14:schemeClr w14:val="tx1"/>
                  </w14:solidFill>
                </w14:textFill>
              </w:rPr>
              <w:t>Pa</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工作</w:t>
            </w:r>
            <w:r>
              <w:rPr>
                <w:rFonts w:hint="eastAsia"/>
                <w:color w:val="000000" w:themeColor="text1"/>
                <w14:textFill>
                  <w14:solidFill>
                    <w14:schemeClr w14:val="tx1"/>
                  </w14:solidFill>
                </w14:textFill>
              </w:rPr>
              <w:t>负</w:t>
            </w:r>
            <w:r>
              <w:rPr>
                <w:color w:val="000000" w:themeColor="text1"/>
                <w14:textFill>
                  <w14:solidFill>
                    <w14:schemeClr w14:val="tx1"/>
                  </w14:solidFill>
                </w14:textFill>
              </w:rPr>
              <w:t>压</w:t>
            </w:r>
            <w:r>
              <w:rPr>
                <w:rFonts w:hint="eastAsia"/>
                <w:color w:val="000000" w:themeColor="text1"/>
                <w14:textFill>
                  <w14:solidFill>
                    <w14:schemeClr w14:val="tx1"/>
                  </w14:solidFill>
                </w14:textFill>
              </w:rPr>
              <w:t>宜为</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k</w:t>
            </w:r>
            <w:r>
              <w:rPr>
                <w:color w:val="000000" w:themeColor="text1"/>
                <w14:textFill>
                  <w14:solidFill>
                    <w14:schemeClr w14:val="tx1"/>
                  </w14:solidFill>
                </w14:textFill>
              </w:rPr>
              <w:t>Pa</w:t>
            </w:r>
            <w:r>
              <w:rPr>
                <w:rFonts w:hint="eastAsia"/>
                <w:color w:val="000000" w:themeColor="text1"/>
                <w14:textFill>
                  <w14:solidFill>
                    <w14:schemeClr w14:val="tx1"/>
                  </w14:solidFill>
                </w14:textFill>
              </w:rPr>
              <w:t>～2k</w:t>
            </w:r>
            <w:r>
              <w:rPr>
                <w:color w:val="000000" w:themeColor="text1"/>
                <w14:textFill>
                  <w14:solidFill>
                    <w14:schemeClr w14:val="tx1"/>
                  </w14:solidFill>
                </w14:textFill>
              </w:rPr>
              <w:t>Pa</w:t>
            </w:r>
            <w:r>
              <w:rPr>
                <w:rFonts w:hint="eastAsia"/>
                <w:color w:val="000000" w:themeColor="text1"/>
                <w14:textFill>
                  <w14:solidFill>
                    <w14:schemeClr w14:val="tx1"/>
                  </w14:solidFill>
                </w14:textFill>
              </w:rPr>
              <w:t>。</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汽油罐的通气管管口装设有阻火器和呼吸阀。</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3.11加油站工艺管道的选用，应符合下列规定：（1）地面敷设的工艺管道应采用符合现行国家标准《输送流体用无缝钢管》GB/T8163的无缝钢管；（2）其他管道应采用输送流体用无缝钢管或适于输送油品的热塑性塑料管道，所采用的热塑性塑料管道应有质量证明文件，非烃类车用燃料不得采用不导静电的热塑性塑料管道；（3）无缝钢管的公称壁厚不应小于4mm，埋地钢管的连接应采用焊接；（4）热塑性塑料管道的主体结构层应为无孔隙聚乙烯材料，壁厚不应小于4mm，埋地部分的热塑性塑料管道应采用配套的专用连接管件电熔连接。</w:t>
            </w:r>
            <w:r>
              <w:rPr>
                <w:color w:val="000000" w:themeColor="text1"/>
                <w14:textFill>
                  <w14:solidFill>
                    <w14:schemeClr w14:val="tx1"/>
                  </w14:solidFill>
                </w14:textFill>
              </w:rPr>
              <w:t xml:space="preserve"> </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第6.3.12条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加油站工艺管道的选用均符合规范要求。</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3.12油罐车卸油时用的卸油连通软管、油气回收连通软管，应采用导静电耐油软管，其体电阻率应小于108Ω</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m，表面电阻率应小于1010Ω，或采用内附金属丝（网）的橡胶软管。</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第6.3.13条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油罐车卸油时用的卸油连通软管、油气回收连通软管，均采用导静电耐油软管。</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3.13加油站内的工艺管道除必须露出地面的以外，均应埋地敷设。当采用管沟敷设时，管沟必须用中性沙或细土填满填实。</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第6.3.14条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加油站内除通气管外的工艺管道均埋地敷设。</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3.14卸油管道、卸油油气回收管道、加油油气回收管道和油罐通气管横管，应坡向埋地油罐。卸油管道的坡度</w:t>
            </w:r>
            <w:r>
              <w:rPr>
                <w:color w:val="000000" w:themeColor="text1"/>
                <w14:textFill>
                  <w14:solidFill>
                    <w14:schemeClr w14:val="tx1"/>
                  </w14:solidFill>
                </w14:textFill>
              </w:rPr>
              <w:t>不</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小于</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，卸油油气回收管道、加油油气回收管道和油罐通气管横管的坡度，</w:t>
            </w:r>
            <w:r>
              <w:rPr>
                <w:color w:val="000000" w:themeColor="text1"/>
                <w14:textFill>
                  <w14:solidFill>
                    <w14:schemeClr w14:val="tx1"/>
                  </w14:solidFill>
                </w14:textFill>
              </w:rPr>
              <w:t>不</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小于</w:t>
            </w:r>
            <w:r>
              <w:rPr>
                <w:rFonts w:hint="eastAsia"/>
                <w:color w:val="000000" w:themeColor="text1"/>
                <w14:textFill>
                  <w14:solidFill>
                    <w14:schemeClr w14:val="tx1"/>
                  </w14:solidFill>
                </w14:textFill>
              </w:rPr>
              <w:t>1%。</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第6.3.15条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卸油管道、卸油油气回收管道、加油油气回收管道和油罐通气管横管均坡向埋地油罐敷设。</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3.15埋地工艺管道的埋设深度不得小于0.4m。敷设在混凝土场地或道路下面的管道，管顶低于混凝土层下表面不得小于0.2m。管道周围应回填不小于100mm厚的中性沙子或细土。</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第6.3.17条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埋地工艺管道的埋设深度大于0.4m。敷设在混凝土场地、道路下面的管道，管顶低于混凝土层下表面大于0.2m。管道周围回填100mm厚的细土。</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3.16</w:t>
            </w:r>
            <w:r>
              <w:rPr>
                <w:color w:val="000000" w:themeColor="text1"/>
                <w14:textFill>
                  <w14:solidFill>
                    <w14:schemeClr w14:val="tx1"/>
                  </w14:solidFill>
                </w14:textFill>
              </w:rPr>
              <w:t>加油站内的工艺管道应埋地敷设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且不得穿过站房等建、构筑物。当油品管道与管沟、电线沟和排水沟相交叉时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应采取相应的防渗漏措施。</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第6.3.17条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工艺管道未穿过站房等建筑。</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3.17埋地钢质管道外表面的防腐设计，应符合现行国家标准《钢质管道外腐蚀控制规范》GB/T21447的有关规定。</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第6.3.20条</w:t>
            </w:r>
          </w:p>
        </w:tc>
        <w:tc>
          <w:tcPr>
            <w:tcW w:w="2295" w:type="dxa"/>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埋地钢质管道外表面的防腐满足规范要求。</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30" w:type="dxa"/>
            <w:gridSpan w:val="4"/>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4.防渗措施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4.1加油站埋地油罐应采用下列之一的防渗方式：（1）采用双层油罐；（2）单层油罐设置防渗罐池。</w:t>
            </w:r>
          </w:p>
        </w:tc>
        <w:tc>
          <w:tcPr>
            <w:tcW w:w="1701" w:type="dxa"/>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第6.5.1条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加油站采用SF双层油罐。</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4.2防渗罐池的设计应符合下列规定：</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1防渗罐池应采用防渗钢筋混凝土整体浇筑，并应符合现行国家标准《地下工程防水技术规范》GB 50108的有关规定；2防渗罐池应根据油罐的数量设置隔池，一个隔池内的油罐不应多于两座；3防渗罐池的池壁顶应高于池内罐顶标高，池底宜低于罐底设计标高200mm，墙面与罐壁之间的间距不应小于500mm；4防渗罐池的内表面应衬玻璃钢或其他材料防渗层；5防渗罐池内的空间应采用中性沙回填；6防渗罐池的上部应采取防止雨水，地表水和外部泄漏油品渗入池内的措施。</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r>
              <w:rPr>
                <w:color w:val="000000" w:themeColor="text1"/>
                <w14:textFill>
                  <w14:solidFill>
                    <w14:schemeClr w14:val="tx1"/>
                  </w14:solidFill>
                </w14:textFill>
              </w:rPr>
              <w:t>第6.</w:t>
            </w:r>
            <w:r>
              <w:rPr>
                <w:rFonts w:hint="eastAsia"/>
                <w:color w:val="000000" w:themeColor="text1"/>
                <w14:textFill>
                  <w14:solidFill>
                    <w14:schemeClr w14:val="tx1"/>
                  </w14:solidFill>
                </w14:textFill>
              </w:rPr>
              <w:t>5.2</w:t>
            </w:r>
            <w:r>
              <w:rPr>
                <w:color w:val="000000" w:themeColor="text1"/>
                <w14:textFill>
                  <w14:solidFill>
                    <w14:schemeClr w14:val="tx1"/>
                  </w14:solidFill>
                </w14:textFill>
              </w:rPr>
              <w:t>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加油站采用SF双层油罐，未设置防渗罐池。</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4.3防渗罐池的各隔池内应设检测立管，检测立管的设置应符合下列规定：</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1检测立管应采用耐油、耐腐蚀的管材制作，直径宜为100mm，壁厚不应小于4mm；</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2检测立管的下端应置于防渗罐池的最低处，除设置在车道下的油罐外，检测立管的上部管口应高出罐区设计地面200mm；</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3检测立管与池内罐顶标高以下范围应为过滤管段，过滤管段应能允许池内任何层面的渗漏液体进入检测管，并应能阻止泥沙侵入；</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4检测立管周围应回填粒径为10mm~30mm的砾石；5检测口应有防止雨水、油污、杂物侵入的保护盖和标识。</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r>
              <w:rPr>
                <w:color w:val="000000" w:themeColor="text1"/>
                <w14:textFill>
                  <w14:solidFill>
                    <w14:schemeClr w14:val="tx1"/>
                  </w14:solidFill>
                </w14:textFill>
              </w:rPr>
              <w:t>第6.</w:t>
            </w:r>
            <w:r>
              <w:rPr>
                <w:rFonts w:hint="eastAsia"/>
                <w:color w:val="000000" w:themeColor="text1"/>
                <w14:textFill>
                  <w14:solidFill>
                    <w14:schemeClr w14:val="tx1"/>
                  </w14:solidFill>
                </w14:textFill>
              </w:rPr>
              <w:t>5.3</w:t>
            </w:r>
            <w:r>
              <w:rPr>
                <w:color w:val="000000" w:themeColor="text1"/>
                <w14:textFill>
                  <w14:solidFill>
                    <w14:schemeClr w14:val="tx1"/>
                  </w14:solidFill>
                </w14:textFill>
              </w:rPr>
              <w:t>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加油站采用SF双层油罐，未设置防渗罐池。</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4.4装有潜油泵的油罐人孔操作井、卸油口井、加油机底槽等可能发生油品渗漏的部位，也应采取相应的防渗措施。</w:t>
            </w:r>
          </w:p>
        </w:tc>
        <w:tc>
          <w:tcPr>
            <w:tcW w:w="1701"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第6.5.4条</w:t>
            </w:r>
          </w:p>
        </w:tc>
        <w:tc>
          <w:tcPr>
            <w:tcW w:w="2295"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油罐人孔操作井、卸油口井、加油机底槽等，采取了相应的防渗措施。</w:t>
            </w:r>
          </w:p>
        </w:tc>
        <w:tc>
          <w:tcPr>
            <w:tcW w:w="83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72"/>
        <w:ind w:firstLine="467" w:firstLineChars="167"/>
        <w:rPr>
          <w:color w:val="000000" w:themeColor="text1"/>
          <w14:textFill>
            <w14:solidFill>
              <w14:schemeClr w14:val="tx1"/>
            </w14:solidFill>
          </w14:textFill>
        </w:rPr>
      </w:pPr>
      <w:r>
        <w:rPr>
          <w:rFonts w:hint="eastAsia"/>
          <w:color w:val="000000" w:themeColor="text1"/>
          <w14:textFill>
            <w14:solidFill>
              <w14:schemeClr w14:val="tx1"/>
            </w14:solidFill>
          </w14:textFill>
        </w:rPr>
        <w:t>加油工艺及设施</w:t>
      </w:r>
      <w:r>
        <w:rPr>
          <w:color w:val="000000" w:themeColor="text1"/>
          <w14:textFill>
            <w14:solidFill>
              <w14:schemeClr w14:val="tx1"/>
            </w14:solidFill>
          </w14:textFill>
        </w:rPr>
        <w:t>检查结果：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通过采用安全检查表对加油站工艺及设施进行检查评价，加油站所采用的密闭卸油，潜油泵供油的加油工艺，加油站设置汽油卸油油气回收系统和汽油加油油气回收系统，</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《汽车加油加气加氢站技术标准》（GB50156-2021）的</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w:t>
      </w:r>
    </w:p>
    <w:p>
      <w:pPr>
        <w:pStyle w:val="3"/>
        <w:rPr>
          <w:color w:val="000000" w:themeColor="text1"/>
          <w14:textFill>
            <w14:solidFill>
              <w14:schemeClr w14:val="tx1"/>
            </w14:solidFill>
          </w14:textFill>
        </w:rPr>
      </w:pPr>
      <w:bookmarkStart w:id="397" w:name="_Toc195176764"/>
      <w:bookmarkStart w:id="398" w:name="_Toc23571"/>
      <w:r>
        <w:rPr>
          <w:rFonts w:hint="eastAsia"/>
          <w:color w:val="000000" w:themeColor="text1"/>
          <w14:textFill>
            <w14:solidFill>
              <w14:schemeClr w14:val="tx1"/>
            </w14:solidFill>
          </w14:textFill>
        </w:rPr>
        <w:t>公用工程分析</w:t>
      </w:r>
      <w:bookmarkEnd w:id="397"/>
      <w:r>
        <w:rPr>
          <w:rFonts w:hint="eastAsia"/>
          <w:color w:val="000000" w:themeColor="text1"/>
          <w14:textFill>
            <w14:solidFill>
              <w14:schemeClr w14:val="tx1"/>
            </w14:solidFill>
          </w14:textFill>
        </w:rPr>
        <w:t>评价</w:t>
      </w:r>
      <w:bookmarkEnd w:id="39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依据《汽车加油加气加氢站技术标准》（GB50156-2021）编制安全检查表对加油站公用工程进行分析评价，检查结果见表6-4。</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表6-4 公用工程安全检查表</w:t>
      </w:r>
    </w:p>
    <w:tbl>
      <w:tblPr>
        <w:tblStyle w:val="33"/>
        <w:tblW w:w="8608"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4453"/>
        <w:gridCol w:w="1374"/>
        <w:gridCol w:w="1963"/>
        <w:gridCol w:w="818"/>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tblHeader/>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检查内容</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检查依据</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检查情况</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结论</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608" w:type="dxa"/>
            <w:gridSpan w:val="4"/>
            <w:tcBorders>
              <w:top w:val="single" w:color="auto" w:sz="6" w:space="0"/>
              <w:left w:val="single" w:color="auto" w:sz="6" w:space="0"/>
              <w:bottom w:val="single" w:color="auto" w:sz="6" w:space="0"/>
              <w:right w:val="single" w:color="auto" w:sz="6" w:space="0"/>
            </w:tcBorders>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  给排水</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1.1加油站的排水应符合下列规定：（1）站内地面雨水可散流排出站外，当雨水由明沟排到站外时，应在围墙内设置水封装置。</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（2）加油站、排出建筑物或围墙的污水，在建筑物墙外或围墙内应分别设水封装置。水封装置的水封高度不应小于</w:t>
            </w:r>
            <w:r>
              <w:rPr>
                <w:color w:val="000000" w:themeColor="text1"/>
                <w14:textFill>
                  <w14:solidFill>
                    <w14:schemeClr w14:val="tx1"/>
                  </w14:solidFill>
                </w14:textFill>
              </w:rPr>
              <w:t>0.25m</w:t>
            </w:r>
            <w:r>
              <w:rPr>
                <w:rFonts w:hint="eastAsia"/>
                <w:color w:val="000000" w:themeColor="text1"/>
                <w14:textFill>
                  <w14:solidFill>
                    <w14:schemeClr w14:val="tx1"/>
                  </w14:solidFill>
                </w14:textFill>
              </w:rPr>
              <w:t>；水封装置应设沉泥段，沉泥段高度不应小于</w:t>
            </w:r>
            <w:r>
              <w:rPr>
                <w:color w:val="000000" w:themeColor="text1"/>
                <w14:textFill>
                  <w14:solidFill>
                    <w14:schemeClr w14:val="tx1"/>
                  </w14:solidFill>
                </w14:textFill>
              </w:rPr>
              <w:t>0.25m</w:t>
            </w:r>
            <w:r>
              <w:rPr>
                <w:rFonts w:hint="eastAsia"/>
                <w:color w:val="000000" w:themeColor="text1"/>
                <w14:textFill>
                  <w14:solidFill>
                    <w14:schemeClr w14:val="tx1"/>
                  </w14:solidFill>
                </w14:textFill>
              </w:rPr>
              <w:t>。</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（3）排出站外的污水应符合国家现行有关污水排放标准的规定。</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（4）加油站不应采用暗沟排水。</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第12.3.2条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站区排水采用雨污分流排水方式；室内排水系统采用污废合流排水方式；卫生间粪便污水经化粪池处理后排至站外污水管网；罩棚雨水经管道收集后排至站外雨水管网；</w:t>
            </w:r>
            <w:r>
              <w:rPr>
                <w:rFonts w:hint="eastAsia"/>
                <w:color w:val="000000" w:themeColor="text1"/>
                <w:szCs w:val="28"/>
                <w:lang w:val="zh-CN"/>
                <w14:textFill>
                  <w14:solidFill>
                    <w14:schemeClr w14:val="tx1"/>
                  </w14:solidFill>
                </w14:textFill>
              </w:rPr>
              <w:t>加油区设置了环保水沟。</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608" w:type="dxa"/>
            <w:gridSpan w:val="4"/>
            <w:tcBorders>
              <w:top w:val="single" w:color="auto" w:sz="6" w:space="0"/>
              <w:left w:val="single" w:color="auto" w:sz="6" w:space="0"/>
              <w:bottom w:val="single" w:color="auto" w:sz="6" w:space="0"/>
              <w:right w:val="single" w:color="auto" w:sz="6" w:space="0"/>
            </w:tcBorders>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  供配电</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.1加油站的供电负荷等级可为三级</w:t>
            </w:r>
            <w:r>
              <w:rPr>
                <w:rFonts w:hint="eastAsia"/>
                <w:color w:val="000000" w:themeColor="text1"/>
                <w14:textFill>
                  <w14:solidFill>
                    <w14:schemeClr w14:val="tx1"/>
                  </w14:solidFill>
                </w14:textFill>
              </w:rPr>
              <w:t>，信息系统应设不间断供电电源。</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第13.1.1条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供电负荷为三级。</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加油站的供电电源，宜采用</w:t>
            </w:r>
            <w:r>
              <w:rPr>
                <w:color w:val="000000" w:themeColor="text1"/>
                <w14:textFill>
                  <w14:solidFill>
                    <w14:schemeClr w14:val="tx1"/>
                  </w14:solidFill>
                </w14:textFill>
              </w:rPr>
              <w:t>380/220V</w:t>
            </w:r>
            <w:r>
              <w:rPr>
                <w:rFonts w:hint="eastAsia"/>
                <w:color w:val="000000" w:themeColor="text1"/>
                <w14:textFill>
                  <w14:solidFill>
                    <w14:schemeClr w14:val="tx1"/>
                  </w14:solidFill>
                </w14:textFill>
              </w:rPr>
              <w:t>外接电源。</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第13.1.2条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加油站供电采用</w:t>
            </w:r>
            <w:r>
              <w:rPr>
                <w:color w:val="000000" w:themeColor="text1"/>
                <w14:textFill>
                  <w14:solidFill>
                    <w14:schemeClr w14:val="tx1"/>
                  </w14:solidFill>
                </w14:textFill>
              </w:rPr>
              <w:t>380/220V</w:t>
            </w:r>
            <w:r>
              <w:rPr>
                <w:rFonts w:hint="eastAsia"/>
                <w:color w:val="000000" w:themeColor="text1"/>
                <w14:textFill>
                  <w14:solidFill>
                    <w14:schemeClr w14:val="tx1"/>
                  </w14:solidFill>
                </w14:textFill>
              </w:rPr>
              <w:t>外接电源接入配电柜。</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加油站罩棚、营业室等处，均应设事故照明。</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第13.1.3条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加油站配电室等均设置了应急照明。</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2.4当引用外电源有困难时，加油站可设置小型内燃发电机组。内燃机的排烟管口，应安装阻火器。排烟管口至各爆炸危险区域边界的水平距离，应符合下列规定：</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排烟口高出地面</w:t>
            </w:r>
            <w:r>
              <w:rPr>
                <w:color w:val="000000" w:themeColor="text1"/>
                <w14:textFill>
                  <w14:solidFill>
                    <w14:schemeClr w14:val="tx1"/>
                  </w14:solidFill>
                </w14:textFill>
              </w:rPr>
              <w:t>4.5m</w:t>
            </w:r>
            <w:r>
              <w:rPr>
                <w:rFonts w:hint="eastAsia"/>
                <w:color w:val="000000" w:themeColor="text1"/>
                <w14:textFill>
                  <w14:solidFill>
                    <w14:schemeClr w14:val="tx1"/>
                  </w14:solidFill>
                </w14:textFill>
              </w:rPr>
              <w:t>以下时，不应小于</w:t>
            </w:r>
            <w:r>
              <w:rPr>
                <w:color w:val="000000" w:themeColor="text1"/>
                <w14:textFill>
                  <w14:solidFill>
                    <w14:schemeClr w14:val="tx1"/>
                  </w14:solidFill>
                </w14:textFill>
              </w:rPr>
              <w:t>5m</w:t>
            </w:r>
            <w:r>
              <w:rPr>
                <w:rFonts w:hint="eastAsia"/>
                <w:color w:val="000000" w:themeColor="text1"/>
                <w14:textFill>
                  <w14:solidFill>
                    <w14:schemeClr w14:val="tx1"/>
                  </w14:solidFill>
                </w14:textFill>
              </w:rPr>
              <w:t>。</w:t>
            </w:r>
          </w:p>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排烟口高出地面</w:t>
            </w:r>
            <w:r>
              <w:rPr>
                <w:color w:val="000000" w:themeColor="text1"/>
                <w14:textFill>
                  <w14:solidFill>
                    <w14:schemeClr w14:val="tx1"/>
                  </w14:solidFill>
                </w14:textFill>
              </w:rPr>
              <w:t>4.5m</w:t>
            </w:r>
            <w:r>
              <w:rPr>
                <w:rFonts w:hint="eastAsia"/>
                <w:color w:val="000000" w:themeColor="text1"/>
                <w14:textFill>
                  <w14:solidFill>
                    <w14:schemeClr w14:val="tx1"/>
                  </w14:solidFill>
                </w14:textFill>
              </w:rPr>
              <w:t>及以上时，不应小于</w:t>
            </w:r>
            <w:r>
              <w:rPr>
                <w:color w:val="000000" w:themeColor="text1"/>
                <w14:textFill>
                  <w14:solidFill>
                    <w14:schemeClr w14:val="tx1"/>
                  </w14:solidFill>
                </w14:textFill>
              </w:rPr>
              <w:t>3m</w:t>
            </w:r>
            <w:r>
              <w:rPr>
                <w:rFonts w:hint="eastAsia"/>
                <w:color w:val="000000" w:themeColor="text1"/>
                <w14:textFill>
                  <w14:solidFill>
                    <w14:schemeClr w14:val="tx1"/>
                  </w14:solidFill>
                </w14:textFill>
              </w:rPr>
              <w:t>。</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第13.1.4条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加油站设置有柴油发电机；发电机排烟管口加装有阻火器；排烟口高出地面</w:t>
            </w:r>
            <w:r>
              <w:rPr>
                <w:color w:val="000000" w:themeColor="text1"/>
                <w14:textFill>
                  <w14:solidFill>
                    <w14:schemeClr w14:val="tx1"/>
                  </w14:solidFill>
                </w14:textFill>
              </w:rPr>
              <w:t>4.5m</w:t>
            </w:r>
            <w:r>
              <w:rPr>
                <w:rFonts w:hint="eastAsia"/>
                <w:color w:val="000000" w:themeColor="text1"/>
                <w14:textFill>
                  <w14:solidFill>
                    <w14:schemeClr w14:val="tx1"/>
                  </w14:solidFill>
                </w14:textFill>
              </w:rPr>
              <w:t>以</w:t>
            </w:r>
            <w:r>
              <w:rPr>
                <w:rFonts w:hint="eastAsia"/>
                <w:color w:val="000000" w:themeColor="text1"/>
                <w:lang w:val="en-US" w:eastAsia="zh-CN"/>
                <w14:textFill>
                  <w14:solidFill>
                    <w14:schemeClr w14:val="tx1"/>
                  </w14:solidFill>
                </w14:textFill>
              </w:rPr>
              <w:t>上</w:t>
            </w:r>
            <w:r>
              <w:rPr>
                <w:rFonts w:hint="eastAsia"/>
                <w:color w:val="000000" w:themeColor="text1"/>
                <w14:textFill>
                  <w14:solidFill>
                    <w14:schemeClr w14:val="tx1"/>
                  </w14:solidFill>
                </w14:textFill>
              </w:rPr>
              <w:t>，排烟管口至各爆炸危险区域边界的水平距离不小于</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5加油站的电力线路宜采用电缆并直埋敷设。电缆穿越行车道部分，应穿钢管保护。</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第13.1.5条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电缆穿越行车道部分，均设置了穿钢管保护。</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6爆炸危险区域内的电气设备选型、安装、电力线路敷设等，应符合现行国家标准《爆炸危险环境电力装置设计规范》GB50058的有关规定。</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第13.1.7条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爆炸危险区域内的加油机等设备均为防爆型。</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7加油站内爆炸危险区域以外的站房、罩棚等建筑物内的照明灯具，可选用非防爆型，但罩棚下的灯具应选用防护等级不低于</w:t>
            </w:r>
            <w:r>
              <w:rPr>
                <w:color w:val="000000" w:themeColor="text1"/>
                <w14:textFill>
                  <w14:solidFill>
                    <w14:schemeClr w14:val="tx1"/>
                  </w14:solidFill>
                </w14:textFill>
              </w:rPr>
              <w:t>IP44</w:t>
            </w:r>
            <w:r>
              <w:rPr>
                <w:rFonts w:hint="eastAsia"/>
                <w:color w:val="000000" w:themeColor="text1"/>
                <w14:textFill>
                  <w14:solidFill>
                    <w14:schemeClr w14:val="tx1"/>
                  </w14:solidFill>
                </w14:textFill>
              </w:rPr>
              <w:t>级的节能型照明灯具。</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第13.1.8条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站房内选用非防爆型照明灯具，罩棚下选用防护型照明灯具。</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608" w:type="dxa"/>
            <w:gridSpan w:val="4"/>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  采暖通风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3.1加油站内爆炸危险区域内的房间或箱体应采取通风措施，并应符合下列规定：（1）采用强制通风时，通风设备的通风能力在工艺设备工作期间应按每小时换气12次计算，在工艺设备非工作期间应按每小时换气5次计算。通风设备应防爆，并应与可燃气体浓度报警器联锁。（2）采用自然通风时，通风口总面积不应小于300c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（地面），通风口不应少于2个，且应靠近可燃气体积聚的部位设置。</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第14.1.4条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加油站内房间均处于爆炸危险区域之外。</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608" w:type="dxa"/>
            <w:gridSpan w:val="4"/>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  建筑物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4.1 作业区</w:t>
            </w:r>
            <w:r>
              <w:rPr>
                <w:color w:val="000000" w:themeColor="text1"/>
                <w14:textFill>
                  <w14:solidFill>
                    <w14:schemeClr w14:val="tx1"/>
                  </w14:solidFill>
                </w14:textFill>
              </w:rPr>
              <w:t>内的站房及其它附属建筑物的耐火等级不应低于二级。罩棚顶棚</w:t>
            </w:r>
            <w:r>
              <w:rPr>
                <w:rFonts w:hint="eastAsia"/>
                <w:color w:val="000000" w:themeColor="text1"/>
                <w14:textFill>
                  <w14:solidFill>
                    <w14:schemeClr w14:val="tx1"/>
                  </w14:solidFill>
                </w14:textFill>
              </w:rPr>
              <w:t>可采用无防火保护的钢结构</w:t>
            </w:r>
            <w:r>
              <w:rPr>
                <w:color w:val="000000" w:themeColor="text1"/>
                <w14:textFill>
                  <w14:solidFill>
                    <w14:schemeClr w14:val="tx1"/>
                  </w14:solidFill>
                </w14:textFill>
              </w:rPr>
              <w:t>。</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第14.2.1条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站房和其他</w:t>
            </w:r>
            <w:r>
              <w:rPr>
                <w:color w:val="000000" w:themeColor="text1"/>
                <w14:textFill>
                  <w14:solidFill>
                    <w14:schemeClr w14:val="tx1"/>
                  </w14:solidFill>
                </w14:textFill>
              </w:rPr>
              <w:t>附属建筑物的耐火等级</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二级</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4.2汽车加油场地宜设罩棚，罩棚的设计应符合下列规定：（1）罩棚应采用不燃烧材料建造；（2）进站口无限高措施时，罩棚的净空高度不应小于</w:t>
            </w:r>
            <w:r>
              <w:rPr>
                <w:color w:val="000000" w:themeColor="text1"/>
                <w14:textFill>
                  <w14:solidFill>
                    <w14:schemeClr w14:val="tx1"/>
                  </w14:solidFill>
                </w14:textFill>
              </w:rPr>
              <w:t>4.5m</w:t>
            </w:r>
            <w:r>
              <w:rPr>
                <w:rFonts w:hint="eastAsia"/>
                <w:color w:val="000000" w:themeColor="text1"/>
                <w14:textFill>
                  <w14:solidFill>
                    <w14:schemeClr w14:val="tx1"/>
                  </w14:solidFill>
                </w14:textFill>
              </w:rPr>
              <w:t>；进站口有限高措施时，罩棚的净空高度不应小于限高高度。（3）罩棚遮盖加油机平面投影距离不宜小于2</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4）罩棚设计应计算活荷载、雪荷载、风荷载，其设计标准值应符合现行国家标准《建筑结构荷载规范》GB50009的有关规定。（5）罩棚的抗震设计应按现行国家标准《建筑抗震设计规范》GB50011的有关规定执行。（6）罩棚柱应有防止车辆碰撞的技术措施。</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第14.2.2条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加油站罩棚为钢架结构。</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4.3加油岛的设计应符合下列规定：（1）加油岛应高出停车位的地坪0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0.2m</w:t>
            </w:r>
            <w:r>
              <w:rPr>
                <w:rFonts w:hint="eastAsia"/>
                <w:color w:val="000000" w:themeColor="text1"/>
                <w14:textFill>
                  <w14:solidFill>
                    <w14:schemeClr w14:val="tx1"/>
                  </w14:solidFill>
                </w14:textFill>
              </w:rPr>
              <w:t>。（2）加油岛两端的宽度不应小于</w:t>
            </w:r>
            <w:r>
              <w:rPr>
                <w:color w:val="000000" w:themeColor="text1"/>
                <w14:textFill>
                  <w14:solidFill>
                    <w14:schemeClr w14:val="tx1"/>
                  </w14:solidFill>
                </w14:textFill>
              </w:rPr>
              <w:t>1.2m</w:t>
            </w:r>
            <w:r>
              <w:rPr>
                <w:rFonts w:hint="eastAsia"/>
                <w:color w:val="000000" w:themeColor="text1"/>
                <w14:textFill>
                  <w14:solidFill>
                    <w14:schemeClr w14:val="tx1"/>
                  </w14:solidFill>
                </w14:textFill>
              </w:rPr>
              <w:t>。（3）加油岛上的罩棚立柱边缘距岛端部，不应小于</w:t>
            </w:r>
            <w:r>
              <w:rPr>
                <w:color w:val="000000" w:themeColor="text1"/>
                <w14:textFill>
                  <w14:solidFill>
                    <w14:schemeClr w14:val="tx1"/>
                  </w14:solidFill>
                </w14:textFill>
              </w:rPr>
              <w:t>0.6m</w:t>
            </w:r>
            <w:r>
              <w:rPr>
                <w:rFonts w:hint="eastAsia"/>
                <w:color w:val="000000" w:themeColor="text1"/>
                <w14:textFill>
                  <w14:solidFill>
                    <w14:schemeClr w14:val="tx1"/>
                  </w14:solidFill>
                </w14:textFill>
              </w:rPr>
              <w:t>。</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第14.2.3条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加油岛高0.2m，宽1.3m，加油岛上的罩棚立柱边缘距岛端部</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4.4站房可由办公室、值班室、营业室、控制室、变配电间、卫生间和便利店等组成，站房内可设非明火餐厨设备。</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第14.2.9条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站房由办公室、</w:t>
            </w:r>
            <w:r>
              <w:rPr>
                <w:rFonts w:hint="eastAsia"/>
                <w:color w:val="000000" w:themeColor="text1"/>
                <w:lang w:val="en-US" w:eastAsia="zh-CN"/>
                <w14:textFill>
                  <w14:solidFill>
                    <w14:schemeClr w14:val="tx1"/>
                  </w14:solidFill>
                </w14:textFill>
              </w:rPr>
              <w:t>储物间</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休息室等构成。</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4.5加油站内不应建地下和半地下室。</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第14.2.15条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加油站内无地下室和半地下室。</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608" w:type="dxa"/>
            <w:gridSpan w:val="4"/>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  绿化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45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5.1加油站作业区内不得种植油性植物。</w:t>
            </w:r>
          </w:p>
        </w:tc>
        <w:tc>
          <w:tcPr>
            <w:tcW w:w="137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第14.3.1条</w:t>
            </w:r>
          </w:p>
        </w:tc>
        <w:tc>
          <w:tcPr>
            <w:tcW w:w="196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站内未种植油性植物。</w:t>
            </w:r>
          </w:p>
        </w:tc>
        <w:tc>
          <w:tcPr>
            <w:tcW w:w="8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72"/>
        <w:ind w:firstLine="467" w:firstLineChars="167"/>
        <w:rPr>
          <w:color w:val="000000" w:themeColor="text1"/>
          <w14:textFill>
            <w14:solidFill>
              <w14:schemeClr w14:val="tx1"/>
            </w14:solidFill>
          </w14:textFill>
        </w:rPr>
      </w:pPr>
      <w:r>
        <w:rPr>
          <w:rFonts w:hint="eastAsia"/>
          <w:color w:val="000000" w:themeColor="text1"/>
          <w14:textFill>
            <w14:solidFill>
              <w14:schemeClr w14:val="tx1"/>
            </w14:solidFill>
          </w14:textFill>
        </w:rPr>
        <w:t>公用工程检查结果：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该加油站的公用工程</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《汽车加油加气加氢站技术标准》（GB50156-2021）的</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w:t>
      </w:r>
    </w:p>
    <w:p>
      <w:pPr>
        <w:pStyle w:val="3"/>
        <w:rPr>
          <w:color w:val="000000" w:themeColor="text1"/>
          <w14:textFill>
            <w14:solidFill>
              <w14:schemeClr w14:val="tx1"/>
            </w14:solidFill>
          </w14:textFill>
        </w:rPr>
      </w:pPr>
      <w:bookmarkStart w:id="399" w:name="_Toc219"/>
      <w:bookmarkStart w:id="400" w:name="_Toc195176765"/>
      <w:r>
        <w:rPr>
          <w:rFonts w:hint="eastAsia"/>
          <w:color w:val="000000" w:themeColor="text1"/>
          <w14:textFill>
            <w14:solidFill>
              <w14:schemeClr w14:val="tx1"/>
            </w14:solidFill>
          </w14:textFill>
        </w:rPr>
        <w:t>安全设施分析评价</w:t>
      </w:r>
      <w:bookmarkEnd w:id="399"/>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依据《汽车加油加气加氢站技术标准》（GB50156-2021）等规范编制安全检查表对加油站安全设施进行分析评价，检查结果见表6-5。</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表6-5  安全设施安全检查表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1543"/>
        <w:gridCol w:w="2118"/>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644" w:type="dxa"/>
            <w:tcBorders>
              <w:top w:val="single" w:color="auto" w:sz="4" w:space="0"/>
              <w:left w:val="single" w:color="auto" w:sz="4" w:space="0"/>
              <w:bottom w:val="single" w:color="auto" w:sz="4" w:space="0"/>
              <w:right w:val="single" w:color="auto" w:sz="4"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检查内容</w:t>
            </w:r>
          </w:p>
        </w:tc>
        <w:tc>
          <w:tcPr>
            <w:tcW w:w="1543" w:type="dxa"/>
            <w:tcBorders>
              <w:top w:val="single" w:color="auto" w:sz="4" w:space="0"/>
              <w:left w:val="single" w:color="auto" w:sz="4" w:space="0"/>
              <w:bottom w:val="single" w:color="auto" w:sz="4" w:space="0"/>
              <w:right w:val="single" w:color="auto" w:sz="4"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检查依据</w:t>
            </w:r>
          </w:p>
        </w:tc>
        <w:tc>
          <w:tcPr>
            <w:tcW w:w="2118" w:type="dxa"/>
            <w:tcBorders>
              <w:top w:val="single" w:color="auto" w:sz="4" w:space="0"/>
              <w:left w:val="single" w:color="auto" w:sz="4" w:space="0"/>
              <w:bottom w:val="single" w:color="auto" w:sz="4" w:space="0"/>
              <w:right w:val="single" w:color="auto" w:sz="4"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检查结果</w:t>
            </w:r>
          </w:p>
        </w:tc>
        <w:tc>
          <w:tcPr>
            <w:tcW w:w="766" w:type="dxa"/>
            <w:tcBorders>
              <w:top w:val="single" w:color="auto" w:sz="4" w:space="0"/>
              <w:left w:val="single" w:color="auto" w:sz="4" w:space="0"/>
              <w:bottom w:val="single" w:color="auto" w:sz="4" w:space="0"/>
              <w:right w:val="single" w:color="auto" w:sz="4" w:space="0"/>
            </w:tcBorders>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结论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071" w:type="dxa"/>
            <w:gridSpan w:val="4"/>
            <w:tcBorders>
              <w:top w:val="single" w:color="auto" w:sz="6" w:space="0"/>
              <w:left w:val="single" w:color="auto" w:sz="6" w:space="0"/>
              <w:bottom w:val="single" w:color="auto" w:sz="6" w:space="0"/>
              <w:right w:val="single" w:color="auto" w:sz="6" w:space="0"/>
            </w:tcBorders>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 xml:space="preserve">  灭火器材配置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.1加油站的灭火器材配置应符合下列规定：（1）每2台加油机应配置不少于2具5</w:t>
            </w:r>
            <w:r>
              <w:rPr>
                <w:color w:val="000000" w:themeColor="text1"/>
                <w14:textFill>
                  <w14:solidFill>
                    <w14:schemeClr w14:val="tx1"/>
                  </w14:solidFill>
                </w14:textFill>
              </w:rPr>
              <w:t>kg</w:t>
            </w:r>
            <w:r>
              <w:rPr>
                <w:rFonts w:hint="eastAsia"/>
                <w:color w:val="000000" w:themeColor="text1"/>
                <w14:textFill>
                  <w14:solidFill>
                    <w14:schemeClr w14:val="tx1"/>
                  </w14:solidFill>
                </w14:textFill>
              </w:rPr>
              <w:t>手提式干粉灭火器，或1具5</w:t>
            </w:r>
            <w:r>
              <w:rPr>
                <w:color w:val="000000" w:themeColor="text1"/>
                <w14:textFill>
                  <w14:solidFill>
                    <w14:schemeClr w14:val="tx1"/>
                  </w14:solidFill>
                </w14:textFill>
              </w:rPr>
              <w:t>kg</w:t>
            </w:r>
            <w:r>
              <w:rPr>
                <w:rFonts w:hint="eastAsia"/>
                <w:color w:val="000000" w:themeColor="text1"/>
                <w14:textFill>
                  <w14:solidFill>
                    <w14:schemeClr w14:val="tx1"/>
                  </w14:solidFill>
                </w14:textFill>
              </w:rPr>
              <w:t>手提式干粉灭火器和1具6L泡沫灭火器。加油机不足2台应按2台配置。（3）地下储罐应配置1台不小于35</w:t>
            </w:r>
            <w:r>
              <w:rPr>
                <w:color w:val="000000" w:themeColor="text1"/>
                <w14:textFill>
                  <w14:solidFill>
                    <w14:schemeClr w14:val="tx1"/>
                  </w14:solidFill>
                </w14:textFill>
              </w:rPr>
              <w:t>kg</w:t>
            </w:r>
            <w:r>
              <w:rPr>
                <w:rFonts w:hint="eastAsia"/>
                <w:color w:val="000000" w:themeColor="text1"/>
                <w14:textFill>
                  <w14:solidFill>
                    <w14:schemeClr w14:val="tx1"/>
                  </w14:solidFill>
                </w14:textFill>
              </w:rPr>
              <w:t>推车式干粉灭火器。当两种介质储罐之间的距离超过15</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时，应分别配置。（4）三级加油站应配置灭火毯</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块、沙子2</w:t>
            </w:r>
            <w:r>
              <w:rPr>
                <w:color w:val="000000" w:themeColor="text1"/>
                <w14:textFill>
                  <w14:solidFill>
                    <w14:schemeClr w14:val="tx1"/>
                  </w14:solidFill>
                </w14:textFill>
              </w:rPr>
              <w:t>m³</w:t>
            </w:r>
            <w:r>
              <w:rPr>
                <w:rFonts w:hint="eastAsia"/>
                <w:color w:val="000000" w:themeColor="text1"/>
                <w14:textFill>
                  <w14:solidFill>
                    <w14:schemeClr w14:val="tx1"/>
                  </w14:solidFill>
                </w14:textFill>
              </w:rPr>
              <w:t>。加油站应按同级别的加油站配置灭火毯和沙子。</w:t>
            </w:r>
          </w:p>
        </w:tc>
        <w:tc>
          <w:tcPr>
            <w:tcW w:w="1543"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第12.1.1条</w:t>
            </w:r>
          </w:p>
        </w:tc>
        <w:tc>
          <w:tcPr>
            <w:tcW w:w="2118"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加油站设置了</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台加油机，加油站按要求配置了消防器材。</w:t>
            </w:r>
          </w:p>
        </w:tc>
        <w:tc>
          <w:tcPr>
            <w:tcW w:w="766"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1.2其余建筑的灭火器配置，应符合现行国家标准《建筑灭火器配置设计规范》GB 50140的有关规定。</w:t>
            </w:r>
          </w:p>
        </w:tc>
        <w:tc>
          <w:tcPr>
            <w:tcW w:w="1543"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第12.1.2条</w:t>
            </w:r>
          </w:p>
        </w:tc>
        <w:tc>
          <w:tcPr>
            <w:tcW w:w="2118"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站房、辅房内均配置有灭火器材。</w:t>
            </w:r>
          </w:p>
        </w:tc>
        <w:tc>
          <w:tcPr>
            <w:tcW w:w="766" w:type="dxa"/>
            <w:tcBorders>
              <w:top w:val="single" w:color="auto" w:sz="6" w:space="0"/>
              <w:left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071" w:type="dxa"/>
            <w:gridSpan w:val="4"/>
            <w:tcBorders>
              <w:top w:val="single" w:color="auto" w:sz="6" w:space="0"/>
              <w:left w:val="single" w:color="auto" w:sz="6" w:space="0"/>
              <w:bottom w:val="single" w:color="auto" w:sz="6" w:space="0"/>
              <w:right w:val="single" w:color="auto" w:sz="6" w:space="0"/>
            </w:tcBorders>
          </w:tcPr>
          <w:p>
            <w:pPr>
              <w:pStyle w:val="77"/>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  防雷防静电设施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2.1加油站的防雷接地、防静电接地、电气设备的工作接地、保护接地及信息系统的接地等宜共用接地装置，接地电阻不应大于4Ω。</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第13.2.2条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加油站防雷防静电设施满足要求。</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2.2当加油站内的站房和罩棚等建筑物需要防直击雷时，应采用避雷带（网）保护。当罩棚采用金属屋面时，宜利用屋面作为接闪器。</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第13.2.6条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罩棚利用钢屋面，由柱筋接地。站房利用屋面接闪带作为防直击雷措施。</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3加油站的信息系统应采用铠装电缆或导线穿钢管配线。配线电缆金属外皮两端、保护钢管两端均应接地。</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第13.2.7条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w:t>
            </w:r>
            <w:r>
              <w:rPr>
                <w:color w:val="000000" w:themeColor="text1"/>
                <w14:textFill>
                  <w14:solidFill>
                    <w14:schemeClr w14:val="tx1"/>
                  </w14:solidFill>
                </w14:textFill>
              </w:rPr>
              <w:t>信息系统</w:t>
            </w:r>
            <w:r>
              <w:rPr>
                <w:rFonts w:hint="eastAsia"/>
                <w:color w:val="000000" w:themeColor="text1"/>
                <w14:textFill>
                  <w14:solidFill>
                    <w14:schemeClr w14:val="tx1"/>
                  </w14:solidFill>
                </w14:textFill>
              </w:rPr>
              <w:t>采用穿钢管配线，保护钢管两端已接地。</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4加油站信息系统的配电线路首、末端与电子器件连接时，应装设与电子器件耐压水平相适应的过电压（电涌）保护器。</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第13.2.8条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加油站信息系统按照规范设置有保护器。</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.5 </w:t>
            </w:r>
            <w:r>
              <w:rPr>
                <w:color w:val="000000" w:themeColor="text1"/>
                <w14:textFill>
                  <w14:solidFill>
                    <w14:schemeClr w14:val="tx1"/>
                  </w14:solidFill>
                </w14:textFill>
              </w:rPr>
              <w:t>380/220V</w:t>
            </w:r>
            <w:r>
              <w:rPr>
                <w:rFonts w:hint="eastAsia"/>
                <w:color w:val="000000" w:themeColor="text1"/>
                <w14:textFill>
                  <w14:solidFill>
                    <w14:schemeClr w14:val="tx1"/>
                  </w14:solidFill>
                </w14:textFill>
              </w:rPr>
              <w:t>供配电系统宜采用</w:t>
            </w:r>
            <w:r>
              <w:rPr>
                <w:color w:val="000000" w:themeColor="text1"/>
                <w14:textFill>
                  <w14:solidFill>
                    <w14:schemeClr w14:val="tx1"/>
                  </w14:solidFill>
                </w14:textFill>
              </w:rPr>
              <w:t>TN-S</w:t>
            </w:r>
            <w:r>
              <w:rPr>
                <w:rFonts w:hint="eastAsia"/>
                <w:color w:val="000000" w:themeColor="text1"/>
                <w14:textFill>
                  <w14:solidFill>
                    <w14:schemeClr w14:val="tx1"/>
                  </w14:solidFill>
                </w14:textFill>
              </w:rPr>
              <w:t>系统，供电系统的电缆金属外皮或电缆金属保护管两端均应接地，在供配电系统的电源端应安装与设备耐压水平相适应的过电压（电涌）保护器。</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第13.2.9条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供配电系统的电源安装了电涌保护器。</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2.6加油站的汽油罐车卸车场地，应设卸车时用的防静电接地装置，并应设置能检测跨接线及监视接地装置状态的静电接地仪。</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第13.2.11条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卸油区已安装静电接地报警仪。</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2.7在爆炸危险区域内工艺管道上的法兰、胶管两端等连接处，应用金属线跨接。当法兰的连接螺栓不少于</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根时，在非腐蚀环境下可不跨接。</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第13.2.12条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油品管道的法兰两端采用铜片跨接。</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2.8防静电接地装置的接地电阻不应大于100Ω。</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color w:val="000000" w:themeColor="text1"/>
                <w14:textFill>
                  <w14:solidFill>
                    <w14:schemeClr w14:val="tx1"/>
                  </w14:solidFill>
                </w14:textFill>
              </w:rPr>
              <w:t>GB50156-2021</w:t>
            </w:r>
            <w:r>
              <w:rPr>
                <w:rFonts w:hint="eastAsia"/>
                <w:color w:val="000000" w:themeColor="text1"/>
                <w14:textFill>
                  <w14:solidFill>
                    <w14:schemeClr w14:val="tx1"/>
                  </w14:solidFill>
                </w14:textFill>
              </w:rPr>
              <w:t>第13.2.15条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防静电接地装置电阻满足要求。</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071" w:type="dxa"/>
            <w:gridSpan w:val="4"/>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  安全标志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作业区按GB/T 2893.5GB 2894、GB13495.1、</w:t>
            </w:r>
            <w:r>
              <w:rPr>
                <w:color w:val="000000" w:themeColor="text1"/>
                <w14:textFill>
                  <w14:solidFill>
                    <w14:schemeClr w14:val="tx1"/>
                  </w14:solidFill>
                </w14:textFill>
              </w:rPr>
              <w:t>GB15630</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规定设置安全标志</w:t>
            </w:r>
            <w:r>
              <w:rPr>
                <w:rFonts w:hint="eastAsia"/>
                <w:color w:val="000000" w:themeColor="text1"/>
                <w14:textFill>
                  <w14:solidFill>
                    <w14:schemeClr w14:val="tx1"/>
                  </w14:solidFill>
                </w14:textFill>
              </w:rPr>
              <w:t>和安全色</w:t>
            </w:r>
            <w:r>
              <w:rPr>
                <w:color w:val="000000" w:themeColor="text1"/>
                <w14:textFill>
                  <w14:solidFill>
                    <w14:schemeClr w14:val="tx1"/>
                  </w14:solidFill>
                </w14:textFill>
              </w:rPr>
              <w:t>。</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AQ 3010-2022第4.4条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作业区按规范设置安全警示标志。</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071" w:type="dxa"/>
            <w:gridSpan w:val="4"/>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4  </w:t>
            </w:r>
            <w:r>
              <w:rPr>
                <w:rFonts w:hint="eastAsia"/>
                <w:color w:val="000000" w:themeColor="text1"/>
                <w14:textFill>
                  <w14:solidFill>
                    <w14:schemeClr w14:val="tx1"/>
                  </w14:solidFill>
                </w14:textFill>
              </w:rPr>
              <w:t>紧急切断系统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644"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加油站应设置紧急切断系统，该系统能在事故状态迅速切断加油泵。</w:t>
            </w:r>
          </w:p>
        </w:tc>
        <w:tc>
          <w:tcPr>
            <w:tcW w:w="1543"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GB50156-2021第13.5.1条</w:t>
            </w:r>
          </w:p>
        </w:tc>
        <w:tc>
          <w:tcPr>
            <w:tcW w:w="2118"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已在</w:t>
            </w:r>
            <w:r>
              <w:rPr>
                <w:rFonts w:hint="eastAsia"/>
                <w:color w:val="000000" w:themeColor="text1"/>
                <w:lang w:val="en-US" w:eastAsia="zh-CN"/>
                <w14:textFill>
                  <w14:solidFill>
                    <w14:schemeClr w14:val="tx1"/>
                  </w14:solidFill>
                </w14:textFill>
              </w:rPr>
              <w:t>办公</w:t>
            </w:r>
            <w:r>
              <w:rPr>
                <w:rFonts w:hint="eastAsia"/>
                <w:color w:val="000000" w:themeColor="text1"/>
                <w14:textFill>
                  <w14:solidFill>
                    <w14:schemeClr w14:val="tx1"/>
                  </w14:solidFill>
                </w14:textFill>
              </w:rPr>
              <w:t>室设置急停开关。</w:t>
            </w:r>
          </w:p>
        </w:tc>
        <w:tc>
          <w:tcPr>
            <w:tcW w:w="766" w:type="dxa"/>
            <w:tcBorders>
              <w:top w:val="single" w:color="auto" w:sz="6" w:space="0"/>
              <w:left w:val="single" w:color="auto" w:sz="6" w:space="0"/>
              <w:bottom w:val="single" w:color="auto" w:sz="6" w:space="0"/>
              <w:right w:val="single" w:color="auto" w:sz="6" w:space="0"/>
            </w:tcBorders>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pPr>
        <w:pStyle w:val="72"/>
        <w:ind w:firstLine="467" w:firstLineChars="167"/>
        <w:rPr>
          <w:color w:val="000000" w:themeColor="text1"/>
          <w14:textFill>
            <w14:solidFill>
              <w14:schemeClr w14:val="tx1"/>
            </w14:solidFill>
          </w14:textFill>
        </w:rPr>
      </w:pPr>
      <w:r>
        <w:rPr>
          <w:rFonts w:hint="eastAsia"/>
          <w:color w:val="000000" w:themeColor="text1"/>
          <w14:textFill>
            <w14:solidFill>
              <w14:schemeClr w14:val="tx1"/>
            </w14:solidFill>
          </w14:textFill>
        </w:rPr>
        <w:t>安全设施检查结果：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通过对加油站配置的防火、防爆、防触电、防雷防静电、防车辆伤害、安全警示标志等安全设施进行检查，该加油站安全设施的设置</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《汽车加油加气加氢站技术标准》（GB50156-2021）等相关规范的要求。</w:t>
      </w:r>
    </w:p>
    <w:p>
      <w:pPr>
        <w:pStyle w:val="3"/>
        <w:rPr>
          <w:color w:val="000000" w:themeColor="text1"/>
          <w14:textFill>
            <w14:solidFill>
              <w14:schemeClr w14:val="tx1"/>
            </w14:solidFill>
          </w14:textFill>
        </w:rPr>
      </w:pPr>
      <w:bookmarkStart w:id="401" w:name="_Toc108"/>
      <w:r>
        <w:rPr>
          <w:rFonts w:hint="eastAsia"/>
          <w:color w:val="000000" w:themeColor="text1"/>
          <w14:textFill>
            <w14:solidFill>
              <w14:schemeClr w14:val="tx1"/>
            </w14:solidFill>
          </w14:textFill>
        </w:rPr>
        <w:t>安全管理分析</w:t>
      </w:r>
      <w:bookmarkEnd w:id="400"/>
      <w:r>
        <w:rPr>
          <w:rFonts w:hint="eastAsia"/>
          <w:color w:val="000000" w:themeColor="text1"/>
          <w14:textFill>
            <w14:solidFill>
              <w14:schemeClr w14:val="tx1"/>
            </w14:solidFill>
          </w14:textFill>
        </w:rPr>
        <w:t>评价</w:t>
      </w:r>
      <w:bookmarkEnd w:id="401"/>
    </w:p>
    <w:p>
      <w:pPr>
        <w:rPr>
          <w:color w:val="000000" w:themeColor="text1"/>
          <w14:textFill>
            <w14:solidFill>
              <w14:schemeClr w14:val="tx1"/>
            </w14:solidFill>
          </w14:textFill>
        </w:rPr>
      </w:pPr>
      <w:bookmarkStart w:id="402" w:name="_Toc195176766"/>
      <w:r>
        <w:rPr>
          <w:rFonts w:hint="eastAsia"/>
          <w:color w:val="000000" w:themeColor="text1"/>
          <w14:textFill>
            <w14:solidFill>
              <w14:schemeClr w14:val="tx1"/>
            </w14:solidFill>
          </w14:textFill>
        </w:rPr>
        <w:t>为了全面了解加油站安全管理水平，按照国家相关法律法规及标准规范中的相关内容，对加油站管理进行综合安全检查，内容包括安全管理制度、安全管理组织、从业人员、安全投入、劳动防护用品配备、事故及应急管理等内容，具体检查结果见表6-6。</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表6-6 安全管理安全检查表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4114"/>
        <w:gridCol w:w="1954"/>
        <w:gridCol w:w="1673"/>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579" w:type="dxa"/>
            <w:gridSpan w:val="2"/>
            <w:vAlign w:val="center"/>
          </w:tcPr>
          <w:p>
            <w:pPr>
              <w:pStyle w:val="77"/>
              <w:rPr>
                <w:b/>
                <w:bCs/>
                <w:color w:val="000000" w:themeColor="text1"/>
                <w:lang w:val="zh-CN"/>
                <w14:textFill>
                  <w14:solidFill>
                    <w14:schemeClr w14:val="tx1"/>
                  </w14:solidFill>
                </w14:textFill>
              </w:rPr>
            </w:pPr>
            <w:r>
              <w:rPr>
                <w:b/>
                <w:bCs/>
                <w:color w:val="000000" w:themeColor="text1"/>
                <w:lang w:val="zh-CN"/>
                <w14:textFill>
                  <w14:solidFill>
                    <w14:schemeClr w14:val="tx1"/>
                  </w14:solidFill>
                </w14:textFill>
              </w:rPr>
              <w:t>检查内容</w:t>
            </w:r>
          </w:p>
        </w:tc>
        <w:tc>
          <w:tcPr>
            <w:tcW w:w="1954" w:type="dxa"/>
            <w:vAlign w:val="center"/>
          </w:tcPr>
          <w:p>
            <w:pPr>
              <w:pStyle w:val="77"/>
              <w:rPr>
                <w:b/>
                <w:bCs/>
                <w:color w:val="000000" w:themeColor="text1"/>
                <w:lang w:val="zh-CN"/>
                <w14:textFill>
                  <w14:solidFill>
                    <w14:schemeClr w14:val="tx1"/>
                  </w14:solidFill>
                </w14:textFill>
              </w:rPr>
            </w:pPr>
            <w:r>
              <w:rPr>
                <w:b/>
                <w:bCs/>
                <w:color w:val="000000" w:themeColor="text1"/>
                <w:lang w:val="zh-CN"/>
                <w14:textFill>
                  <w14:solidFill>
                    <w14:schemeClr w14:val="tx1"/>
                  </w14:solidFill>
                </w14:textFill>
              </w:rPr>
              <w:t>检查依据</w:t>
            </w:r>
          </w:p>
        </w:tc>
        <w:tc>
          <w:tcPr>
            <w:tcW w:w="1673" w:type="dxa"/>
            <w:vAlign w:val="center"/>
          </w:tcPr>
          <w:p>
            <w:pPr>
              <w:pStyle w:val="77"/>
              <w:rPr>
                <w:b/>
                <w:bCs/>
                <w:color w:val="000000" w:themeColor="text1"/>
                <w:lang w:val="zh-CN"/>
                <w14:textFill>
                  <w14:solidFill>
                    <w14:schemeClr w14:val="tx1"/>
                  </w14:solidFill>
                </w14:textFill>
              </w:rPr>
            </w:pPr>
            <w:r>
              <w:rPr>
                <w:b/>
                <w:bCs/>
                <w:color w:val="000000" w:themeColor="text1"/>
                <w:lang w:val="zh-CN"/>
                <w14:textFill>
                  <w14:solidFill>
                    <w14:schemeClr w14:val="tx1"/>
                  </w14:solidFill>
                </w14:textFill>
              </w:rPr>
              <w:t>检查情况说明</w:t>
            </w:r>
          </w:p>
        </w:tc>
        <w:tc>
          <w:tcPr>
            <w:tcW w:w="865" w:type="dxa"/>
            <w:vAlign w:val="center"/>
          </w:tcPr>
          <w:p>
            <w:pPr>
              <w:pStyle w:val="77"/>
              <w:rPr>
                <w:b/>
                <w:bCs/>
                <w:color w:val="000000" w:themeColor="text1"/>
                <w:lang w:val="zh-CN"/>
                <w14:textFill>
                  <w14:solidFill>
                    <w14:schemeClr w14:val="tx1"/>
                  </w14:solidFill>
                </w14:textFill>
              </w:rPr>
            </w:pPr>
            <w:r>
              <w:rPr>
                <w:b/>
                <w:bCs/>
                <w:color w:val="000000" w:themeColor="text1"/>
                <w:lang w:val="zh-CN"/>
                <w14:textFill>
                  <w14:solidFill>
                    <w14:schemeClr w14:val="tx1"/>
                  </w14:solidFill>
                </w14:textFill>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安全管理制度</w:t>
            </w:r>
          </w:p>
        </w:tc>
        <w:tc>
          <w:tcPr>
            <w:tcW w:w="4114" w:type="dxa"/>
            <w:vAlign w:val="center"/>
          </w:tcPr>
          <w:p>
            <w:pPr>
              <w:pStyle w:val="77"/>
              <w:jc w:val="both"/>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1.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《中华人民共和国安全生产法》第四条</w:t>
            </w:r>
          </w:p>
        </w:tc>
        <w:tc>
          <w:tcPr>
            <w:tcW w:w="1673"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加油站建立了</w:t>
            </w:r>
            <w:r>
              <w:rPr>
                <w:rFonts w:hint="eastAsia"/>
                <w:color w:val="000000" w:themeColor="text1"/>
                <w:lang w:val="zh-CN"/>
                <w14:textFill>
                  <w14:solidFill>
                    <w14:schemeClr w14:val="tx1"/>
                  </w14:solidFill>
                </w14:textFill>
              </w:rPr>
              <w:t>安全生产责任制和安全生产规章制度，</w:t>
            </w:r>
            <w:r>
              <w:rPr>
                <w:rFonts w:hint="eastAsia"/>
                <w:color w:val="000000" w:themeColor="text1"/>
                <w:lang w:val="en-US" w:eastAsia="zh-CN"/>
                <w14:textFill>
                  <w14:solidFill>
                    <w14:schemeClr w14:val="tx1"/>
                  </w14:solidFill>
                </w14:textFill>
              </w:rPr>
              <w:t>开展</w:t>
            </w:r>
            <w:r>
              <w:rPr>
                <w:rFonts w:hint="eastAsia"/>
                <w:color w:val="000000" w:themeColor="text1"/>
                <w:lang w:val="zh-CN"/>
                <w14:textFill>
                  <w14:solidFill>
                    <w14:schemeClr w14:val="tx1"/>
                  </w14:solidFill>
                </w14:textFill>
              </w:rPr>
              <w:t>安全生产标准化、信息化建设，构建安全风险分级管控和隐患排查治理双重预防机制。</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lang w:val="zh-CN" w:eastAsia="zh-CN"/>
                <w14:textFill>
                  <w14:solidFill>
                    <w14:schemeClr w14:val="tx1"/>
                  </w14:solidFill>
                </w14:textFill>
              </w:rPr>
              <w:t>生产经营单位应当建立健全下列制度：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（一）安全生产责任制度；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（二）安全生产例会制度；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（三）安全生产奖惩制度；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（四）安全生产教育培训制度；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（五）安全生产检查制度；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（六）生产经营场所、设备、设施安全管理制度；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（七）安全生产风险分级管理控制制度；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（八）危险源管理制度；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（九）安全生产应急管理和事故报告处理制度；</w:t>
            </w:r>
          </w:p>
          <w:p>
            <w:pPr>
              <w:pStyle w:val="77"/>
              <w:jc w:val="both"/>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（十）危险作业、特种作业人员、劳动防护用品管理制度；</w:t>
            </w:r>
          </w:p>
          <w:p>
            <w:pPr>
              <w:pStyle w:val="77"/>
              <w:jc w:val="both"/>
              <w:rPr>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（十一）法律法规规定的其他安全生产制度。</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《云南省安全生产条例》</w:t>
            </w:r>
            <w:r>
              <w:rPr>
                <w:rFonts w:hint="default"/>
                <w:color w:val="000000" w:themeColor="text1"/>
                <w:lang w:val="zh-CN" w:eastAsia="zh-CN"/>
                <w14:textFill>
                  <w14:solidFill>
                    <w14:schemeClr w14:val="tx1"/>
                  </w14:solidFill>
                </w14:textFill>
              </w:rPr>
              <w:t>第十八条</w:t>
            </w:r>
          </w:p>
        </w:tc>
        <w:tc>
          <w:tcPr>
            <w:tcW w:w="1673"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加油站建立了安全生产责任制、安全教育培训制度、安全检查制度、劳动防护用品管理制度等</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安全管理组织</w:t>
            </w: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1.矿山、金属冶炼、建筑施工、运输单位和危险物品的生产、经营、储存、装卸单位，应当设置安全生产管理机构或者配备专职安全生产管理人员。</w:t>
            </w:r>
          </w:p>
          <w:p>
            <w:pPr>
              <w:pStyle w:val="77"/>
              <w:jc w:val="both"/>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二十四</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加油站成立了安全管理小组</w:t>
            </w: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任命了安全员</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lang w:val="zh-CN" w:eastAsia="zh-CN"/>
                <w14:textFill>
                  <w14:solidFill>
                    <w14:schemeClr w14:val="tx1"/>
                  </w14:solidFill>
                </w14:textFill>
              </w:rPr>
              <w:t>矿山、金属冶炼、建筑施工、道路运输单位和危险物品的生产、经营、储存、废弃处置单位，应当设置专门的安全生产管理机构或者配备相应的专职安全生产管理人员。</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前款规定以外的其他生产经营单位，从业人员超过100人的，应当设置安全生产管理机构，专职安全生产管理人员不得少于2人；从业人员在100人以下的，应当配备专职或者兼职安全生产管理人员，或者委托依法设立的机构提供安全生产管理服务。</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生产经营单位的分支机构或者所属单位，应当按照本条规定设置、配备安全生产管理机构和人员。</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《云南省安全生产条例》</w:t>
            </w:r>
            <w:r>
              <w:rPr>
                <w:rFonts w:hint="default"/>
                <w:color w:val="000000" w:themeColor="text1"/>
                <w:lang w:val="zh-CN" w:eastAsia="zh-CN"/>
                <w14:textFill>
                  <w14:solidFill>
                    <w14:schemeClr w14:val="tx1"/>
                  </w14:solidFill>
                </w14:textFill>
              </w:rPr>
              <w:t>第十五条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w:t>
            </w:r>
            <w:r>
              <w:rPr>
                <w:color w:val="000000" w:themeColor="text1"/>
                <w:lang w:val="zh-CN"/>
                <w14:textFill>
                  <w14:solidFill>
                    <w14:schemeClr w14:val="tx1"/>
                  </w14:solidFill>
                </w14:textFill>
              </w:rPr>
              <w:t>成立安全</w:t>
            </w:r>
            <w:r>
              <w:rPr>
                <w:rFonts w:hint="eastAsia"/>
                <w:color w:val="000000" w:themeColor="text1"/>
                <w14:textFill>
                  <w14:solidFill>
                    <w14:schemeClr w14:val="tx1"/>
                  </w14:solidFill>
                </w14:textFill>
              </w:rPr>
              <w:t>领导</w:t>
            </w:r>
            <w:r>
              <w:rPr>
                <w:color w:val="000000" w:themeColor="text1"/>
                <w:lang w:val="zh-CN"/>
                <w14:textFill>
                  <w14:solidFill>
                    <w14:schemeClr w14:val="tx1"/>
                  </w14:solidFill>
                </w14:textFill>
              </w:rPr>
              <w:t>小组并任命了安全员</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p>
            <w:pPr>
              <w:pStyle w:val="77"/>
              <w:rPr>
                <w:color w:val="000000" w:themeColor="text1"/>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从业人员</w:t>
            </w: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1.生产经营单位的主要负责人和安全生产管理人员必须具备与本单位所从事的生产经营活动相应的安全生产知识和管理能力。</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《中华人民共和国安全生产法》第二十</w:t>
            </w:r>
            <w:r>
              <w:rPr>
                <w:rFonts w:hint="eastAsia"/>
                <w:color w:val="000000" w:themeColor="text1"/>
                <w:lang w:val="zh-CN"/>
                <w14:textFill>
                  <w14:solidFill>
                    <w14:schemeClr w14:val="tx1"/>
                  </w14:solidFill>
                </w14:textFill>
              </w:rPr>
              <w:t>七</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主要负责人和安全生产管理人员</w:t>
            </w:r>
            <w:r>
              <w:rPr>
                <w:rFonts w:hint="eastAsia"/>
                <w:color w:val="000000" w:themeColor="text1"/>
                <w14:textFill>
                  <w14:solidFill>
                    <w14:schemeClr w14:val="tx1"/>
                  </w14:solidFill>
                </w14:textFill>
              </w:rPr>
              <w:t>持证上岗。</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2.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《中华人民共和国安全生产法》第二十</w:t>
            </w:r>
            <w:r>
              <w:rPr>
                <w:rFonts w:hint="eastAsia"/>
                <w:color w:val="000000" w:themeColor="text1"/>
                <w:lang w:val="zh-CN"/>
                <w14:textFill>
                  <w14:solidFill>
                    <w14:schemeClr w14:val="tx1"/>
                  </w14:solidFill>
                </w14:textFill>
              </w:rPr>
              <w:t>八</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加油站对从业人员进行</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安全教育培训，经培训合格后上岗。</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3.</w:t>
            </w:r>
            <w:r>
              <w:rPr>
                <w:rFonts w:hint="eastAsia"/>
                <w:color w:val="000000" w:themeColor="text1"/>
                <w:lang w:val="zh-CN"/>
                <w14:textFill>
                  <w14:solidFill>
                    <w14:schemeClr w14:val="tx1"/>
                  </w14:solidFill>
                </w14:textFill>
              </w:rPr>
              <w:t>生产经营单位的特种作业人员必须按照国家有关规定经专门的安全作业培训，取得相应资格，方可上岗作业。</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三十条</w:t>
            </w:r>
          </w:p>
        </w:tc>
        <w:tc>
          <w:tcPr>
            <w:tcW w:w="1673"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加油站无</w:t>
            </w:r>
            <w:r>
              <w:rPr>
                <w:rFonts w:hint="eastAsia"/>
                <w:color w:val="000000" w:themeColor="text1"/>
                <w:lang w:val="zh-CN"/>
                <w14:textFill>
                  <w14:solidFill>
                    <w14:schemeClr w14:val="tx1"/>
                  </w14:solidFill>
                </w14:textFill>
              </w:rPr>
              <w:t>特种作业人员。</w:t>
            </w:r>
          </w:p>
        </w:tc>
        <w:tc>
          <w:tcPr>
            <w:tcW w:w="865"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安全检查</w:t>
            </w:r>
          </w:p>
        </w:tc>
        <w:tc>
          <w:tcPr>
            <w:tcW w:w="4114" w:type="dxa"/>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1.</w:t>
            </w:r>
            <w:r>
              <w:rPr>
                <w:rFonts w:hint="eastAsia"/>
                <w:color w:val="000000" w:themeColor="text1"/>
                <w:lang w:val="zh-CN"/>
                <w14:textFill>
                  <w14:solidFill>
                    <w14:schemeClr w14:val="tx1"/>
                  </w14:solidFill>
                </w14:textFill>
              </w:rPr>
              <w:t>生产经营单位必须对安全设备进行经常性维护、保养，并定期检测，保证正常运转。维护、保养、检测应当作好记录，并由有关人员签字。</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三十六</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加油站对安全设备进行</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经常性维护、保养，并定期检测。</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2.</w:t>
            </w:r>
            <w:r>
              <w:rPr>
                <w:rFonts w:hint="default"/>
                <w:color w:val="000000" w:themeColor="text1"/>
                <w:lang w:val="zh-CN" w:eastAsia="zh-CN"/>
                <w14:textFill>
                  <w14:solidFill>
                    <w14:schemeClr w14:val="tx1"/>
                  </w14:solidFill>
                </w14:textFill>
              </w:rPr>
              <w:t>第十九条生产经营单位应当制定符合有关法律法规规定的安全生产自检自查标准，建立事故隐患排查治理长效机制。</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生产经营单位应当实行事故隐患清单管理，及时消除事故隐患；不能及时消除的，应当采取安全防范措施，制定治理方案，落实整改措施、责任、资金、时限和应急预案。</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default"/>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生产经营单位可以委托具备相应能力的技术服务机构进行安全风险分析和事故隐患排查。</w:t>
            </w:r>
          </w:p>
          <w:p>
            <w:pPr>
              <w:pStyle w:val="77"/>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生产经营单位应当如实记录事故隐患排查治理情况，按照规定向有关部门报告，并向从业人员通报</w:t>
            </w:r>
            <w:r>
              <w:rPr>
                <w:color w:val="000000" w:themeColor="text1"/>
                <w:lang w:val="zh-CN"/>
                <w14:textFill>
                  <w14:solidFill>
                    <w14:schemeClr w14:val="tx1"/>
                  </w14:solidFill>
                </w14:textFill>
              </w:rPr>
              <w:t>。</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《云南省安全生产条例》第十</w:t>
            </w:r>
            <w:r>
              <w:rPr>
                <w:rFonts w:hint="eastAsia"/>
                <w:color w:val="000000" w:themeColor="text1"/>
                <w:lang w:val="en-US" w:eastAsia="zh-CN"/>
                <w14:textFill>
                  <w14:solidFill>
                    <w14:schemeClr w14:val="tx1"/>
                  </w14:solidFill>
                </w14:textFill>
              </w:rPr>
              <w:t>九</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安全管理人员对加油站进行</w:t>
            </w:r>
            <w:r>
              <w:rPr>
                <w:rFonts w:hint="eastAsia"/>
                <w:color w:val="000000" w:themeColor="text1"/>
                <w14:textFill>
                  <w14:solidFill>
                    <w14:schemeClr w14:val="tx1"/>
                  </w14:solidFill>
                </w14:textFill>
              </w:rPr>
              <w:t>了</w:t>
            </w:r>
            <w:r>
              <w:rPr>
                <w:color w:val="000000" w:themeColor="text1"/>
                <w:lang w:val="zh-CN"/>
                <w14:textFill>
                  <w14:solidFill>
                    <w14:schemeClr w14:val="tx1"/>
                  </w14:solidFill>
                </w14:textFill>
              </w:rPr>
              <w:t>定期检查</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安全投入</w:t>
            </w:r>
          </w:p>
        </w:tc>
        <w:tc>
          <w:tcPr>
            <w:tcW w:w="4114" w:type="dxa"/>
            <w:vAlign w:val="center"/>
          </w:tcPr>
          <w:p>
            <w:pPr>
              <w:pStyle w:val="77"/>
              <w:jc w:val="both"/>
              <w:rPr>
                <w:rFonts w:hint="default"/>
                <w:color w:val="000000" w:themeColor="text1"/>
                <w:lang w:val="en-US" w:eastAsia="zh-CN"/>
                <w14:textFill>
                  <w14:solidFill>
                    <w14:schemeClr w14:val="tx1"/>
                  </w14:solidFill>
                </w14:textFill>
              </w:rPr>
            </w:pPr>
            <w:r>
              <w:rPr>
                <w:color w:val="000000" w:themeColor="text1"/>
                <w:lang w:val="zh-CN"/>
                <w14:textFill>
                  <w14:solidFill>
                    <w14:schemeClr w14:val="tx1"/>
                  </w14:solidFill>
                </w14:textFill>
              </w:rPr>
              <w:t>1.</w:t>
            </w:r>
            <w:r>
              <w:rPr>
                <w:rFonts w:hint="eastAsia"/>
                <w:color w:val="000000" w:themeColor="text1"/>
                <w:lang w:val="zh-CN"/>
                <w14:textFill>
                  <w14:solidFill>
                    <w14:schemeClr w14:val="tx1"/>
                  </w14:solidFill>
                </w14:textFill>
              </w:rPr>
              <w:t>生产经营单位必须为从业人员提供符合国家标准或者行业标准的劳动防护用品，并监督、教育从业人员按照使用规则佩戴、使用</w:t>
            </w:r>
            <w:r>
              <w:rPr>
                <w:color w:val="000000" w:themeColor="text1"/>
                <w:lang w:val="zh-CN"/>
                <w14:textFill>
                  <w14:solidFill>
                    <w14:schemeClr w14:val="tx1"/>
                  </w14:solidFill>
                </w14:textFill>
              </w:rPr>
              <w:t>。</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四十五</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加油站统一发放</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劳动防护用品。</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lang w:val="zh-CN"/>
                <w14:textFill>
                  <w14:solidFill>
                    <w14:schemeClr w14:val="tx1"/>
                  </w14:solidFill>
                </w14:textFill>
              </w:rPr>
              <w:t>生产经营单位必须依法参加工伤保险，为从业人员缴纳保险费。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 </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w:t>
            </w:r>
            <w:r>
              <w:rPr>
                <w:rFonts w:ascii="Helvetica" w:hAnsi="Helvetica" w:eastAsia="Helvetica" w:cs="Helvetica"/>
                <w:i w:val="0"/>
                <w:iCs w:val="0"/>
                <w:caps w:val="0"/>
                <w:color w:val="333333"/>
                <w:spacing w:val="0"/>
                <w:sz w:val="21"/>
                <w:szCs w:val="21"/>
                <w:shd w:val="clear" w:fill="FFFFFF"/>
              </w:rPr>
              <w:t>第五十一条</w:t>
            </w:r>
          </w:p>
        </w:tc>
        <w:tc>
          <w:tcPr>
            <w:tcW w:w="1673" w:type="dxa"/>
            <w:vAlign w:val="center"/>
          </w:tcPr>
          <w:p>
            <w:pPr>
              <w:pStyle w:val="77"/>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加油站已购买</w:t>
            </w:r>
            <w:r>
              <w:rPr>
                <w:rFonts w:hint="default"/>
                <w:color w:val="000000" w:themeColor="text1"/>
                <w:lang w:val="zh-CN" w:eastAsia="zh-CN"/>
                <w14:textFill>
                  <w14:solidFill>
                    <w14:schemeClr w14:val="tx1"/>
                  </w14:solidFill>
                </w14:textFill>
              </w:rPr>
              <w:t>工伤保险</w:t>
            </w:r>
            <w:r>
              <w:rPr>
                <w:rFonts w:hint="eastAsia"/>
                <w:color w:val="000000" w:themeColor="text1"/>
                <w:lang w:val="zh-CN" w:eastAsia="zh-CN"/>
                <w14:textFill>
                  <w14:solidFill>
                    <w14:schemeClr w14:val="tx1"/>
                  </w14:solidFill>
                </w14:textFill>
              </w:rPr>
              <w:t>，</w:t>
            </w:r>
            <w:r>
              <w:rPr>
                <w:rFonts w:hint="eastAsia"/>
                <w:color w:val="000000" w:themeColor="text1"/>
                <w:lang w:val="en-US" w:eastAsia="zh-CN"/>
                <w14:textFill>
                  <w14:solidFill>
                    <w14:schemeClr w14:val="tx1"/>
                  </w14:solidFill>
                </w14:textFill>
              </w:rPr>
              <w:t>但未提供安全生产责任保险。</w:t>
            </w:r>
          </w:p>
        </w:tc>
        <w:tc>
          <w:tcPr>
            <w:tcW w:w="865" w:type="dxa"/>
            <w:vAlign w:val="center"/>
          </w:tcPr>
          <w:p>
            <w:pPr>
              <w:pStyle w:val="77"/>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基本</w:t>
            </w:r>
          </w:p>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3</w:t>
            </w:r>
            <w:r>
              <w:rPr>
                <w:color w:val="000000" w:themeColor="text1"/>
                <w:lang w:val="zh-CN"/>
                <w14:textFill>
                  <w14:solidFill>
                    <w14:schemeClr w14:val="tx1"/>
                  </w14:solidFill>
                </w14:textFill>
              </w:rPr>
              <w:t>.</w:t>
            </w:r>
            <w:r>
              <w:rPr>
                <w:rFonts w:hint="default"/>
                <w:color w:val="000000" w:themeColor="text1"/>
                <w:lang w:val="zh-CN" w:eastAsia="zh-CN"/>
                <w14:textFill>
                  <w14:solidFill>
                    <w14:schemeClr w14:val="tx1"/>
                  </w14:solidFill>
                </w14:textFill>
              </w:rPr>
              <w:t>生产经营单位应当依法参加工伤保险，为从业人员按时足额缴纳工伤保险费。</w:t>
            </w:r>
          </w:p>
          <w:p>
            <w:pPr>
              <w:pStyle w:val="77"/>
              <w:jc w:val="both"/>
              <w:rPr>
                <w:color w:val="000000" w:themeColor="text1"/>
                <w:lang w:val="zh-CN"/>
                <w14:textFill>
                  <w14:solidFill>
                    <w14:schemeClr w14:val="tx1"/>
                  </w14:solidFill>
                </w14:textFill>
              </w:rPr>
            </w:pPr>
            <w:r>
              <w:rPr>
                <w:rFonts w:hint="default"/>
                <w:color w:val="000000" w:themeColor="text1"/>
                <w:lang w:val="zh-CN" w:eastAsia="zh-CN"/>
                <w14:textFill>
                  <w14:solidFill>
                    <w14:schemeClr w14:val="tx1"/>
                  </w14:solidFill>
                </w14:textFill>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《云南省安全生产条例》</w:t>
            </w:r>
            <w:r>
              <w:rPr>
                <w:rFonts w:hint="default"/>
                <w:color w:val="000000" w:themeColor="text1"/>
                <w:lang w:val="zh-CN" w:eastAsia="zh-CN"/>
                <w14:textFill>
                  <w14:solidFill>
                    <w14:schemeClr w14:val="tx1"/>
                  </w14:solidFill>
                </w14:textFill>
              </w:rPr>
              <w:t>第二十四条</w:t>
            </w:r>
          </w:p>
        </w:tc>
        <w:tc>
          <w:tcPr>
            <w:tcW w:w="1673" w:type="dxa"/>
            <w:vAlign w:val="center"/>
          </w:tcPr>
          <w:p>
            <w:pPr>
              <w:pStyle w:val="77"/>
              <w:ind w:firstLine="0" w:firstLineChars="0"/>
              <w:rPr>
                <w:color w:val="000000" w:themeColor="text1"/>
                <w:lang w:val="zh-CN"/>
                <w14:textFill>
                  <w14:solidFill>
                    <w14:schemeClr w14:val="tx1"/>
                  </w14:solidFill>
                </w14:textFill>
              </w:rPr>
            </w:pPr>
            <w:r>
              <w:rPr>
                <w:rFonts w:hint="eastAsia"/>
                <w:color w:val="000000" w:themeColor="text1"/>
                <w:lang w:val="en-US" w:eastAsia="zh-CN"/>
                <w14:textFill>
                  <w14:solidFill>
                    <w14:schemeClr w14:val="tx1"/>
                  </w14:solidFill>
                </w14:textFill>
              </w:rPr>
              <w:t>加油站已购买</w:t>
            </w:r>
            <w:r>
              <w:rPr>
                <w:rFonts w:hint="default"/>
                <w:color w:val="000000" w:themeColor="text1"/>
                <w:lang w:val="zh-CN" w:eastAsia="zh-CN"/>
                <w14:textFill>
                  <w14:solidFill>
                    <w14:schemeClr w14:val="tx1"/>
                  </w14:solidFill>
                </w14:textFill>
              </w:rPr>
              <w:t>工伤保险</w:t>
            </w:r>
            <w:r>
              <w:rPr>
                <w:rFonts w:hint="eastAsia"/>
                <w:color w:val="000000" w:themeColor="text1"/>
                <w:lang w:val="zh-CN" w:eastAsia="zh-CN"/>
                <w14:textFill>
                  <w14:solidFill>
                    <w14:schemeClr w14:val="tx1"/>
                  </w14:solidFill>
                </w14:textFill>
              </w:rPr>
              <w:t>，</w:t>
            </w:r>
            <w:r>
              <w:rPr>
                <w:rFonts w:hint="eastAsia"/>
                <w:color w:val="000000" w:themeColor="text1"/>
                <w:lang w:val="en-US" w:eastAsia="zh-CN"/>
                <w14:textFill>
                  <w14:solidFill>
                    <w14:schemeClr w14:val="tx1"/>
                  </w14:solidFill>
                </w14:textFill>
              </w:rPr>
              <w:t>但未提供安全生产责任保险。</w:t>
            </w:r>
          </w:p>
        </w:tc>
        <w:tc>
          <w:tcPr>
            <w:tcW w:w="865" w:type="dxa"/>
            <w:vAlign w:val="center"/>
          </w:tcPr>
          <w:p>
            <w:pPr>
              <w:pStyle w:val="77"/>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基本</w:t>
            </w:r>
          </w:p>
          <w:p>
            <w:pPr>
              <w:pStyle w:val="77"/>
              <w:ind w:firstLine="0" w:firstLineChars="0"/>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事故及应急管理</w:t>
            </w:r>
          </w:p>
        </w:tc>
        <w:tc>
          <w:tcPr>
            <w:tcW w:w="4114" w:type="dxa"/>
            <w:vAlign w:val="center"/>
          </w:tcPr>
          <w:p>
            <w:pPr>
              <w:pStyle w:val="77"/>
              <w:jc w:val="both"/>
              <w:rPr>
                <w:color w:val="000000" w:themeColor="text1"/>
                <w14:textFill>
                  <w14:solidFill>
                    <w14:schemeClr w14:val="tx1"/>
                  </w14:solidFill>
                </w14:textFill>
              </w:rPr>
            </w:pPr>
            <w:r>
              <w:rPr>
                <w:color w:val="000000" w:themeColor="text1"/>
                <w:lang w:val="zh-CN"/>
                <w14:textFill>
                  <w14:solidFill>
                    <w14:schemeClr w14:val="tx1"/>
                  </w14:solidFill>
                </w14:textFill>
              </w:rPr>
              <w:t>1.</w:t>
            </w:r>
            <w:r>
              <w:rPr>
                <w:rFonts w:hint="eastAsia"/>
                <w:color w:val="000000" w:themeColor="text1"/>
                <w:lang w:val="zh-CN"/>
                <w14:textFill>
                  <w14:solidFill>
                    <w14:schemeClr w14:val="tx1"/>
                  </w14:solidFill>
                </w14:textFill>
              </w:rPr>
              <w:t>生产经营单位应当制定本单位生产安全事故应急救援预案，与所在地县级以上地方人民政府组织制定的生产安全事故应急救援预案相衔接，并定期组织演练</w:t>
            </w:r>
            <w:r>
              <w:rPr>
                <w:color w:val="000000" w:themeColor="text1"/>
                <w:lang w:val="zh-CN"/>
                <w14:textFill>
                  <w14:solidFill>
                    <w14:schemeClr w14:val="tx1"/>
                  </w14:solidFill>
                </w14:textFill>
              </w:rPr>
              <w:t>。</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八十一</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w:t>
            </w:r>
            <w:r>
              <w:rPr>
                <w:color w:val="000000" w:themeColor="text1"/>
                <w:lang w:val="zh-CN"/>
                <w14:textFill>
                  <w14:solidFill>
                    <w14:schemeClr w14:val="tx1"/>
                  </w14:solidFill>
                </w14:textFill>
              </w:rPr>
              <w:t>制定了应急救援预案</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2.危险物品的经营、储存单位应当建立应急救援组织；生产经营规模较小的，可以不建立应急救援组织，但应当指定兼职的应急救援人员。</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《中华人民共和国安全生产法》第</w:t>
            </w:r>
            <w:r>
              <w:rPr>
                <w:rFonts w:hint="eastAsia"/>
                <w:color w:val="000000" w:themeColor="text1"/>
                <w:lang w:val="zh-CN"/>
                <w14:textFill>
                  <w14:solidFill>
                    <w14:schemeClr w14:val="tx1"/>
                  </w14:solidFill>
                </w14:textFill>
              </w:rPr>
              <w:t>八十二</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w:t>
            </w:r>
            <w:r>
              <w:rPr>
                <w:rFonts w:hint="eastAsia"/>
                <w:color w:val="000000" w:themeColor="text1"/>
                <w:lang w:val="zh-CN"/>
                <w14:textFill>
                  <w14:solidFill>
                    <w14:schemeClr w14:val="tx1"/>
                  </w14:solidFill>
                </w14:textFill>
              </w:rPr>
              <w:t>成立了应急救援小组。</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lang w:val="zh-CN"/>
                <w14:textFill>
                  <w14:solidFill>
                    <w14:schemeClr w14:val="tx1"/>
                  </w14:solidFill>
                </w14:textFill>
              </w:rPr>
              <w:t>.</w:t>
            </w:r>
            <w:r>
              <w:rPr>
                <w:rFonts w:ascii="Helvetica" w:hAnsi="Helvetica" w:eastAsia="Helvetica" w:cs="Helvetica"/>
                <w:i w:val="0"/>
                <w:iCs w:val="0"/>
                <w:caps w:val="0"/>
                <w:color w:val="333333"/>
                <w:spacing w:val="0"/>
                <w:sz w:val="21"/>
                <w:szCs w:val="21"/>
                <w:shd w:val="clear" w:fill="FFFFFF"/>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《云南省安全生产条例》</w:t>
            </w:r>
            <w:r>
              <w:rPr>
                <w:rFonts w:ascii="Helvetica" w:hAnsi="Helvetica" w:eastAsia="Helvetica" w:cs="Helvetica"/>
                <w:i w:val="0"/>
                <w:iCs w:val="0"/>
                <w:caps w:val="0"/>
                <w:color w:val="333333"/>
                <w:spacing w:val="0"/>
                <w:sz w:val="21"/>
                <w:szCs w:val="21"/>
                <w:shd w:val="clear" w:fill="FFFFFF"/>
              </w:rPr>
              <w:t>第四十四条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加油站制定了应急救援预案，配备了应急救援器材和物品并定期开展应急救援演练，成建立了兼职应急救援队伍。</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经营安全</w:t>
            </w: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1</w:t>
            </w:r>
            <w:r>
              <w:rPr>
                <w:color w:val="000000" w:themeColor="text1"/>
                <w:lang w:val="zh-CN"/>
                <w14:textFill>
                  <w14:solidFill>
                    <w14:schemeClr w14:val="tx1"/>
                  </w14:solidFill>
                </w14:textFill>
              </w:rPr>
              <w:t>.</w:t>
            </w:r>
            <w:r>
              <w:rPr>
                <w:rFonts w:hint="eastAsia"/>
                <w:color w:val="000000" w:themeColor="text1"/>
                <w14:textFill>
                  <w14:solidFill>
                    <w14:schemeClr w14:val="tx1"/>
                  </w14:solidFill>
                </w14:textFill>
              </w:rPr>
              <w:t>国家对危险化学品经营（包括仓储经营，下同）实行许可制度。未经许可，任何单位和个人不得经营危险化学品。</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《危险化学品安全管理条例》第</w:t>
            </w:r>
            <w:r>
              <w:rPr>
                <w:rFonts w:hint="eastAsia"/>
                <w:color w:val="000000" w:themeColor="text1"/>
                <w:lang w:val="zh-CN"/>
                <w14:textFill>
                  <w14:solidFill>
                    <w14:schemeClr w14:val="tx1"/>
                  </w14:solidFill>
                </w14:textFill>
              </w:rPr>
              <w:t>三十三</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加油站取得</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危险化学品经营许可证</w:t>
            </w:r>
            <w:r>
              <w:rPr>
                <w:rFonts w:hint="eastAsia"/>
                <w:color w:val="000000" w:themeColor="text1"/>
                <w14:textFill>
                  <w14:solidFill>
                    <w14:schemeClr w14:val="tx1"/>
                  </w14:solidFill>
                </w14:textFill>
              </w:rPr>
              <w:t>且</w:t>
            </w:r>
            <w:r>
              <w:rPr>
                <w:rFonts w:hint="eastAsia"/>
                <w:color w:val="000000" w:themeColor="text1"/>
                <w:lang w:val="zh-CN"/>
                <w14:textFill>
                  <w14:solidFill>
                    <w14:schemeClr w14:val="tx1"/>
                  </w14:solidFill>
                </w14:textFill>
              </w:rPr>
              <w:t>危险化学品经营许可证</w:t>
            </w:r>
            <w:r>
              <w:rPr>
                <w:rFonts w:hint="eastAsia"/>
                <w:color w:val="000000" w:themeColor="text1"/>
                <w14:textFill>
                  <w14:solidFill>
                    <w14:schemeClr w14:val="tx1"/>
                  </w14:solidFill>
                </w14:textFill>
              </w:rPr>
              <w:t>在有效期内</w:t>
            </w:r>
            <w:r>
              <w:rPr>
                <w:rFonts w:hint="eastAsia"/>
                <w:color w:val="000000" w:themeColor="text1"/>
                <w:lang w:val="zh-CN"/>
                <w14:textFill>
                  <w14:solidFill>
                    <w14:schemeClr w14:val="tx1"/>
                  </w14:solidFill>
                </w14:textFill>
              </w:rPr>
              <w:t>。</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2.从事危险化学品经营的企业应当具备下列条件：</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（一）有符合国家标准、行业标准的经营场所，储存危险化学品的，还应当有符合国家标准、行业标准的储存设施；</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（二）从业人员经过专业技术培训并经考核合格；</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（三）有健全的安全管理规章制度；</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（四）有专职安全管理人员；</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（五）有符合国家规定的危险化学品事故应急预案和必要的应急救援器材、设备；</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（六）法律、法规规定的其他条件。</w:t>
            </w:r>
          </w:p>
        </w:tc>
        <w:tc>
          <w:tcPr>
            <w:tcW w:w="1954"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《危险化学品安全管理条例》第</w:t>
            </w:r>
            <w:r>
              <w:rPr>
                <w:rFonts w:hint="eastAsia"/>
                <w:color w:val="000000" w:themeColor="text1"/>
                <w:lang w:val="zh-CN"/>
                <w14:textFill>
                  <w14:solidFill>
                    <w14:schemeClr w14:val="tx1"/>
                  </w14:solidFill>
                </w14:textFill>
              </w:rPr>
              <w:t>三十四</w:t>
            </w:r>
            <w:r>
              <w:rPr>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加油站储存设施符合规范要求；从业人员</w:t>
            </w:r>
            <w:r>
              <w:rPr>
                <w:rFonts w:hint="eastAsia"/>
                <w:color w:val="000000" w:themeColor="text1"/>
                <w14:textFill>
                  <w14:solidFill>
                    <w14:schemeClr w14:val="tx1"/>
                  </w14:solidFill>
                </w14:textFill>
              </w:rPr>
              <w:t>已</w:t>
            </w:r>
            <w:r>
              <w:rPr>
                <w:rFonts w:hint="eastAsia"/>
                <w:color w:val="000000" w:themeColor="text1"/>
                <w:lang w:val="zh-CN"/>
                <w14:textFill>
                  <w14:solidFill>
                    <w14:schemeClr w14:val="tx1"/>
                  </w14:solidFill>
                </w14:textFill>
              </w:rPr>
              <w:t>经过培训合格；</w:t>
            </w:r>
            <w:r>
              <w:rPr>
                <w:rFonts w:hint="eastAsia"/>
                <w:color w:val="000000" w:themeColor="text1"/>
                <w14:textFill>
                  <w14:solidFill>
                    <w14:schemeClr w14:val="tx1"/>
                  </w14:solidFill>
                </w14:textFill>
              </w:rPr>
              <w:t>加油站</w:t>
            </w:r>
            <w:r>
              <w:rPr>
                <w:rFonts w:hint="eastAsia"/>
                <w:color w:val="000000" w:themeColor="text1"/>
                <w:lang w:val="zh-CN"/>
                <w14:textFill>
                  <w14:solidFill>
                    <w14:schemeClr w14:val="tx1"/>
                  </w14:solidFill>
                </w14:textFill>
              </w:rPr>
              <w:t>有安全管理规章制度及安全管理人员；编制了应急预案，</w:t>
            </w:r>
            <w:r>
              <w:rPr>
                <w:rFonts w:hint="eastAsia"/>
                <w:color w:val="000000" w:themeColor="text1"/>
                <w14:textFill>
                  <w14:solidFill>
                    <w14:schemeClr w14:val="tx1"/>
                  </w14:solidFill>
                </w14:textFill>
              </w:rPr>
              <w:t>配备了</w:t>
            </w:r>
            <w:r>
              <w:rPr>
                <w:rFonts w:hint="eastAsia"/>
                <w:color w:val="000000" w:themeColor="text1"/>
                <w:lang w:val="zh-CN"/>
                <w14:textFill>
                  <w14:solidFill>
                    <w14:schemeClr w14:val="tx1"/>
                  </w14:solidFill>
                </w14:textFill>
              </w:rPr>
              <w:t>应急救援器材、设备。</w:t>
            </w:r>
          </w:p>
        </w:tc>
        <w:tc>
          <w:tcPr>
            <w:tcW w:w="865" w:type="dxa"/>
            <w:vAlign w:val="center"/>
          </w:tcPr>
          <w:p>
            <w:pPr>
              <w:pStyle w:val="77"/>
              <w:rPr>
                <w:color w:val="000000" w:themeColor="text1"/>
                <w:lang w:val="zh-CN"/>
                <w14:textFill>
                  <w14:solidFill>
                    <w14:schemeClr w14:val="tx1"/>
                  </w14:solidFill>
                </w14:textFill>
              </w:rPr>
            </w:pPr>
            <w:r>
              <w:rPr>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restart"/>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特殊作业</w:t>
            </w: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作业单位和生产单位应对作业现场和作业过程中可能存在的危险、有害因素进行辨识，制定相应的安全措施。</w:t>
            </w:r>
          </w:p>
        </w:tc>
        <w:tc>
          <w:tcPr>
            <w:tcW w:w="1954"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《危险化学品企业特殊作业安全规范》（GB 30871—20</w:t>
            </w:r>
            <w:r>
              <w:rPr>
                <w:color w:val="000000" w:themeColor="text1"/>
                <w:lang w:val="zh-CN"/>
                <w14:textFill>
                  <w14:solidFill>
                    <w14:schemeClr w14:val="tx1"/>
                  </w14:solidFill>
                </w14:textFill>
              </w:rPr>
              <w:t>22</w:t>
            </w:r>
            <w:r>
              <w:rPr>
                <w:rFonts w:hint="eastAsia"/>
                <w:color w:val="000000" w:themeColor="text1"/>
                <w:lang w:val="zh-CN"/>
                <w14:textFill>
                  <w14:solidFill>
                    <w14:schemeClr w14:val="tx1"/>
                  </w14:solidFill>
                </w14:textFill>
              </w:rPr>
              <w:t>）4.1条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加油站制定</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相关特殊作业管理制度及审批表。</w:t>
            </w:r>
          </w:p>
        </w:tc>
        <w:tc>
          <w:tcPr>
            <w:tcW w:w="865"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作业前，应对参加作业的人员进行安全教育，主要内容如下：a）有关作业的安全规章制度；</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b）作业现场和作业过程中</w:t>
            </w:r>
            <w:r>
              <w:rPr>
                <w:color w:val="000000" w:themeColor="text1"/>
                <w:lang w:val="zh-CN"/>
                <w14:textFill>
                  <w14:solidFill>
                    <w14:schemeClr w14:val="tx1"/>
                  </w14:solidFill>
                </w14:textFill>
              </w:rPr>
              <w:t>可能存在的危险</w:t>
            </w:r>
            <w:r>
              <w:rPr>
                <w:rFonts w:hint="eastAsia"/>
                <w:color w:val="000000" w:themeColor="text1"/>
                <w:lang w:val="zh-CN"/>
                <w14:textFill>
                  <w14:solidFill>
                    <w14:schemeClr w14:val="tx1"/>
                  </w14:solidFill>
                </w14:textFill>
              </w:rPr>
              <w:t>、有害</w:t>
            </w:r>
            <w:r>
              <w:rPr>
                <w:color w:val="000000" w:themeColor="text1"/>
                <w:lang w:val="zh-CN"/>
                <w14:textFill>
                  <w14:solidFill>
                    <w14:schemeClr w14:val="tx1"/>
                  </w14:solidFill>
                </w14:textFill>
              </w:rPr>
              <w:t>因素及应采取的</w:t>
            </w:r>
            <w:r>
              <w:rPr>
                <w:rFonts w:hint="eastAsia"/>
                <w:color w:val="000000" w:themeColor="text1"/>
                <w:lang w:val="zh-CN"/>
                <w14:textFill>
                  <w14:solidFill>
                    <w14:schemeClr w14:val="tx1"/>
                  </w14:solidFill>
                </w14:textFill>
              </w:rPr>
              <w:t>具体</w:t>
            </w:r>
            <w:r>
              <w:rPr>
                <w:color w:val="000000" w:themeColor="text1"/>
                <w:lang w:val="zh-CN"/>
                <w14:textFill>
                  <w14:solidFill>
                    <w14:schemeClr w14:val="tx1"/>
                  </w14:solidFill>
                </w14:textFill>
              </w:rPr>
              <w:t>安全措施</w:t>
            </w:r>
            <w:r>
              <w:rPr>
                <w:rFonts w:hint="eastAsia"/>
                <w:color w:val="000000" w:themeColor="text1"/>
                <w:lang w:val="zh-CN"/>
                <w14:textFill>
                  <w14:solidFill>
                    <w14:schemeClr w14:val="tx1"/>
                  </w14:solidFill>
                </w14:textFill>
              </w:rPr>
              <w:t>；c）作业过程中所使用的个体防护器具的使用方法及使用注意事项；d）</w:t>
            </w:r>
            <w:r>
              <w:rPr>
                <w:color w:val="000000" w:themeColor="text1"/>
                <w:lang w:val="zh-CN"/>
                <w14:textFill>
                  <w14:solidFill>
                    <w14:schemeClr w14:val="tx1"/>
                  </w14:solidFill>
                </w14:textFill>
              </w:rPr>
              <w:t>事故的预防、避险、逃生、自救、互救等知识</w:t>
            </w:r>
            <w:r>
              <w:rPr>
                <w:rFonts w:hint="eastAsia"/>
                <w:color w:val="000000" w:themeColor="text1"/>
                <w:lang w:val="zh-CN"/>
                <w14:textFill>
                  <w14:solidFill>
                    <w14:schemeClr w14:val="tx1"/>
                  </w14:solidFill>
                </w14:textFill>
              </w:rPr>
              <w:t>；e）相关事故案例和经验、教训。</w:t>
            </w:r>
          </w:p>
        </w:tc>
        <w:tc>
          <w:tcPr>
            <w:tcW w:w="1954"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《危险化学品企业特殊作业安全规范》（GB 30871—20</w:t>
            </w:r>
            <w:r>
              <w:rPr>
                <w:color w:val="000000" w:themeColor="text1"/>
                <w:lang w:val="zh-CN"/>
                <w14:textFill>
                  <w14:solidFill>
                    <w14:schemeClr w14:val="tx1"/>
                  </w14:solidFill>
                </w14:textFill>
              </w:rPr>
              <w:t>22</w:t>
            </w:r>
            <w:r>
              <w:rPr>
                <w:rFonts w:hint="eastAsia"/>
                <w:color w:val="000000" w:themeColor="text1"/>
                <w:lang w:val="zh-CN"/>
                <w14:textFill>
                  <w14:solidFill>
                    <w14:schemeClr w14:val="tx1"/>
                  </w14:solidFill>
                </w14:textFill>
              </w:rPr>
              <w:t>）4.2条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w:t>
            </w:r>
            <w:r>
              <w:rPr>
                <w:rFonts w:hint="eastAsia"/>
                <w:color w:val="000000" w:themeColor="text1"/>
                <w:lang w:val="zh-CN"/>
                <w14:textFill>
                  <w14:solidFill>
                    <w14:schemeClr w14:val="tx1"/>
                  </w14:solidFill>
                </w14:textFill>
              </w:rPr>
              <w:t>已制定</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相关特殊作业管理制度及审批表。</w:t>
            </w:r>
          </w:p>
        </w:tc>
        <w:tc>
          <w:tcPr>
            <w:tcW w:w="865"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5" w:type="dxa"/>
            <w:vMerge w:val="continue"/>
            <w:vAlign w:val="center"/>
          </w:tcPr>
          <w:p>
            <w:pPr>
              <w:pStyle w:val="77"/>
              <w:jc w:val="both"/>
              <w:rPr>
                <w:color w:val="000000" w:themeColor="text1"/>
                <w:lang w:val="zh-CN"/>
                <w14:textFill>
                  <w14:solidFill>
                    <w14:schemeClr w14:val="tx1"/>
                  </w14:solidFill>
                </w14:textFill>
              </w:rPr>
            </w:pPr>
          </w:p>
        </w:tc>
        <w:tc>
          <w:tcPr>
            <w:tcW w:w="4114" w:type="dxa"/>
            <w:vAlign w:val="center"/>
          </w:tcPr>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作业前，作业单位应办理作业审批手续，填写安全作业票（证），并由相关责任人签字确认。</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同一作业涉及两种或两种以上特殊作业时，除应同时执行相应的作业要求外，还应同时办理相应作业的审批手续。</w:t>
            </w:r>
          </w:p>
          <w:p>
            <w:pPr>
              <w:pStyle w:val="77"/>
              <w:jc w:val="both"/>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作业时审批手续应齐全、安全措施应全部落实和确认、作业环境应符合安全要求。作业票（证）审批手续的相关内容参见附录 A。</w:t>
            </w:r>
          </w:p>
        </w:tc>
        <w:tc>
          <w:tcPr>
            <w:tcW w:w="1954"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《危险化学品企业特殊作业安全规范》（GB 30871—20</w:t>
            </w:r>
            <w:r>
              <w:rPr>
                <w:color w:val="000000" w:themeColor="text1"/>
                <w:lang w:val="zh-CN"/>
                <w14:textFill>
                  <w14:solidFill>
                    <w14:schemeClr w14:val="tx1"/>
                  </w14:solidFill>
                </w14:textFill>
              </w:rPr>
              <w:t>22</w:t>
            </w:r>
            <w:r>
              <w:rPr>
                <w:rFonts w:hint="eastAsia"/>
                <w:color w:val="000000" w:themeColor="text1"/>
                <w:lang w:val="zh-CN"/>
                <w14:textFill>
                  <w14:solidFill>
                    <w14:schemeClr w14:val="tx1"/>
                  </w14:solidFill>
                </w14:textFill>
              </w:rPr>
              <w:t>）4.</w:t>
            </w:r>
            <w:r>
              <w:rPr>
                <w:color w:val="000000" w:themeColor="text1"/>
                <w:lang w:val="zh-CN"/>
                <w14:textFill>
                  <w14:solidFill>
                    <w14:schemeClr w14:val="tx1"/>
                  </w14:solidFill>
                </w14:textFill>
              </w:rPr>
              <w:t>7</w:t>
            </w:r>
            <w:r>
              <w:rPr>
                <w:rFonts w:hint="eastAsia"/>
                <w:color w:val="000000" w:themeColor="text1"/>
                <w:lang w:val="zh-CN"/>
                <w14:textFill>
                  <w14:solidFill>
                    <w14:schemeClr w14:val="tx1"/>
                  </w14:solidFill>
                </w14:textFill>
              </w:rPr>
              <w:t>条</w:t>
            </w:r>
          </w:p>
        </w:tc>
        <w:tc>
          <w:tcPr>
            <w:tcW w:w="1673"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加油站</w:t>
            </w:r>
            <w:r>
              <w:rPr>
                <w:rFonts w:hint="eastAsia"/>
                <w:color w:val="000000" w:themeColor="text1"/>
                <w:lang w:val="zh-CN"/>
                <w14:textFill>
                  <w14:solidFill>
                    <w14:schemeClr w14:val="tx1"/>
                  </w14:solidFill>
                </w14:textFill>
              </w:rPr>
              <w:t>已制定</w:t>
            </w:r>
            <w:r>
              <w:rPr>
                <w:rFonts w:hint="eastAsia"/>
                <w:color w:val="000000" w:themeColor="text1"/>
                <w14:textFill>
                  <w14:solidFill>
                    <w14:schemeClr w14:val="tx1"/>
                  </w14:solidFill>
                </w14:textFill>
              </w:rPr>
              <w:t>了</w:t>
            </w:r>
            <w:r>
              <w:rPr>
                <w:rFonts w:hint="eastAsia"/>
                <w:color w:val="000000" w:themeColor="text1"/>
                <w:lang w:val="zh-CN"/>
                <w14:textFill>
                  <w14:solidFill>
                    <w14:schemeClr w14:val="tx1"/>
                  </w14:solidFill>
                </w14:textFill>
              </w:rPr>
              <w:t>相关特殊作业管理制度及审批表。</w:t>
            </w:r>
          </w:p>
        </w:tc>
        <w:tc>
          <w:tcPr>
            <w:tcW w:w="865" w:type="dxa"/>
            <w:vAlign w:val="center"/>
          </w:tcPr>
          <w:p>
            <w:pPr>
              <w:pStyle w:val="77"/>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符合</w:t>
            </w:r>
          </w:p>
        </w:tc>
      </w:tr>
    </w:tbl>
    <w:p>
      <w:pPr>
        <w:pStyle w:val="45"/>
        <w:ind w:firstLine="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安全管理检查结果：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该加油站建立相关管理制度及安全操作规程。成立安全管理领导小组并任命有安全管理员，安全管理组织机构及人员满足加油站的运行要求。加油站成立事故应急救援小组，配备有救援器材，配备的救援器材满足加油站应急救援的需要。</w:t>
      </w:r>
    </w:p>
    <w:p>
      <w:pPr>
        <w:pStyle w:val="3"/>
        <w:rPr>
          <w:color w:val="000000" w:themeColor="text1"/>
          <w14:textFill>
            <w14:solidFill>
              <w14:schemeClr w14:val="tx1"/>
            </w14:solidFill>
          </w14:textFill>
        </w:rPr>
      </w:pPr>
      <w:bookmarkStart w:id="403" w:name="_Toc21870"/>
      <w:bookmarkStart w:id="404" w:name="_Hlk119859094"/>
      <w:bookmarkStart w:id="405" w:name="_Hlk85721837"/>
      <w:r>
        <w:rPr>
          <w:rFonts w:hint="eastAsia"/>
          <w:color w:val="000000" w:themeColor="text1"/>
          <w14:textFill>
            <w14:solidFill>
              <w14:schemeClr w14:val="tx1"/>
            </w14:solidFill>
          </w14:textFill>
        </w:rPr>
        <w:t>重大事故隐患分析评价</w:t>
      </w:r>
      <w:bookmarkEnd w:id="403"/>
    </w:p>
    <w:bookmarkEnd w:id="404"/>
    <w:p>
      <w:pPr>
        <w:rPr>
          <w:color w:val="000000" w:themeColor="text1"/>
          <w14:textFill>
            <w14:solidFill>
              <w14:schemeClr w14:val="tx1"/>
            </w14:solidFill>
          </w14:textFill>
        </w:rPr>
      </w:pPr>
      <w:bookmarkStart w:id="406" w:name="_Hlk85715252"/>
      <w:r>
        <w:rPr>
          <w:rFonts w:hint="eastAsia"/>
          <w:color w:val="000000" w:themeColor="text1"/>
          <w14:textFill>
            <w14:solidFill>
              <w14:schemeClr w14:val="tx1"/>
            </w14:solidFill>
          </w14:textFill>
        </w:rPr>
        <w:t>根据《化工和危险化学品生产经营单位重大生产安全事故隐患判定标准（试行）》的要求，对</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重大生产安全事故隐患进行排查</w:t>
      </w:r>
      <w:bookmarkEnd w:id="406"/>
      <w:r>
        <w:rPr>
          <w:rFonts w:hint="eastAsia"/>
          <w:color w:val="000000" w:themeColor="text1"/>
          <w14:textFill>
            <w14:solidFill>
              <w14:schemeClr w14:val="tx1"/>
            </w14:solidFill>
          </w14:textFill>
        </w:rPr>
        <w:t>，具体见表6-7。</w:t>
      </w:r>
    </w:p>
    <w:p>
      <w:pPr>
        <w:pStyle w:val="78"/>
        <w:rPr>
          <w:color w:val="000000" w:themeColor="text1"/>
          <w14:textFill>
            <w14:solidFill>
              <w14:schemeClr w14:val="tx1"/>
            </w14:solidFill>
          </w14:textFill>
        </w:rPr>
      </w:pPr>
      <w:r>
        <w:rPr>
          <w:rFonts w:hint="eastAsia"/>
          <w:color w:val="000000" w:themeColor="text1"/>
          <w14:textFill>
            <w14:solidFill>
              <w14:schemeClr w14:val="tx1"/>
            </w14:solidFill>
          </w14:textFill>
        </w:rPr>
        <w:t>表6-7</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重大生产安全事故隐患检查表</w:t>
      </w:r>
    </w:p>
    <w:tbl>
      <w:tblPr>
        <w:tblStyle w:val="3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3809"/>
        <w:gridCol w:w="3366"/>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96"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809"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检查内容</w:t>
            </w:r>
          </w:p>
        </w:tc>
        <w:tc>
          <w:tcPr>
            <w:tcW w:w="3366"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实际情况</w:t>
            </w:r>
          </w:p>
        </w:tc>
        <w:tc>
          <w:tcPr>
            <w:tcW w:w="1200" w:type="dxa"/>
            <w:vAlign w:val="center"/>
          </w:tcPr>
          <w:p>
            <w:pPr>
              <w:pStyle w:val="77"/>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危险化学品生产、经营单位主要负责人和安全生产管理人员未依法经考核合格。</w:t>
            </w:r>
          </w:p>
        </w:tc>
        <w:tc>
          <w:tcPr>
            <w:tcW w:w="3366" w:type="dxa"/>
            <w:vAlign w:val="center"/>
          </w:tcPr>
          <w:p>
            <w:pPr>
              <w:pStyle w:val="77"/>
              <w:rPr>
                <w:color w:val="000000" w:themeColor="text1"/>
                <w14:textFill>
                  <w14:solidFill>
                    <w14:schemeClr w14:val="tx1"/>
                  </w14:solidFill>
                </w14:textFill>
              </w:rPr>
            </w:pPr>
            <w:bookmarkStart w:id="407" w:name="_Hlk85715515"/>
            <w:r>
              <w:rPr>
                <w:rFonts w:hint="eastAsia"/>
                <w:color w:val="000000" w:themeColor="text1"/>
                <w14:textFill>
                  <w14:solidFill>
                    <w14:schemeClr w14:val="tx1"/>
                  </w14:solidFill>
                </w14:textFill>
              </w:rPr>
              <w:t>主要负责人和安全生产管理人员</w:t>
            </w:r>
            <w:bookmarkStart w:id="408" w:name="_Hlk85715675"/>
            <w:r>
              <w:rPr>
                <w:rFonts w:hint="eastAsia"/>
                <w:color w:val="000000" w:themeColor="text1"/>
                <w14:textFill>
                  <w14:solidFill>
                    <w14:schemeClr w14:val="tx1"/>
                  </w14:solidFill>
                </w14:textFill>
              </w:rPr>
              <w:t>依法经考核合格，持证上岗</w:t>
            </w:r>
            <w:bookmarkEnd w:id="407"/>
            <w:bookmarkEnd w:id="408"/>
            <w:r>
              <w:rPr>
                <w:rFonts w:hint="eastAsia"/>
                <w:color w:val="000000" w:themeColor="text1"/>
                <w14:textFill>
                  <w14:solidFill>
                    <w14:schemeClr w14:val="tx1"/>
                  </w14:solidFill>
                </w14:textFill>
              </w:rPr>
              <w:t>。</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特种作业人员未持证上岗。</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加油站特种作业人员委托有资质人员进行。</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涉及“两重点一重大”的生产装置、储存设施外部安全防护距离不符合国家标准要求。</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汽油储存设施外部安全防护距离符合国家标准要求。</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涉及重点监管危险化工工艺的装置未实现自动化控制，系统未实现紧急停车功能，装备的自动化控制系统、紧急停车系统未投入使用。</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无重点监管危险化工工艺的装置。</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构成一级、二级重大危险源的危险化学品罐区未实现紧急切断功能；涉及毒性气体、液化气体、剧毒液体的一级、二级重大危险源的危险化学品罐区未配备独立的安全仪表系统。</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危险化学品储存数量未构成危险化学品重大危险源。</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全压力式液化烃储罐未按国家标准设置注水措施。</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无全压力式液化烃储罐。</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液化烃、液氨、液氯等易燃易爆、有毒有害液化气体的充装未使用万向管道充装系统。</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无液化烃、液氨、液氯等易燃易爆、有毒有害液化气体的充装。</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光气、氯气等剧毒气体及硫化氢气体管道穿越除厂区（包括化工园区、工业园区）外的公共区域。</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无光气、氯气等剧毒气体及硫化氢气体管道。</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地区架空电力线路穿越生产区且不符合国家标准要求。</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无地区架空电力线路穿越加油站的加油作业区。</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在役化工装置未经正规设计且未进行安全设计诊断。</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加油站不属于化工装置。</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11</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使用淘汰落后安全技术工艺、设备目录列出的工艺、设备。</w:t>
            </w:r>
          </w:p>
        </w:tc>
        <w:tc>
          <w:tcPr>
            <w:tcW w:w="3366" w:type="dxa"/>
            <w:vAlign w:val="center"/>
          </w:tcPr>
          <w:p>
            <w:pPr>
              <w:pStyle w:val="77"/>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不涉及</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12</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涉及可燃和有毒有害气体泄漏的场所未按国家标准设置检测报警装置，爆炸危险场所未按国家标准安装使用防爆电气设备。</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不涉及有毒有害气体泄漏的场所；油罐采用防爆潜油泵、加油作业区内采用防爆电气设备。</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13</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控制室或机柜间面向具有火灾、爆炸危险性装置一侧不满足国家标准关于防火防爆的要求。</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加油站无控制室或机柜间。</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14</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化工生产装置未按国家标准要求设置双重电源供电，自动化控制系统未设置不间断电源。</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站内不涉及化工生产装置。</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安全阀、爆破片等安全附件未正常投用。</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站内不涉及带压容器。</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16</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与岗位相匹配的全员安全生产责任制或者未制定实施生产安全事故隐患排查治理制度。</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制定有安全生产责任制和生产安全事故隐患排查治理制度。</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17</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未制定操作规程和工艺控制指标。</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制定有操作规程，液位、渗漏在线监测设有工艺控制指标。</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18</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未按照国家标准制定动火、进入受限空间等特殊作业管理制度，或者制度未有效执行。</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制定有动火、进入受限空间等特殊作业管理制度并按要求执行。</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19</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不属于新开发的危险化学品生产工艺。</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3809"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未按国家标准分区分类储存危险化学品，超量、超品种储存危险化学品，相互禁配物质混放混存。</w:t>
            </w:r>
          </w:p>
        </w:tc>
        <w:tc>
          <w:tcPr>
            <w:tcW w:w="3366"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每个油罐储存一种油品，油罐设置超液位报警，不存在超量、超品种储存，不存在相互禁配物质混放混存。</w:t>
            </w:r>
          </w:p>
        </w:tc>
        <w:tc>
          <w:tcPr>
            <w:tcW w:w="1200" w:type="dxa"/>
            <w:vAlign w:val="center"/>
          </w:tcPr>
          <w:p>
            <w:pPr>
              <w:pStyle w:val="77"/>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bookmarkEnd w:id="405"/>
    </w:tbl>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通过检查分析，</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现阶段无重大生产安全事故隐患。</w:t>
      </w:r>
    </w:p>
    <w:p>
      <w:pPr>
        <w:pStyle w:val="3"/>
        <w:rPr>
          <w:color w:val="000000" w:themeColor="text1"/>
          <w14:textFill>
            <w14:solidFill>
              <w14:schemeClr w14:val="tx1"/>
            </w14:solidFill>
          </w14:textFill>
        </w:rPr>
      </w:pPr>
      <w:bookmarkStart w:id="409" w:name="_Toc17141"/>
      <w:r>
        <w:rPr>
          <w:rFonts w:hint="eastAsia"/>
          <w:color w:val="000000" w:themeColor="text1"/>
          <w14:textFill>
            <w14:solidFill>
              <w14:schemeClr w14:val="tx1"/>
            </w14:solidFill>
          </w14:textFill>
        </w:rPr>
        <w:t>各单元评价小结</w:t>
      </w:r>
      <w:bookmarkEnd w:id="409"/>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（1）外部安全条件单元：该加油站周边环境对加油站的影响在可接受范围内，所在地的自然条件对加油站运行的影响在可接受和可控制的范围内。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（2）平面布置单元：</w:t>
      </w:r>
      <w:r>
        <w:rPr>
          <w:color w:val="000000" w:themeColor="text1"/>
          <w14:textFill>
            <w14:solidFill>
              <w14:schemeClr w14:val="tx1"/>
            </w14:solidFill>
          </w14:textFill>
        </w:rPr>
        <w:t>该</w:t>
      </w:r>
      <w:r>
        <w:rPr>
          <w:rFonts w:hint="eastAsia"/>
          <w:color w:val="000000" w:themeColor="text1"/>
          <w14:textFill>
            <w14:solidFill>
              <w14:schemeClr w14:val="tx1"/>
            </w14:solidFill>
          </w14:textFill>
        </w:rPr>
        <w:t>加油站的</w:t>
      </w:r>
      <w:r>
        <w:rPr>
          <w:color w:val="000000" w:themeColor="text1"/>
          <w14:textFill>
            <w14:solidFill>
              <w14:schemeClr w14:val="tx1"/>
            </w14:solidFill>
          </w14:textFill>
        </w:rPr>
        <w:t>平面布置</w:t>
      </w:r>
      <w:r>
        <w:rPr>
          <w:rFonts w:hint="eastAsia"/>
          <w:color w:val="000000" w:themeColor="text1"/>
          <w14:textFill>
            <w14:solidFill>
              <w14:schemeClr w14:val="tx1"/>
            </w14:solidFill>
          </w14:textFill>
        </w:rPr>
        <w:t>合理，功能设置分区划分明确，总体布置</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《汽车加油加气加氢站技术标准》（GB50156-2021）的</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工艺及设施单元：加油站采用的技术为国内成熟的加油工艺，油罐采用埋地设置，采用潜油泵供油工艺，设置有加油站设置汽油卸油油气回收系统和汽油加油油气回收系统。设备的安全、可靠性均能满足加油站的正常经营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（4）公用工程单元：该加油站采用外接电源供电，加油站的供排水、供配电均能够满足加油站正常经营的要求。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（5）安全设施单元：该加油站设置的安全设施符合《汽车加油加气加氢站技术标准》（GB50156-2021）的要求。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（6）安全管理单元：该加油站建立了相应的安全管理组织，制定了相应的安全管理规章制度。配备的救援器材满足加油站应急救援的需要。</w:t>
      </w:r>
    </w:p>
    <w:p>
      <w:pPr>
        <w:rPr>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r>
        <w:rPr>
          <w:rFonts w:hint="eastAsia"/>
          <w:color w:val="000000" w:themeColor="text1"/>
          <w14:textFill>
            <w14:solidFill>
              <w14:schemeClr w14:val="tx1"/>
            </w14:solidFill>
          </w14:textFill>
        </w:rPr>
        <w:t>（7）重大事故隐患分析评价单元：该加油站现阶段无重大生产安全事故隐患。</w:t>
      </w:r>
    </w:p>
    <w:bookmarkEnd w:id="402"/>
    <w:p>
      <w:pPr>
        <w:pStyle w:val="2"/>
        <w:spacing w:before="193" w:after="193"/>
        <w:rPr>
          <w:color w:val="000000" w:themeColor="text1"/>
          <w14:textFill>
            <w14:solidFill>
              <w14:schemeClr w14:val="tx1"/>
            </w14:solidFill>
          </w14:textFill>
        </w:rPr>
      </w:pPr>
      <w:bookmarkStart w:id="410" w:name="_Toc15786"/>
      <w:r>
        <w:rPr>
          <w:rFonts w:hint="eastAsia"/>
          <w:color w:val="000000" w:themeColor="text1"/>
          <w14:textFill>
            <w14:solidFill>
              <w14:schemeClr w14:val="tx1"/>
            </w14:solidFill>
          </w14:textFill>
        </w:rPr>
        <w:t>安全对策措施及建议</w:t>
      </w:r>
      <w:bookmarkEnd w:id="410"/>
    </w:p>
    <w:p>
      <w:pPr>
        <w:pStyle w:val="3"/>
        <w:rPr>
          <w:color w:val="000000" w:themeColor="text1"/>
          <w14:textFill>
            <w14:solidFill>
              <w14:schemeClr w14:val="tx1"/>
            </w14:solidFill>
          </w14:textFill>
        </w:rPr>
      </w:pPr>
      <w:bookmarkStart w:id="411" w:name="_Toc10468"/>
      <w:r>
        <w:rPr>
          <w:rFonts w:hint="eastAsia"/>
          <w:color w:val="000000" w:themeColor="text1"/>
          <w14:textFill>
            <w14:solidFill>
              <w14:schemeClr w14:val="tx1"/>
            </w14:solidFill>
          </w14:textFill>
        </w:rPr>
        <w:t>存在问题及整改建议</w:t>
      </w:r>
      <w:bookmarkEnd w:id="411"/>
    </w:p>
    <w:p>
      <w:pPr>
        <w:pStyle w:val="4"/>
        <w:ind w:firstLine="562"/>
        <w:rPr>
          <w:color w:val="000000" w:themeColor="text1"/>
          <w14:textFill>
            <w14:solidFill>
              <w14:schemeClr w14:val="tx1"/>
            </w14:solidFill>
          </w14:textFill>
        </w:rPr>
      </w:pPr>
      <w:bookmarkStart w:id="412" w:name="_Toc9624"/>
      <w:r>
        <w:rPr>
          <w:rFonts w:hint="eastAsia"/>
          <w:color w:val="000000" w:themeColor="text1"/>
          <w14:textFill>
            <w14:solidFill>
              <w14:schemeClr w14:val="tx1"/>
            </w14:solidFill>
          </w14:textFill>
        </w:rPr>
        <w:t>存在问题</w:t>
      </w:r>
      <w:bookmarkEnd w:id="412"/>
    </w:p>
    <w:p>
      <w:pPr>
        <w:tabs>
          <w:tab w:val="center" w:pos="4252"/>
        </w:tabs>
        <w:adjustRightInd w:val="0"/>
        <w:snapToGrid w:val="0"/>
        <w:spacing w:line="500" w:lineRule="exact"/>
        <w:ind w:firstLine="560" w:firstLineChars="200"/>
        <w:rPr>
          <w:rFonts w:hint="default" w:ascii="Times New Roman" w:hAnsi="Times New Roman" w:cs="Times New Roman"/>
          <w:b w:val="0"/>
          <w:bCs w:val="0"/>
          <w:color w:val="auto"/>
          <w:sz w:val="28"/>
          <w:szCs w:val="32"/>
          <w:lang w:val="en-US" w:eastAsia="zh-CN"/>
        </w:rPr>
      </w:pPr>
      <w:bookmarkStart w:id="413" w:name="_Hlk112254985"/>
      <w:r>
        <w:rPr>
          <w:rFonts w:hint="default" w:ascii="Times New Roman" w:hAnsi="Times New Roman" w:cs="Times New Roman"/>
          <w:b w:val="0"/>
          <w:bCs w:val="0"/>
          <w:color w:val="auto"/>
          <w:sz w:val="28"/>
          <w:szCs w:val="32"/>
          <w:lang w:val="en-US" w:eastAsia="zh-CN"/>
        </w:rPr>
        <w:t>1</w:t>
      </w:r>
      <w:r>
        <w:rPr>
          <w:rFonts w:hint="eastAsia" w:ascii="Times New Roman" w:hAnsi="Times New Roman" w:cs="Times New Roman"/>
          <w:b w:val="0"/>
          <w:bCs w:val="0"/>
          <w:color w:val="auto"/>
          <w:sz w:val="28"/>
          <w:szCs w:val="32"/>
          <w:lang w:val="en-US" w:eastAsia="zh-CN"/>
        </w:rPr>
        <w:t>.</w:t>
      </w:r>
      <w:r>
        <w:rPr>
          <w:rFonts w:hint="default" w:ascii="Times New Roman" w:hAnsi="Times New Roman" w:cs="Times New Roman"/>
          <w:b w:val="0"/>
          <w:bCs w:val="0"/>
          <w:color w:val="auto"/>
          <w:sz w:val="28"/>
          <w:szCs w:val="32"/>
          <w:lang w:val="en-US" w:eastAsia="zh-CN"/>
        </w:rPr>
        <w:t>油罐操作井内</w:t>
      </w:r>
      <w:r>
        <w:rPr>
          <w:rFonts w:hint="eastAsia" w:ascii="Times New Roman" w:hAnsi="Times New Roman" w:cs="Times New Roman"/>
          <w:b w:val="0"/>
          <w:bCs w:val="0"/>
          <w:color w:val="auto"/>
          <w:sz w:val="28"/>
          <w:szCs w:val="32"/>
          <w:lang w:val="en-US" w:eastAsia="zh-CN"/>
        </w:rPr>
        <w:t>灰尘、杂物</w:t>
      </w:r>
      <w:r>
        <w:rPr>
          <w:rFonts w:hint="default" w:ascii="Times New Roman" w:hAnsi="Times New Roman" w:cs="Times New Roman"/>
          <w:b w:val="0"/>
          <w:bCs w:val="0"/>
          <w:color w:val="auto"/>
          <w:sz w:val="28"/>
          <w:szCs w:val="32"/>
          <w:lang w:val="en-US" w:eastAsia="zh-CN"/>
        </w:rPr>
        <w:t>未及时清理；</w:t>
      </w:r>
    </w:p>
    <w:p>
      <w:pPr>
        <w:tabs>
          <w:tab w:val="center" w:pos="4252"/>
        </w:tabs>
        <w:adjustRightInd w:val="0"/>
        <w:snapToGrid w:val="0"/>
        <w:spacing w:line="500" w:lineRule="exact"/>
        <w:ind w:firstLine="560" w:firstLineChars="200"/>
        <w:rPr>
          <w:rFonts w:hint="default" w:ascii="Times New Roman" w:hAnsi="Times New Roman" w:cs="Times New Roman"/>
          <w:b w:val="0"/>
          <w:bCs w:val="0"/>
          <w:color w:val="auto"/>
          <w:sz w:val="28"/>
          <w:szCs w:val="32"/>
          <w:lang w:val="en-US" w:eastAsia="zh-CN"/>
        </w:rPr>
      </w:pPr>
      <w:r>
        <w:rPr>
          <w:rFonts w:hint="default" w:ascii="Times New Roman" w:hAnsi="Times New Roman" w:cs="Times New Roman"/>
          <w:b w:val="0"/>
          <w:bCs w:val="0"/>
          <w:color w:val="auto"/>
          <w:sz w:val="28"/>
          <w:szCs w:val="32"/>
          <w:lang w:val="en-US" w:eastAsia="zh-CN"/>
        </w:rPr>
        <w:t>2</w:t>
      </w:r>
      <w:r>
        <w:rPr>
          <w:rFonts w:hint="eastAsia" w:ascii="Times New Roman" w:hAnsi="Times New Roman" w:cs="Times New Roman"/>
          <w:b w:val="0"/>
          <w:bCs w:val="0"/>
          <w:color w:val="auto"/>
          <w:sz w:val="28"/>
          <w:szCs w:val="32"/>
          <w:lang w:val="en-US" w:eastAsia="zh-CN"/>
        </w:rPr>
        <w:t>.</w:t>
      </w:r>
      <w:r>
        <w:rPr>
          <w:rFonts w:hint="default" w:ascii="Times New Roman" w:hAnsi="Times New Roman" w:cs="Times New Roman"/>
          <w:b w:val="0"/>
          <w:bCs w:val="0"/>
          <w:color w:val="auto"/>
          <w:sz w:val="28"/>
          <w:szCs w:val="32"/>
          <w:lang w:val="en-US" w:eastAsia="zh-CN"/>
        </w:rPr>
        <w:t>发配电室使用易燃的木制材料做挡鼠板；</w:t>
      </w:r>
    </w:p>
    <w:p>
      <w:pPr>
        <w:tabs>
          <w:tab w:val="center" w:pos="4252"/>
        </w:tabs>
        <w:adjustRightInd w:val="0"/>
        <w:snapToGrid w:val="0"/>
        <w:spacing w:line="500" w:lineRule="exact"/>
        <w:ind w:firstLine="560" w:firstLineChars="200"/>
        <w:rPr>
          <w:rFonts w:hint="default" w:ascii="Times New Roman" w:hAnsi="Times New Roman" w:cs="Times New Roman"/>
          <w:b w:val="0"/>
          <w:bCs w:val="0"/>
          <w:color w:val="auto"/>
          <w:sz w:val="28"/>
          <w:szCs w:val="32"/>
          <w:lang w:eastAsia="zh-CN"/>
        </w:rPr>
      </w:pPr>
      <w:r>
        <w:rPr>
          <w:rFonts w:hint="default" w:ascii="Times New Roman" w:hAnsi="Times New Roman" w:cs="Times New Roman"/>
          <w:b w:val="0"/>
          <w:bCs w:val="0"/>
          <w:color w:val="auto"/>
          <w:sz w:val="28"/>
          <w:szCs w:val="32"/>
          <w:lang w:eastAsia="zh-CN"/>
        </w:rPr>
        <w:t>3</w:t>
      </w:r>
      <w:r>
        <w:rPr>
          <w:rFonts w:hint="eastAsia" w:ascii="Times New Roman" w:hAnsi="Times New Roman" w:cs="Times New Roman"/>
          <w:b w:val="0"/>
          <w:bCs w:val="0"/>
          <w:color w:val="auto"/>
          <w:sz w:val="28"/>
          <w:szCs w:val="32"/>
          <w:lang w:val="en-US" w:eastAsia="zh-CN"/>
        </w:rPr>
        <w:t>.安全培训教育记录上</w:t>
      </w:r>
      <w:r>
        <w:rPr>
          <w:rFonts w:hint="default" w:ascii="Times New Roman" w:hAnsi="Times New Roman" w:cs="Times New Roman"/>
          <w:b w:val="0"/>
          <w:bCs w:val="0"/>
          <w:color w:val="auto"/>
          <w:sz w:val="28"/>
          <w:szCs w:val="32"/>
          <w:lang w:val="en-US" w:eastAsia="zh-CN"/>
        </w:rPr>
        <w:t>部分参会人员未签字</w:t>
      </w:r>
      <w:r>
        <w:rPr>
          <w:rFonts w:hint="default" w:ascii="Times New Roman" w:hAnsi="Times New Roman" w:cs="Times New Roman"/>
          <w:b w:val="0"/>
          <w:bCs w:val="0"/>
          <w:color w:val="auto"/>
          <w:sz w:val="28"/>
          <w:szCs w:val="32"/>
          <w:lang w:eastAsia="zh-CN"/>
        </w:rPr>
        <w:t>；</w:t>
      </w:r>
    </w:p>
    <w:p>
      <w:pPr>
        <w:tabs>
          <w:tab w:val="center" w:pos="4252"/>
        </w:tabs>
        <w:adjustRightInd w:val="0"/>
        <w:snapToGrid w:val="0"/>
        <w:spacing w:line="500" w:lineRule="exact"/>
        <w:ind w:firstLine="560" w:firstLineChars="200"/>
        <w:rPr>
          <w:rFonts w:hint="default" w:ascii="Times New Roman" w:hAnsi="Times New Roman" w:eastAsia="宋体" w:cs="Times New Roman"/>
          <w:b w:val="0"/>
          <w:bCs w:val="0"/>
          <w:color w:val="auto"/>
          <w:sz w:val="28"/>
          <w:szCs w:val="32"/>
          <w:lang w:val="en-US" w:eastAsia="zh-CN"/>
        </w:rPr>
      </w:pPr>
      <w:r>
        <w:rPr>
          <w:rFonts w:hint="default" w:ascii="Times New Roman" w:hAnsi="Times New Roman" w:cs="Times New Roman"/>
          <w:b w:val="0"/>
          <w:bCs w:val="0"/>
          <w:color w:val="auto"/>
          <w:sz w:val="28"/>
          <w:szCs w:val="32"/>
          <w:lang w:eastAsia="zh-CN"/>
        </w:rPr>
        <w:t>4</w:t>
      </w:r>
      <w:r>
        <w:rPr>
          <w:rFonts w:hint="eastAsia" w:ascii="Times New Roman" w:hAnsi="Times New Roman" w:cs="Times New Roman"/>
          <w:b w:val="0"/>
          <w:bCs w:val="0"/>
          <w:color w:val="auto"/>
          <w:sz w:val="28"/>
          <w:szCs w:val="32"/>
          <w:lang w:val="en-US" w:eastAsia="zh-CN"/>
        </w:rPr>
        <w:t>.</w:t>
      </w:r>
      <w:r>
        <w:rPr>
          <w:rFonts w:hint="default" w:ascii="Times New Roman" w:hAnsi="Times New Roman" w:cs="Times New Roman"/>
          <w:b w:val="0"/>
          <w:bCs w:val="0"/>
          <w:color w:val="auto"/>
          <w:sz w:val="28"/>
          <w:szCs w:val="32"/>
          <w:lang w:val="en-US" w:eastAsia="zh-CN"/>
        </w:rPr>
        <w:t>卸油区无卸油操作规程</w:t>
      </w:r>
      <w:r>
        <w:rPr>
          <w:rFonts w:hint="eastAsia" w:ascii="Times New Roman" w:hAnsi="Times New Roman" w:cs="Times New Roman"/>
          <w:b w:val="0"/>
          <w:bCs w:val="0"/>
          <w:color w:val="auto"/>
          <w:sz w:val="28"/>
          <w:szCs w:val="32"/>
          <w:lang w:val="en-US" w:eastAsia="zh-CN"/>
        </w:rPr>
        <w:t>；</w:t>
      </w:r>
    </w:p>
    <w:p>
      <w:pPr>
        <w:rPr>
          <w:color w:val="000000" w:themeColor="text1"/>
          <w14:textFill>
            <w14:solidFill>
              <w14:schemeClr w14:val="tx1"/>
            </w14:solidFill>
          </w14:textFill>
        </w:rPr>
      </w:pPr>
      <w:r>
        <w:rPr>
          <w:rFonts w:hint="default" w:ascii="Times New Roman" w:hAnsi="Times New Roman" w:cs="Times New Roman"/>
          <w:b w:val="0"/>
          <w:bCs w:val="0"/>
          <w:color w:val="auto"/>
          <w:sz w:val="28"/>
          <w:szCs w:val="32"/>
          <w:lang w:eastAsia="zh-CN"/>
        </w:rPr>
        <w:t>5</w:t>
      </w:r>
      <w:r>
        <w:rPr>
          <w:rFonts w:hint="eastAsia" w:ascii="Times New Roman" w:hAnsi="Times New Roman" w:cs="Times New Roman"/>
          <w:b w:val="0"/>
          <w:bCs w:val="0"/>
          <w:color w:val="auto"/>
          <w:sz w:val="28"/>
          <w:szCs w:val="32"/>
          <w:lang w:val="en-US" w:eastAsia="zh-CN"/>
        </w:rPr>
        <w:t>.</w:t>
      </w:r>
      <w:r>
        <w:rPr>
          <w:rFonts w:hint="default" w:ascii="Times New Roman" w:hAnsi="Times New Roman" w:cs="Times New Roman"/>
          <w:b w:val="0"/>
          <w:bCs w:val="0"/>
          <w:color w:val="auto"/>
          <w:sz w:val="28"/>
          <w:szCs w:val="32"/>
          <w:lang w:val="en-US" w:eastAsia="zh-CN"/>
        </w:rPr>
        <w:t>发配电室房门上未设置标识</w:t>
      </w:r>
      <w:r>
        <w:rPr>
          <w:rFonts w:hint="eastAsia"/>
          <w:color w:val="000000" w:themeColor="text1"/>
          <w14:textFill>
            <w14:solidFill>
              <w14:schemeClr w14:val="tx1"/>
            </w14:solidFill>
          </w14:textFill>
        </w:rPr>
        <w:t>。</w:t>
      </w:r>
    </w:p>
    <w:bookmarkEnd w:id="413"/>
    <w:p>
      <w:pPr>
        <w:pStyle w:val="4"/>
        <w:ind w:firstLine="562"/>
        <w:rPr>
          <w:color w:val="000000" w:themeColor="text1"/>
          <w14:textFill>
            <w14:solidFill>
              <w14:schemeClr w14:val="tx1"/>
            </w14:solidFill>
          </w14:textFill>
        </w:rPr>
      </w:pPr>
      <w:bookmarkStart w:id="414" w:name="_Toc17152"/>
      <w:r>
        <w:rPr>
          <w:rFonts w:hint="eastAsia"/>
          <w:color w:val="000000" w:themeColor="text1"/>
          <w14:textFill>
            <w14:solidFill>
              <w14:schemeClr w14:val="tx1"/>
            </w14:solidFill>
          </w14:textFill>
        </w:rPr>
        <w:t>存在问题的整改建议</w:t>
      </w:r>
      <w:bookmarkEnd w:id="414"/>
    </w:p>
    <w:p>
      <w:pPr>
        <w:tabs>
          <w:tab w:val="center" w:pos="4252"/>
        </w:tabs>
        <w:adjustRightInd w:val="0"/>
        <w:snapToGrid w:val="0"/>
        <w:spacing w:line="500" w:lineRule="exact"/>
        <w:ind w:firstLine="560" w:firstLineChars="200"/>
        <w:rPr>
          <w:rFonts w:hint="eastAsia" w:ascii="Times New Roman" w:hAnsi="Times New Roman" w:eastAsia="宋体" w:cs="Times New Roman"/>
          <w:b w:val="0"/>
          <w:bCs w:val="0"/>
          <w:color w:val="auto"/>
          <w:sz w:val="28"/>
          <w:szCs w:val="32"/>
          <w:lang w:val="en-US" w:eastAsia="zh-CN"/>
        </w:rPr>
      </w:pPr>
      <w:r>
        <w:rPr>
          <w:rFonts w:hint="eastAsia" w:ascii="Times New Roman" w:hAnsi="Times New Roman" w:eastAsia="宋体" w:cs="Times New Roman"/>
          <w:b w:val="0"/>
          <w:bCs w:val="0"/>
          <w:color w:val="auto"/>
          <w:sz w:val="28"/>
          <w:szCs w:val="32"/>
          <w:lang w:val="en-US" w:eastAsia="zh-CN"/>
        </w:rPr>
        <w:t>1.清理油罐操作井内灰尘、杂物；</w:t>
      </w:r>
    </w:p>
    <w:p>
      <w:pPr>
        <w:tabs>
          <w:tab w:val="center" w:pos="4252"/>
        </w:tabs>
        <w:adjustRightInd w:val="0"/>
        <w:snapToGrid w:val="0"/>
        <w:spacing w:line="500" w:lineRule="exact"/>
        <w:ind w:firstLine="560" w:firstLineChars="200"/>
        <w:rPr>
          <w:rFonts w:hint="eastAsia" w:ascii="Times New Roman" w:hAnsi="Times New Roman" w:eastAsia="宋体" w:cs="Times New Roman"/>
          <w:b w:val="0"/>
          <w:bCs w:val="0"/>
          <w:color w:val="auto"/>
          <w:sz w:val="28"/>
          <w:szCs w:val="32"/>
          <w:lang w:val="en-US" w:eastAsia="zh-CN"/>
        </w:rPr>
      </w:pPr>
      <w:r>
        <w:rPr>
          <w:rFonts w:hint="eastAsia" w:ascii="Times New Roman" w:hAnsi="Times New Roman" w:eastAsia="宋体" w:cs="Times New Roman"/>
          <w:b w:val="0"/>
          <w:bCs w:val="0"/>
          <w:color w:val="auto"/>
          <w:sz w:val="28"/>
          <w:szCs w:val="32"/>
          <w:lang w:val="en-US" w:eastAsia="zh-CN"/>
        </w:rPr>
        <w:t>2.将木</w:t>
      </w:r>
      <w:r>
        <w:rPr>
          <w:rFonts w:hint="default" w:ascii="Times New Roman" w:hAnsi="Times New Roman" w:eastAsia="宋体" w:cs="Times New Roman"/>
          <w:b w:val="0"/>
          <w:bCs w:val="0"/>
          <w:color w:val="auto"/>
          <w:sz w:val="28"/>
          <w:szCs w:val="32"/>
          <w:lang w:val="en-US" w:eastAsia="zh-CN"/>
        </w:rPr>
        <w:t>制</w:t>
      </w:r>
      <w:r>
        <w:rPr>
          <w:rFonts w:hint="eastAsia" w:ascii="Times New Roman" w:hAnsi="Times New Roman" w:eastAsia="宋体" w:cs="Times New Roman"/>
          <w:b w:val="0"/>
          <w:bCs w:val="0"/>
          <w:color w:val="auto"/>
          <w:sz w:val="28"/>
          <w:szCs w:val="32"/>
          <w:lang w:val="en-US" w:eastAsia="zh-CN"/>
        </w:rPr>
        <w:t>挡鼠板</w:t>
      </w:r>
      <w:r>
        <w:rPr>
          <w:rFonts w:hint="default" w:ascii="Times New Roman" w:hAnsi="Times New Roman" w:eastAsia="宋体" w:cs="Times New Roman"/>
          <w:b w:val="0"/>
          <w:bCs w:val="0"/>
          <w:color w:val="auto"/>
          <w:sz w:val="28"/>
          <w:szCs w:val="32"/>
          <w:lang w:val="en-US" w:eastAsia="zh-CN"/>
        </w:rPr>
        <w:t>更换</w:t>
      </w:r>
      <w:r>
        <w:rPr>
          <w:rFonts w:hint="eastAsia" w:ascii="Times New Roman" w:hAnsi="Times New Roman" w:eastAsia="宋体" w:cs="Times New Roman"/>
          <w:b w:val="0"/>
          <w:bCs w:val="0"/>
          <w:color w:val="auto"/>
          <w:sz w:val="28"/>
          <w:szCs w:val="32"/>
          <w:lang w:val="en-US" w:eastAsia="zh-CN"/>
        </w:rPr>
        <w:t>为不燃的金属材料挡鼠板；</w:t>
      </w:r>
    </w:p>
    <w:p>
      <w:pPr>
        <w:tabs>
          <w:tab w:val="center" w:pos="4252"/>
        </w:tabs>
        <w:adjustRightInd w:val="0"/>
        <w:snapToGrid w:val="0"/>
        <w:spacing w:line="500" w:lineRule="exact"/>
        <w:ind w:firstLine="560" w:firstLineChars="200"/>
        <w:rPr>
          <w:rFonts w:hint="eastAsia" w:ascii="Times New Roman" w:hAnsi="Times New Roman" w:eastAsia="宋体" w:cs="Times New Roman"/>
          <w:b w:val="0"/>
          <w:bCs w:val="0"/>
          <w:color w:val="auto"/>
          <w:sz w:val="28"/>
          <w:szCs w:val="32"/>
          <w:lang w:val="en-US" w:eastAsia="zh-CN"/>
        </w:rPr>
      </w:pPr>
      <w:r>
        <w:rPr>
          <w:rFonts w:hint="eastAsia" w:ascii="Times New Roman" w:hAnsi="Times New Roman" w:eastAsia="宋体" w:cs="Times New Roman"/>
          <w:b w:val="0"/>
          <w:bCs w:val="0"/>
          <w:color w:val="auto"/>
          <w:sz w:val="28"/>
          <w:szCs w:val="32"/>
          <w:lang w:val="en-US" w:eastAsia="zh-CN"/>
        </w:rPr>
        <w:t>3.重新开展</w:t>
      </w:r>
      <w:r>
        <w:rPr>
          <w:rFonts w:hint="eastAsia" w:ascii="Times New Roman" w:hAnsi="Times New Roman" w:cs="Times New Roman"/>
          <w:b w:val="0"/>
          <w:bCs w:val="0"/>
          <w:color w:val="auto"/>
          <w:sz w:val="28"/>
          <w:szCs w:val="32"/>
          <w:lang w:val="en-US" w:eastAsia="zh-CN"/>
        </w:rPr>
        <w:t>培训教育工作，</w:t>
      </w:r>
      <w:r>
        <w:rPr>
          <w:rFonts w:hint="eastAsia" w:ascii="Times New Roman" w:hAnsi="Times New Roman" w:eastAsia="宋体" w:cs="Times New Roman"/>
          <w:b w:val="0"/>
          <w:bCs w:val="0"/>
          <w:color w:val="auto"/>
          <w:sz w:val="28"/>
          <w:szCs w:val="32"/>
          <w:lang w:val="en-US" w:eastAsia="zh-CN"/>
        </w:rPr>
        <w:t>要求参会人员在</w:t>
      </w:r>
      <w:r>
        <w:rPr>
          <w:rFonts w:hint="eastAsia" w:ascii="Times New Roman" w:hAnsi="Times New Roman" w:cs="Times New Roman"/>
          <w:b w:val="0"/>
          <w:bCs w:val="0"/>
          <w:color w:val="auto"/>
          <w:sz w:val="28"/>
          <w:szCs w:val="32"/>
          <w:lang w:val="en-US" w:eastAsia="zh-CN"/>
        </w:rPr>
        <w:t>记录上</w:t>
      </w:r>
      <w:r>
        <w:rPr>
          <w:rFonts w:hint="eastAsia" w:ascii="Times New Roman" w:hAnsi="Times New Roman" w:eastAsia="宋体" w:cs="Times New Roman"/>
          <w:b w:val="0"/>
          <w:bCs w:val="0"/>
          <w:color w:val="auto"/>
          <w:sz w:val="28"/>
          <w:szCs w:val="32"/>
          <w:lang w:val="en-US" w:eastAsia="zh-CN"/>
        </w:rPr>
        <w:t>签字；</w:t>
      </w:r>
    </w:p>
    <w:p>
      <w:pPr>
        <w:tabs>
          <w:tab w:val="center" w:pos="4252"/>
        </w:tabs>
        <w:adjustRightInd w:val="0"/>
        <w:snapToGrid w:val="0"/>
        <w:spacing w:line="500" w:lineRule="exact"/>
        <w:ind w:firstLine="560" w:firstLineChars="200"/>
        <w:rPr>
          <w:rFonts w:hint="eastAsia" w:ascii="Times New Roman" w:hAnsi="Times New Roman" w:eastAsia="宋体" w:cs="Times New Roman"/>
          <w:b w:val="0"/>
          <w:bCs w:val="0"/>
          <w:color w:val="auto"/>
          <w:sz w:val="28"/>
          <w:szCs w:val="32"/>
          <w:lang w:val="en-US" w:eastAsia="zh-CN"/>
        </w:rPr>
      </w:pPr>
      <w:r>
        <w:rPr>
          <w:rFonts w:hint="eastAsia" w:ascii="Times New Roman" w:hAnsi="Times New Roman" w:eastAsia="宋体" w:cs="Times New Roman"/>
          <w:b w:val="0"/>
          <w:bCs w:val="0"/>
          <w:color w:val="auto"/>
          <w:sz w:val="28"/>
          <w:szCs w:val="32"/>
          <w:lang w:val="en-US" w:eastAsia="zh-CN"/>
        </w:rPr>
        <w:t>4.在卸油区设置卸油操作规程；</w:t>
      </w:r>
    </w:p>
    <w:p>
      <w:pPr>
        <w:rPr>
          <w:color w:val="000000" w:themeColor="text1"/>
          <w14:textFill>
            <w14:solidFill>
              <w14:schemeClr w14:val="tx1"/>
            </w14:solidFill>
          </w14:textFill>
        </w:rPr>
      </w:pPr>
      <w:r>
        <w:rPr>
          <w:rFonts w:hint="eastAsia" w:ascii="Times New Roman" w:hAnsi="Times New Roman" w:eastAsia="宋体" w:cs="Times New Roman"/>
          <w:b w:val="0"/>
          <w:bCs w:val="0"/>
          <w:color w:val="auto"/>
          <w:sz w:val="28"/>
          <w:szCs w:val="32"/>
          <w:lang w:val="en-US" w:eastAsia="zh-CN"/>
        </w:rPr>
        <w:t>5.在发配电室房门上设置发配电室标识</w:t>
      </w:r>
      <w:r>
        <w:rPr>
          <w:rFonts w:hint="eastAsia"/>
          <w:color w:val="000000" w:themeColor="text1"/>
          <w14:textFill>
            <w14:solidFill>
              <w14:schemeClr w14:val="tx1"/>
            </w14:solidFill>
          </w14:textFill>
        </w:rPr>
        <w:t>。</w:t>
      </w:r>
    </w:p>
    <w:p>
      <w:pPr>
        <w:pStyle w:val="4"/>
        <w:ind w:firstLine="562"/>
        <w:rPr>
          <w:color w:val="000000" w:themeColor="text1"/>
          <w14:textFill>
            <w14:solidFill>
              <w14:schemeClr w14:val="tx1"/>
            </w14:solidFill>
          </w14:textFill>
        </w:rPr>
      </w:pPr>
      <w:bookmarkStart w:id="415" w:name="_Toc1069"/>
      <w:r>
        <w:rPr>
          <w:rFonts w:hint="eastAsia"/>
          <w:color w:val="000000" w:themeColor="text1"/>
          <w14:textFill>
            <w14:solidFill>
              <w14:schemeClr w14:val="tx1"/>
            </w14:solidFill>
          </w14:textFill>
        </w:rPr>
        <w:t>存在问题整改情况</w:t>
      </w:r>
      <w:bookmarkEnd w:id="41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根据评价提出的整改建议，</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已进行了整改，具体的整改情况见附件。</w:t>
      </w:r>
    </w:p>
    <w:p>
      <w:pPr>
        <w:pStyle w:val="3"/>
        <w:rPr>
          <w:color w:val="000000" w:themeColor="text1"/>
          <w14:textFill>
            <w14:solidFill>
              <w14:schemeClr w14:val="tx1"/>
            </w14:solidFill>
          </w14:textFill>
        </w:rPr>
      </w:pPr>
      <w:bookmarkStart w:id="416" w:name="_Toc14509"/>
      <w:r>
        <w:rPr>
          <w:rFonts w:hint="eastAsia"/>
          <w:color w:val="000000" w:themeColor="text1"/>
          <w14:textFill>
            <w14:solidFill>
              <w14:schemeClr w14:val="tx1"/>
            </w14:solidFill>
          </w14:textFill>
        </w:rPr>
        <w:t>安全对策措施及建议</w:t>
      </w:r>
      <w:bookmarkEnd w:id="41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本节根据加油站主要存在的危险及有害因素，加油站工艺及装置的特征和有关标准、规范，从以下几方面提出如下的安全对策措施及建议，加油站在运营过程中还须认真采纳，进一步提高加油站运营的安全性。</w:t>
      </w:r>
    </w:p>
    <w:p>
      <w:pPr>
        <w:pStyle w:val="4"/>
        <w:ind w:firstLine="562"/>
        <w:rPr>
          <w:color w:val="000000" w:themeColor="text1"/>
          <w14:textFill>
            <w14:solidFill>
              <w14:schemeClr w14:val="tx1"/>
            </w14:solidFill>
          </w14:textFill>
        </w:rPr>
      </w:pPr>
      <w:bookmarkStart w:id="417" w:name="_Toc9866"/>
      <w:r>
        <w:rPr>
          <w:rFonts w:hint="eastAsia"/>
          <w:color w:val="000000" w:themeColor="text1"/>
          <w14:textFill>
            <w14:solidFill>
              <w14:schemeClr w14:val="tx1"/>
            </w14:solidFill>
          </w14:textFill>
        </w:rPr>
        <w:t>防火、防爆安全对策措施及建议</w:t>
      </w:r>
      <w:bookmarkEnd w:id="417"/>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加油站是消防安全的重点单位。针对加油站发生火灾、爆炸的具体原因，提出下列安全对策措施及建议：</w:t>
      </w:r>
    </w:p>
    <w:p>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rFonts w:hint="eastAsia"/>
          <w:color w:val="000000" w:themeColor="text1"/>
          <w:lang w:val="zh-CN"/>
          <w14:textFill>
            <w14:solidFill>
              <w14:schemeClr w14:val="tx1"/>
            </w14:solidFill>
          </w14:textFill>
        </w:rPr>
        <w:t>消除可燃物</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①加强卸油、加油作业管理，尽量避免油品泼洒在地上，及时清除地上污油，保持作业场所清洁干净。</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②油罐应采取卸油时的防满溢措施，油料达到油罐容量90%时，应能触动高液位报警装置；油料达到油罐容量95%时，应能自动停止油料继续进罐，防止卸油时发生泄漏。</w:t>
      </w:r>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fldChar w:fldCharType="begin"/>
      </w:r>
      <w:r>
        <w:rPr>
          <w:color w:val="000000" w:themeColor="text1"/>
          <w:lang w:val="zh-CN"/>
          <w14:textFill>
            <w14:solidFill>
              <w14:schemeClr w14:val="tx1"/>
            </w14:solidFill>
          </w14:textFill>
        </w:rPr>
        <w:instrText xml:space="preserve"> </w:instrText>
      </w:r>
      <w:r>
        <w:rPr>
          <w:rFonts w:hint="eastAsia"/>
          <w:color w:val="000000" w:themeColor="text1"/>
          <w:lang w:val="zh-CN"/>
          <w14:textFill>
            <w14:solidFill>
              <w14:schemeClr w14:val="tx1"/>
            </w14:solidFill>
          </w14:textFill>
        </w:rPr>
        <w:instrText xml:space="preserve">= 3 \* GB3</w:instrText>
      </w:r>
      <w:r>
        <w:rPr>
          <w:color w:val="000000" w:themeColor="text1"/>
          <w:lang w:val="zh-CN"/>
          <w14:textFill>
            <w14:solidFill>
              <w14:schemeClr w14:val="tx1"/>
            </w14:solidFill>
          </w14:textFill>
        </w:rPr>
        <w:instrText xml:space="preserve"> </w:instrText>
      </w:r>
      <w:r>
        <w:rPr>
          <w:color w:val="000000" w:themeColor="text1"/>
          <w:lang w:val="zh-CN"/>
          <w14:textFill>
            <w14:solidFill>
              <w14:schemeClr w14:val="tx1"/>
            </w14:solidFill>
          </w14:textFill>
        </w:rPr>
        <w:fldChar w:fldCharType="separate"/>
      </w:r>
      <w:r>
        <w:rPr>
          <w:rFonts w:hint="eastAsia"/>
          <w:color w:val="000000" w:themeColor="text1"/>
          <w:lang w:val="zh-CN"/>
          <w14:textFill>
            <w14:solidFill>
              <w14:schemeClr w14:val="tx1"/>
            </w14:solidFill>
          </w14:textFill>
        </w:rPr>
        <w:t>③</w:t>
      </w:r>
      <w:r>
        <w:rPr>
          <w:color w:val="000000" w:themeColor="text1"/>
          <w:lang w:val="zh-CN"/>
          <w14:textFill>
            <w14:solidFill>
              <w14:schemeClr w14:val="tx1"/>
            </w14:solidFill>
          </w14:textFill>
        </w:rPr>
        <w:fldChar w:fldCharType="end"/>
      </w:r>
      <w:r>
        <w:rPr>
          <w:rFonts w:hint="eastAsia"/>
          <w:color w:val="000000" w:themeColor="text1"/>
          <w:lang w:val="zh-CN"/>
          <w14:textFill>
            <w14:solidFill>
              <w14:schemeClr w14:val="tx1"/>
            </w14:solidFill>
          </w14:textFill>
        </w:rPr>
        <w:t>定期检查储油、装卸油设备设施，保证加油站设备正常安全运行。</w:t>
      </w:r>
    </w:p>
    <w:p>
      <w:pPr>
        <w:rPr>
          <w:color w:val="000000" w:themeColor="text1"/>
          <w:lang w:val="zh-CN"/>
          <w14:textFill>
            <w14:solidFill>
              <w14:schemeClr w14:val="tx1"/>
            </w14:solidFill>
          </w14:textFill>
        </w:rPr>
      </w:pPr>
      <w:r>
        <w:rPr>
          <w:color w:val="000000" w:themeColor="text1"/>
          <w:lang w:val="zh-CN"/>
          <w14:textFill>
            <w14:solidFill>
              <w14:schemeClr w14:val="tx1"/>
            </w14:solidFill>
          </w14:textFill>
        </w:rPr>
        <w:t>2</w:t>
      </w:r>
      <w:r>
        <w:rPr>
          <w:rFonts w:hint="eastAsia"/>
          <w:color w:val="000000" w:themeColor="text1"/>
          <w14:textFill>
            <w14:solidFill>
              <w14:schemeClr w14:val="tx1"/>
            </w14:solidFill>
          </w14:textFill>
        </w:rPr>
        <w:t>.</w:t>
      </w:r>
      <w:r>
        <w:rPr>
          <w:rFonts w:hint="eastAsia"/>
          <w:color w:val="000000" w:themeColor="text1"/>
          <w:lang w:val="zh-CN"/>
          <w14:textFill>
            <w14:solidFill>
              <w14:schemeClr w14:val="tx1"/>
            </w14:solidFill>
          </w14:textFill>
        </w:rPr>
        <w:t>消除点火源</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消除点火源是加油站防火、防爆最有效的安全措施。加油站的实际生产运行管理应采取以下安全防范措施：</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1</w:t>
      </w:r>
      <w:r>
        <w:rPr>
          <w:rFonts w:hint="eastAsia"/>
          <w:color w:val="000000" w:themeColor="text1"/>
          <w:lang w:val="zh-CN"/>
          <w14:textFill>
            <w14:solidFill>
              <w14:schemeClr w14:val="tx1"/>
            </w14:solidFill>
          </w14:textFill>
        </w:rPr>
        <w:t>）禁绝明火</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①在爆炸危险区动火时，应按相应管理制度办理动火票，检测可燃气体浓度。严禁违反作业规程盲目动火、收工后留有火种、无现场监理人员在现场时动火；</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②严格限制一切明火进入加油站。</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2</w:t>
      </w:r>
      <w:r>
        <w:rPr>
          <w:rFonts w:hint="eastAsia"/>
          <w:color w:val="000000" w:themeColor="text1"/>
          <w:lang w:val="zh-CN"/>
          <w14:textFill>
            <w14:solidFill>
              <w14:schemeClr w14:val="tx1"/>
            </w14:solidFill>
          </w14:textFill>
        </w:rPr>
        <w:t>）防止撞击起火：禁止在各爆炸危险区域敲打铁器。</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3</w:t>
      </w:r>
      <w:r>
        <w:rPr>
          <w:rFonts w:hint="eastAsia"/>
          <w:color w:val="000000" w:themeColor="text1"/>
          <w:lang w:val="zh-CN"/>
          <w14:textFill>
            <w14:solidFill>
              <w14:schemeClr w14:val="tx1"/>
            </w14:solidFill>
          </w14:textFill>
        </w:rPr>
        <w:t>）防止电器火花及短路起火。</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①定期对各防爆电器进行检测，及时更换失效的防爆电器；</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②油罐区观测井内配置的水泵应选用防爆型，现场设置的水泵启动开关也应选用防爆型。</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4</w:t>
      </w:r>
      <w:r>
        <w:rPr>
          <w:rFonts w:hint="eastAsia"/>
          <w:color w:val="000000" w:themeColor="text1"/>
          <w:lang w:val="zh-CN"/>
          <w14:textFill>
            <w14:solidFill>
              <w14:schemeClr w14:val="tx1"/>
            </w14:solidFill>
          </w14:textFill>
        </w:rPr>
        <w:t>）防止静电火花</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①避免静电聚集；</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②定期检查各静电接地装置，及时更换失效的静电接地装置；</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③严格按操作规程作业。</w:t>
      </w:r>
    </w:p>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lang w:val="zh-CN"/>
          <w14:textFill>
            <w14:solidFill>
              <w14:schemeClr w14:val="tx1"/>
            </w14:solidFill>
          </w14:textFill>
        </w:rPr>
        <w:t>5</w:t>
      </w:r>
      <w:r>
        <w:rPr>
          <w:rFonts w:hint="eastAsia"/>
          <w:color w:val="000000" w:themeColor="text1"/>
          <w:lang w:val="zh-CN"/>
          <w14:textFill>
            <w14:solidFill>
              <w14:schemeClr w14:val="tx1"/>
            </w14:solidFill>
          </w14:textFill>
        </w:rPr>
        <w:t>）防止雷击：定期对防雷、防静电设施设备进行检测，对不符合规范要求的应及时整改。</w:t>
      </w:r>
    </w:p>
    <w:p>
      <w:pPr>
        <w:pStyle w:val="4"/>
        <w:ind w:firstLine="562"/>
        <w:rPr>
          <w:color w:val="000000" w:themeColor="text1"/>
          <w14:textFill>
            <w14:solidFill>
              <w14:schemeClr w14:val="tx1"/>
            </w14:solidFill>
          </w14:textFill>
        </w:rPr>
      </w:pPr>
      <w:bookmarkStart w:id="418" w:name="_Toc8328"/>
      <w:r>
        <w:rPr>
          <w:rFonts w:hint="eastAsia"/>
          <w:color w:val="000000" w:themeColor="text1"/>
          <w14:textFill>
            <w14:solidFill>
              <w14:schemeClr w14:val="tx1"/>
            </w14:solidFill>
          </w14:textFill>
        </w:rPr>
        <w:t>电气系统安全对策措施及建议</w:t>
      </w:r>
      <w:bookmarkEnd w:id="418"/>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1.作业人员必须严格按规定检查项目的整个电气系统，在操作和检查过程中发现绝缘破损、紧固处松脱、短网接线发红等情况应立即停电检修。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2.严禁用易导电物质接触、碰撞带电设备的任一部位。</w:t>
      </w:r>
    </w:p>
    <w:p>
      <w:pPr>
        <w:pStyle w:val="4"/>
        <w:ind w:firstLine="562"/>
        <w:rPr>
          <w:color w:val="000000" w:themeColor="text1"/>
          <w14:textFill>
            <w14:solidFill>
              <w14:schemeClr w14:val="tx1"/>
            </w14:solidFill>
          </w14:textFill>
        </w:rPr>
      </w:pPr>
      <w:bookmarkStart w:id="419" w:name="_Toc30393"/>
      <w:r>
        <w:rPr>
          <w:rFonts w:hint="eastAsia"/>
          <w:color w:val="000000" w:themeColor="text1"/>
          <w14:textFill>
            <w14:solidFill>
              <w14:schemeClr w14:val="tx1"/>
            </w14:solidFill>
          </w14:textFill>
        </w:rPr>
        <w:t>防雷、防静电安全对策措施及建议</w:t>
      </w:r>
      <w:bookmarkEnd w:id="419"/>
    </w:p>
    <w:p>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.加油站在经营过程中，应定期对防雷、防静电设施进行检测，并对检测出的不符合项进行认真整改。</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3.严禁在装有避雷针、避雷线的构筑物上方架设通信线、广播线或低压线。</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4.在爆炸危险场所的工作人员禁止穿戴化纤、丝绸衣物和带铁掌的鞋，应穿戴防静电的工作鞋、手套、衣物。</w:t>
      </w:r>
    </w:p>
    <w:p>
      <w:pPr>
        <w:pStyle w:val="4"/>
        <w:ind w:firstLine="562"/>
        <w:rPr>
          <w:color w:val="000000" w:themeColor="text1"/>
          <w14:textFill>
            <w14:solidFill>
              <w14:schemeClr w14:val="tx1"/>
            </w14:solidFill>
          </w14:textFill>
        </w:rPr>
      </w:pPr>
      <w:bookmarkStart w:id="420" w:name="_Toc15062"/>
      <w:r>
        <w:rPr>
          <w:rFonts w:hint="eastAsia"/>
          <w:color w:val="000000" w:themeColor="text1"/>
          <w14:textFill>
            <w14:solidFill>
              <w14:schemeClr w14:val="tx1"/>
            </w14:solidFill>
          </w14:textFill>
        </w:rPr>
        <w:t>特殊作业安全对策措施及建议</w:t>
      </w:r>
      <w:bookmarkEnd w:id="42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特殊作业基本要求：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作业前，应组织作业单位对作业现场和作业过程中可能存在的危险有害因素进行</w:t>
      </w:r>
      <w:bookmarkStart w:id="421" w:name="bookmark7"/>
      <w:bookmarkEnd w:id="421"/>
      <w:r>
        <w:rPr>
          <w:color w:val="000000" w:themeColor="text1"/>
          <w14:textFill>
            <w14:solidFill>
              <w14:schemeClr w14:val="tx1"/>
            </w14:solidFill>
          </w14:textFill>
        </w:rPr>
        <w:t>辨识，开展作业危害分析，制定相应的安全风险管控措施。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作业前，应采取措施对拟作业的设备设施、管线进行处理，确保满足相应作业安全要求：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对设备、管线内介质有安全要求的特殊作业，应采用倒空、隔绝、清洗、置换等方式进行处理</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对具有能量的设备设施、环境应采取可靠的能量隔离措施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能量隔离是指将潜在的、可能因失控造成人身伤害、环境损害、设备损坏、财产损失的能量进行有效的控制、隔离和保护。包括机械隔离、工艺隔离、电气隔离等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3.进入</w:t>
      </w:r>
      <w:r>
        <w:rPr>
          <w:color w:val="000000" w:themeColor="text1"/>
          <w14:textFill>
            <w14:solidFill>
              <w14:schemeClr w14:val="tx1"/>
            </w14:solidFill>
          </w14:textFill>
        </w:rPr>
        <w:t>作业现场的人员应正确佩戴满足GB</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39800.</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要求的个体防护装备。</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作业前，危险化学品企业应对参加作业的人员进行安全措施交底，主要包括：</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作业现场和作业过程中可能存在的危险、有害因素及采取的具体安全措施与应急措施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会同作业单位组织作业人员到作业现场，了解和熟悉现场环境，进一步核实安全措施的可靠性，熟悉应急救援器材的位置及分布</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涉及断路、动土作业时，应对作业现场的地下隐蔽工程进行交底。</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作业前，应组织作业单位对作业现场及作业涉及的设备、设施、工器具等进行检查，并使之符合如下要求：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作业现场消防通道、行车通道应保持畅通，影响作业安全的杂物应清理干净</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作业现场的梯子、栏杆、平台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盖板等设施应完整、牢固，采用的临时设施应确保安全</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作业现场可能危及安全的坑、井、沟、孔洞等应采取有效防护措施，并设警示标志</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需要检修的设备上的电器电源应可靠断电，在电源开关处加锁并加挂安全警示牌</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作业使用的个体防护器具、消防器材、通信设备、照明设备等应完好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作业时使用的脚手架、起重机械、电气焊（割）用具、手持电动工具等各种工器具符合作业安全要求，超过安全电压的手持式、移动式电动工器具应逐个配置漏电保护器和电源开关</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设置符合GB2894的安全警示标志</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按照GB30077要求配备应急设施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作业前，应组织办理作业审批手续，并由相关责任人签字审批。同一作业涉及两种或两种以上特殊作业时，应同时执行各自作业要求，办理相应的作业审批手续。作业时，审批手续应齐全、安全措施应全部落实、作业环境应符合安全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同一作业区域应减少、控制多工种、多层次交叉作业，最大限度避免交叉作业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交叉作业应由企业指定专人统一协调管理，作业前要组织开展交叉作业风险辨识，采取可靠的保护措施，并保持作业之间信息畅通，确保作业安全。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当生产装置或作业现场出现异常，可能危及作业人员安全时，作业人员应立即停止作业，迅速撤离，并及时通知相关单位及人员。</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特殊作业涉及的特种作业和特种设备作业人员应取得相应资格证书，持证上岗。界定为GBZ/T 260中规定的职业禁忌证者不应参与相应作业。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10.</w:t>
      </w:r>
      <w:r>
        <w:rPr>
          <w:color w:val="000000" w:themeColor="text1"/>
          <w14:textFill>
            <w14:solidFill>
              <w14:schemeClr w14:val="tx1"/>
            </w14:solidFill>
          </w14:textFill>
        </w:rPr>
        <w:t>作业期间应设监护人。监护人应由具有生产（作业）实践经验的人员担任，并经专项培训考试合格，佩戴明显标识，持培训合格证上岗。</w:t>
      </w:r>
    </w:p>
    <w:p>
      <w:pPr>
        <w:rPr>
          <w:color w:val="000000" w:themeColor="text1"/>
          <w14:textFill>
            <w14:solidFill>
              <w14:schemeClr w14:val="tx1"/>
            </w14:solidFill>
          </w14:textFill>
        </w:rPr>
      </w:pPr>
      <w:r>
        <w:rPr>
          <w:color w:val="000000" w:themeColor="text1"/>
          <w14:textFill>
            <w14:solidFill>
              <w14:schemeClr w14:val="tx1"/>
            </w14:solidFill>
          </w14:textFill>
        </w:rPr>
        <w:t>监护人的通用职责要求：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作业前检查安全作业票。安全作业票应与作业内容相符并在有效期内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核查安全作业票中各项安全措施已得到落实。</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确认相关作业人员持有效资格证书上岗。</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核查作业人员配备和使用的个体防护装备满足作业要求。</w:t>
      </w:r>
    </w:p>
    <w:p>
      <w:pPr>
        <w:rPr>
          <w:color w:val="000000" w:themeColor="text1"/>
          <w14:textFill>
            <w14:solidFill>
              <w14:schemeClr w14:val="tx1"/>
            </w14:solidFill>
          </w14:textFill>
        </w:rPr>
      </w:pPr>
      <w:bookmarkStart w:id="422" w:name="bookmark8"/>
      <w:bookmarkEnd w:id="422"/>
      <w:r>
        <w:rPr>
          <w:rFonts w:hint="eastAsia"/>
          <w:color w:val="000000" w:themeColor="text1"/>
          <w14:textFill>
            <w14:solidFill>
              <w14:schemeClr w14:val="tx1"/>
            </w14:solidFill>
          </w14:textFill>
        </w:rPr>
        <w:t>（4）</w:t>
      </w:r>
      <w:r>
        <w:rPr>
          <w:color w:val="000000" w:themeColor="text1"/>
          <w14:textFill>
            <w14:solidFill>
              <w14:schemeClr w14:val="tx1"/>
            </w14:solidFill>
          </w14:textFill>
        </w:rPr>
        <w:t>对作业人员的行为和现场安全作业条件进行检查与监督，负责作业现场的安全协调与联系。</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当作业现场出现异常情况时应中止作业，并采取安全有效措施进行应急处置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当作业人员违章时，应及时制止违章，情节严重时，应收回安全作业票、中止作业。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作业期间，监护人不应擅自离开作业现场且不应从事与监护无关的事。确需离开作业现场时，应收回安全作业票，中止作业。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11.</w:t>
      </w:r>
      <w:r>
        <w:rPr>
          <w:color w:val="000000" w:themeColor="text1"/>
          <w14:textFill>
            <w14:solidFill>
              <w14:schemeClr w14:val="tx1"/>
            </w14:solidFill>
          </w14:textFill>
        </w:rPr>
        <w:t>作业审批人的职责要求：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应在作业现场完成审批工作</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应核查安全作业票审批级别与企业管理制度中规定级别一致情况，各项审批环节符合企业管理要求情况</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应核查安全作业票中各项风险识别及管控措施落实情况。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12.</w:t>
      </w:r>
      <w:r>
        <w:rPr>
          <w:color w:val="000000" w:themeColor="text1"/>
          <w14:textFill>
            <w14:solidFill>
              <w14:schemeClr w14:val="tx1"/>
            </w14:solidFill>
          </w14:textFill>
        </w:rPr>
        <w:t xml:space="preserve">作业时使用的移动式可燃、有毒气体检测仪，氧气检测仪应符合GB </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5322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3和GB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T50493中5</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2的要求。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13.</w:t>
      </w:r>
      <w:r>
        <w:rPr>
          <w:color w:val="000000" w:themeColor="text1"/>
          <w14:textFill>
            <w14:solidFill>
              <w14:schemeClr w14:val="tx1"/>
            </w14:solidFill>
          </w14:textFill>
        </w:rPr>
        <w:t>作业现场照明系统配置要求：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作业现场应设置满足作业要求的照明装备</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受限空间内使用的照明电压不应超过36V，并满足安全用电要求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在潮湿容器、狭小容器内作业电压不应超过</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2V</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在盛装过易燃易爆气体、液体等介质的容器内作业应使用防爆灯具</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作业现场可能危及安全的坑、井、沟、孔洞等周围，夜间应设警示红灯</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动力和照明线路应分路设置。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14.</w:t>
      </w:r>
      <w:r>
        <w:rPr>
          <w:color w:val="000000" w:themeColor="text1"/>
          <w14:textFill>
            <w14:solidFill>
              <w14:schemeClr w14:val="tx1"/>
            </w14:solidFill>
          </w14:textFill>
        </w:rPr>
        <w:t>作业完毕，应及时恢复作业时拆移的盖板、扶手、栏杆、防护罩等安全设施的使用功能，恢复临时封闭的沟渠或地井，并清理作业现场，恢复原状。</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15.</w:t>
      </w:r>
      <w:r>
        <w:rPr>
          <w:color w:val="000000" w:themeColor="text1"/>
          <w14:textFill>
            <w14:solidFill>
              <w14:schemeClr w14:val="tx1"/>
            </w14:solidFill>
          </w14:textFill>
        </w:rPr>
        <w:t>作业完毕，应及时进行验收确认。</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16.</w:t>
      </w:r>
      <w:r>
        <w:rPr>
          <w:color w:val="000000" w:themeColor="text1"/>
          <w14:textFill>
            <w14:solidFill>
              <w14:schemeClr w14:val="tx1"/>
            </w14:solidFill>
          </w14:textFill>
        </w:rPr>
        <w:t>作业内容变更、作业范围扩大、作业地点转移或超过安全作业票有效期限时，应重新办理安全作业票。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17.</w:t>
      </w:r>
      <w:r>
        <w:rPr>
          <w:color w:val="000000" w:themeColor="text1"/>
          <w14:textFill>
            <w14:solidFill>
              <w14:schemeClr w14:val="tx1"/>
            </w14:solidFill>
          </w14:textFill>
        </w:rPr>
        <w:t>工艺条件、作业条件、作业方式或作业环境改变时，应重新进行作业危害分析，核对风险管控措施，重新办理安全作业票。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18.</w:t>
      </w:r>
      <w:r>
        <w:rPr>
          <w:color w:val="000000" w:themeColor="text1"/>
          <w14:textFill>
            <w14:solidFill>
              <w14:schemeClr w14:val="tx1"/>
            </w14:solidFill>
          </w14:textFill>
        </w:rPr>
        <w:t>安全作业票应规范填写，不得涂改。</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受限空间作业安全对策措施及建议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作业前，应对受限空间进行安全隔离，要求如下：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与受限空间连通的可能危及安全作业的管道应采用加盲板或拆除一段管道的方式进行隔离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不应采用水封或关闭阀门代替盲板作为隔断措施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与受限空间连通的可能危及安全作业的孔、洞应进行严密封堵</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对作业设备上的电器电源，应采取可靠的断电措施，电源开关处应上锁并加挂警示牌。</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作业前，应保持受限空间内空气流通良好，可采取如下措施：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打开人孔等与大气相通的设施进行自然通风</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必要时，可采用强制通风或管道送风，管道送风前应对管道内介质和风源进行分析确认</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在忌氧环境中作业，通风前应对作业环境中与氧性质相抵的物料采取卸放、置换或清洗合格的措施，达到可以通风的安全条件要求。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作业前，应确保受限空间内的气体环境满足作业要求，内容如下：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作业前30min内，对受限空间进行气体检测，检测分析合格后方可进</w:t>
      </w:r>
      <w:r>
        <w:rPr>
          <w:rFonts w:hint="eastAsia"/>
          <w:color w:val="000000" w:themeColor="text1"/>
          <w14:textFill>
            <w14:solidFill>
              <w14:schemeClr w14:val="tx1"/>
            </w14:solidFill>
          </w14:textFill>
        </w:rPr>
        <w:t>入；</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检测点应有代表性，容积较大的受限空间，应对上、中、下（左、中、右）各部位进行检测分析</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检测人员进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或</w:t>
      </w:r>
      <w:r>
        <w:rPr>
          <w:rFonts w:hint="eastAsia"/>
          <w:color w:val="000000" w:themeColor="text1"/>
          <w14:textFill>
            <w14:solidFill>
              <w14:schemeClr w14:val="tx1"/>
            </w14:solidFill>
          </w14:textFill>
        </w:rPr>
        <w:t>探入</w:t>
      </w:r>
      <w:r>
        <w:rPr>
          <w:color w:val="000000" w:themeColor="text1"/>
          <w14:textFill>
            <w14:solidFill>
              <w14:schemeClr w14:val="tx1"/>
            </w14:solidFill>
          </w14:textFill>
        </w:rPr>
        <w:t>受限空间检测时，应佩戴</w:t>
      </w:r>
      <w:r>
        <w:rPr>
          <w:rFonts w:hint="eastAsia"/>
          <w:color w:val="000000" w:themeColor="text1"/>
          <w14:textFill>
            <w14:solidFill>
              <w14:schemeClr w14:val="tx1"/>
            </w14:solidFill>
          </w14:textFill>
        </w:rPr>
        <w:t>符合</w:t>
      </w:r>
      <w:r>
        <w:rPr>
          <w:color w:val="000000" w:themeColor="text1"/>
          <w14:textFill>
            <w14:solidFill>
              <w14:schemeClr w14:val="tx1"/>
            </w14:solidFill>
          </w14:textFill>
        </w:rPr>
        <w:t>规定的个体防护装备</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涂刷具有挥发性溶剂的涂料时，应采取强制通风措施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不应向受限空间充纯氧气或富氧空气</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作业中断时间超过60min时，应重新进行气体检测分析。</w:t>
      </w:r>
    </w:p>
    <w:p>
      <w:pPr>
        <w:rPr>
          <w:color w:val="000000" w:themeColor="text1"/>
          <w14:textFill>
            <w14:solidFill>
              <w14:schemeClr w14:val="tx1"/>
            </w14:solidFill>
          </w14:textFill>
        </w:rPr>
      </w:pPr>
      <w:bookmarkStart w:id="423" w:name="bookmark10"/>
      <w:bookmarkEnd w:id="423"/>
      <w:r>
        <w:rPr>
          <w:rFonts w:hint="eastAsia"/>
          <w:color w:val="000000" w:themeColor="text1"/>
          <w14:textFill>
            <w14:solidFill>
              <w14:schemeClr w14:val="tx1"/>
            </w14:solidFill>
          </w14:textFill>
        </w:rPr>
        <w:t>（4）</w:t>
      </w:r>
      <w:r>
        <w:rPr>
          <w:color w:val="000000" w:themeColor="text1"/>
          <w14:textFill>
            <w14:solidFill>
              <w14:schemeClr w14:val="tx1"/>
            </w14:solidFill>
          </w14:textFill>
        </w:rPr>
        <w:t>受限空间内气体检测内容及要求如下：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氧气含量为</w:t>
      </w:r>
      <w:r>
        <w:rPr>
          <w:rFonts w:hint="eastAsia"/>
          <w:color w:val="000000" w:themeColor="text1"/>
          <w14:textFill>
            <w14:solidFill>
              <w14:schemeClr w14:val="tx1"/>
            </w14:solidFill>
          </w14:textFill>
        </w:rPr>
        <w:t>19.5</w:t>
      </w:r>
      <w:r>
        <w:rPr>
          <w:color w:val="000000" w:themeColor="text1"/>
          <w14:textFill>
            <w14:solidFill>
              <w14:schemeClr w14:val="tx1"/>
            </w14:solidFill>
          </w14:textFill>
        </w:rPr>
        <w:t>%～2l%（体积分数），在富氧环境下不应大于23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5%（体积分数）</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有毒物质允许浓度应符合GBZ 2.1的规定</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可燃气体、蒸气浓度要求应符合规定。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作业时，作业现场应配置移动式气体检测报警仪，连续检测受限空间内可燃气体、有毒气体及氧气浓度，并2h记录</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次</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气体浓度超限报警时，应立即停止作业、撤离人员、对现场进行处理，重新检测合格后方可恢复作业。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受限空间作业人员应正确穿戴相应的个体防护装备。进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下列受限空间作业应采取如下防护措施：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缺氧或有毒的受限空间经清洗或置换仍达不到要求的，应佩戴满足GB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T</w:t>
      </w:r>
      <w:r>
        <w:rPr>
          <w:rFonts w:hint="eastAsia"/>
          <w:color w:val="000000" w:themeColor="text1"/>
          <w14:textFill>
            <w14:solidFill>
              <w14:schemeClr w14:val="tx1"/>
            </w14:solidFill>
          </w14:textFill>
        </w:rPr>
        <w:t xml:space="preserve"> 1</w:t>
      </w:r>
      <w:r>
        <w:rPr>
          <w:color w:val="000000" w:themeColor="text1"/>
          <w14:textFill>
            <w14:solidFill>
              <w14:schemeClr w14:val="tx1"/>
            </w14:solidFill>
          </w14:textFill>
        </w:rPr>
        <w:t>8664要求的隔绝式呼吸防护装备，并正确拴带救生绳</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易燃易爆的受限空间经清洗或置换仍达不到要求的，应穿防静电工作服及工作鞋，使用防爆工器具</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0" distR="0" simplePos="0" relativeHeight="251666432" behindDoc="1" locked="0" layoutInCell="1" allowOverlap="1">
                <wp:simplePos x="0" y="0"/>
                <wp:positionH relativeFrom="column">
                  <wp:posOffset>653415</wp:posOffset>
                </wp:positionH>
                <wp:positionV relativeFrom="paragraph">
                  <wp:posOffset>17145</wp:posOffset>
                </wp:positionV>
                <wp:extent cx="190500" cy="190500"/>
                <wp:effectExtent l="0" t="0" r="7620" b="7620"/>
                <wp:wrapNone/>
                <wp:docPr id="17" name="Rect 14"/>
                <wp:cNvGraphicFramePr/>
                <a:graphic xmlns:a="http://schemas.openxmlformats.org/drawingml/2006/main">
                  <a:graphicData uri="http://schemas.microsoft.com/office/word/2010/wordprocessingShape">
                    <wps:wsp>
                      <wps:cNvSpPr/>
                      <wps:spPr>
                        <a:xfrm>
                          <a:off x="653828" y="17147"/>
                          <a:ext cx="190500" cy="190500"/>
                        </a:xfrm>
                        <a:prstGeom prst="rect">
                          <a:avLst/>
                        </a:prstGeom>
                        <a:solidFill>
                          <a:srgbClr val="3CA4DD">
                            <a:alpha val="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4" o:spid="_x0000_s1026" o:spt="1" style="position:absolute;left:0pt;margin-left:51.45pt;margin-top:1.35pt;height:15pt;width:15pt;z-index:-251650048;mso-width-relative:page;mso-height-relative:page;" fillcolor="#3CA4DD" filled="t" stroked="f" coordsize="21600,21600" o:gfxdata="UEsDBAoAAAAAAIdO4kAAAAAAAAAAAAAAAAAEAAAAZHJzL1BLAwQUAAAACACHTuJA1ueLstUAAAAI&#10;AQAADwAAAGRycy9kb3ducmV2LnhtbE2PzUrEQBCE74LvMLTgzZ0kC2aNmSwo7GUFxSgL3nozbRLM&#10;9ITM7N/b2znp8esqqqvK9dkN6khT6D0bSBcJKOLG255bA58fm7sVqBCRLQ6eycCFAqyr66sSC+tP&#10;/E7HOrZKQjgUaKCLcSy0Dk1HDsPCj8SiffvJYRScWm0nPEm4G3SWJPfaYc/yocORnjtqfuqDM/C0&#10;86m1m0v+tq3z3esq3X7VL2jM7U2aPIKKdI5/ZpjrS3WopNPeH9gGNQgn2YNYDWQ5qFlfzrw3sJSD&#10;rkr9f0D1C1BLAwQUAAAACACHTuJA4JxcEzoCAACMBAAADgAAAGRycy9lMm9Eb2MueG1srVTBbhox&#10;EL1X6j9YvjcLCSQpyhIhUKpKqEGhVc/G62Ut2R53bFjSr+/YhtCmPeTQi3n2zL6ZeTPD3f3BGrZX&#10;GDS4mg8vBpwpJ6HRblvzb18fPtxyFqJwjTDgVM2fVeD30/fv7no/UZfQgWkUMiJxYdL7mncx+klV&#10;BdkpK8IFeOXI2AJaEemK26pB0RO7NdXlYHBd9YCNR5AqBHpdFCM/MuJbCKFttVQLkDurXCysqIyI&#10;VFLotA98mrNtWyXjY9sGFZmpOVUa80lBCG/SWU3vxGSLwndaHlMQb0nhVU1WaEdBX6gWIgq2Q/0X&#10;ldUSIUAbLyTYqhSSFaEqhoNX2qw74VWuhaQO/kX08P9o5Zf9CpluaBJuOHPCUsefSDU2HCVteh8m&#10;5LL2KzzeAsFU6KFFm36pBHao+fX46vaSJuc5EQ1HN0VYdYhMknX4cTAekOQymQsmuurM4jHETwos&#10;S6DmSBlkOcV+GWJxPbmkoAGMbh60MfmC283cINsL6vHVfDZaLMq3xneivN6MxrnVFDEU7xz9Dxrj&#10;WJ8mIlE6SOQlrnHkm3QolSe0geaZVEMo4xS8fNCU91KEuBJI80Ol0obFRzpaA0QLR8RZB/jzX+/J&#10;n9pKVs56mseahx87gYoz89lRw9PwngCewOYE3M7Ogcof0u56mSF9gNGcYItgv9PizVIUMgknKVbN&#10;4wnOY9kKWlypZrPsRCPqRVy6tZeJuigz20VodW7KWYujRDSkWdjjQqUt+P2evc5/ItN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1ueLstUAAAAIAQAADwAAAAAAAAABACAAAAAiAAAAZHJzL2Rvd25y&#10;ZXYueG1sUEsBAhQAFAAAAAgAh07iQOCcXBM6AgAAjAQAAA4AAAAAAAAAAQAgAAAAJAEAAGRycy9l&#10;Mm9Eb2MueG1sUEsFBgAAAAAGAAYAWQEAANAFAAAAAA==&#10;">
                <v:fill on="t" opacity="4882f" focussize="0,0"/>
                <v:stroke on="f" weight="0pt"/>
                <v:imagedata o:title=""/>
                <o:lock v:ext="edit" aspectratio="f"/>
                <v:textbox inset="0mm,0mm,0mm,0mm"/>
              </v:rect>
            </w:pict>
          </mc:Fallback>
        </mc:AlternateConten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在受限空间内从事电焊作业时，应穿绝缘鞋</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有噪声产生的受限空间，应佩戴耳塞或耳罩等防噪声护具</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）低温的受限空间，应穿戴低温防护用品，必要时采取供暖措施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在受限空间内从事清污作业，应佩戴隔绝式呼吸防护装备，并正确拴带救生绳</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在受限空间内作业时，应配备相应的通信工具。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当一处受限空间存在动火作业时，该处受限空间内不应安排涂刷油漆、涂料等其他可能产生有毒有害、可燃物质的作业活动。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对监护人的特殊要求：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监护人应在受限空间外进行全程监护，不应在无任何防护措施的情况下</w:t>
      </w:r>
      <w:r>
        <w:rPr>
          <w:rFonts w:hint="eastAsia"/>
          <w:color w:val="000000" w:themeColor="text1"/>
          <w14:textFill>
            <w14:solidFill>
              <w14:schemeClr w14:val="tx1"/>
            </w14:solidFill>
          </w14:textFill>
        </w:rPr>
        <w:t>探入</w:t>
      </w:r>
      <w:r>
        <w:rPr>
          <w:color w:val="000000" w:themeColor="text1"/>
          <w14:textFill>
            <w14:solidFill>
              <w14:schemeClr w14:val="tx1"/>
            </w14:solidFill>
          </w14:textFill>
        </w:rPr>
        <w:t>或进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受限空间</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在风险较大的受限空间作业时，应增设监护人员，并随时与受限空间内作业人员保持联络</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监护人应对进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受限空间的人员及其携带的工器具种类、数量进行登记，作业完毕后再次进行清点，防止遗漏在受限空间内。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受限空间作业应满足的其他要求：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受限空间</w:t>
      </w:r>
      <w:r>
        <w:rPr>
          <w:rFonts w:hint="eastAsia"/>
          <w:color w:val="000000" w:themeColor="text1"/>
          <w14:textFill>
            <w14:solidFill>
              <w14:schemeClr w14:val="tx1"/>
            </w14:solidFill>
          </w14:textFill>
        </w:rPr>
        <w:t>出入口</w:t>
      </w:r>
      <w:r>
        <w:rPr>
          <w:color w:val="000000" w:themeColor="text1"/>
          <w14:textFill>
            <w14:solidFill>
              <w14:schemeClr w14:val="tx1"/>
            </w14:solidFill>
          </w14:textFill>
        </w:rPr>
        <w:t>应保持畅通</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作业人员不应携带与作业无关的物品进</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受限空间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作业中不应抛掷材料、工器具等物品</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在有毒、缺氧环境下不应摘下防护面具</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难度大、劳动强度大、时间长的受限空间作业应采取轮换作业方式</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接</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受限空间的电线、电缆、通气管应在进口处进行保护或加强绝缘，应避免与人员出</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使用同一</w:t>
      </w:r>
      <w:r>
        <w:rPr>
          <w:rFonts w:hint="eastAsia"/>
          <w:color w:val="000000" w:themeColor="text1"/>
          <w14:textFill>
            <w14:solidFill>
              <w14:schemeClr w14:val="tx1"/>
            </w14:solidFill>
          </w14:textFill>
        </w:rPr>
        <w:t>出入口；</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作业期间发生异常情况时，未穿戴</w:t>
      </w:r>
      <w:r>
        <w:rPr>
          <w:rFonts w:hint="eastAsia"/>
          <w:color w:val="000000" w:themeColor="text1"/>
          <w14:textFill>
            <w14:solidFill>
              <w14:schemeClr w14:val="tx1"/>
            </w14:solidFill>
          </w14:textFill>
        </w:rPr>
        <w:t>规范</w:t>
      </w:r>
      <w:r>
        <w:rPr>
          <w:color w:val="000000" w:themeColor="text1"/>
          <w14:textFill>
            <w14:solidFill>
              <w14:schemeClr w14:val="tx1"/>
            </w14:solidFill>
          </w14:textFill>
        </w:rPr>
        <w:t>规定个体防护装备的人员严禁</w:t>
      </w:r>
      <w:r>
        <w:rPr>
          <w:rFonts w:hint="eastAsia"/>
          <w:color w:val="000000" w:themeColor="text1"/>
          <w14:textFill>
            <w14:solidFill>
              <w14:schemeClr w14:val="tx1"/>
            </w14:solidFill>
          </w14:textFill>
        </w:rPr>
        <w:t>入</w:t>
      </w:r>
      <w:r>
        <w:rPr>
          <w:color w:val="000000" w:themeColor="text1"/>
          <w14:textFill>
            <w14:solidFill>
              <w14:schemeClr w14:val="tx1"/>
            </w14:solidFill>
          </w14:textFill>
        </w:rPr>
        <w:t>内救援</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停止作业期间，应在受限空间</w:t>
      </w:r>
      <w:r>
        <w:rPr>
          <w:rFonts w:hint="eastAsia"/>
          <w:color w:val="000000" w:themeColor="text1"/>
          <w14:textFill>
            <w14:solidFill>
              <w14:schemeClr w14:val="tx1"/>
            </w14:solidFill>
          </w14:textFill>
        </w:rPr>
        <w:t>入口</w:t>
      </w:r>
      <w:r>
        <w:rPr>
          <w:color w:val="000000" w:themeColor="text1"/>
          <w14:textFill>
            <w14:solidFill>
              <w14:schemeClr w14:val="tx1"/>
            </w14:solidFill>
          </w14:textFill>
        </w:rPr>
        <w:t>处增设警示标志，并采取防止人员误人的措施</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作业结束后，应将工器具带出受限空间。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（10）</w:t>
      </w:r>
      <w:r>
        <w:rPr>
          <w:color w:val="000000" w:themeColor="text1"/>
          <w14:textFill>
            <w14:solidFill>
              <w14:schemeClr w14:val="tx1"/>
            </w14:solidFill>
          </w14:textFill>
        </w:rPr>
        <w:t>受限空间安全作业票有效期不应超过24h。</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高处作业安全对策措施及建议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1.高处作业人员应正确佩戴符合GB6095要求的安全带及符合GB24543要求的安全绳，30m以上高处作业应配备通信联络工具。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2.高处作业应设专人监护，作业人员不应在作业处休息。</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3.应根据实际需要配备符合安全要求的作业平台，吊笼、梯子，挡脚板、跳板等；脚手架的搭设、拆除和使用应符合GB 51210等有关标准要求。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高处作业人员不应站在不牢固的结构物上进行作业；在彩钢板屋顶、石棉瓦、瓦棱板等轻型材料上作业，应铺设牢固的脚手板并加以固定，脚手板上要有防滑措施；不应在未固定、无防护设施的构件及管道上进行作业或通行。</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5.在邻近排放有毒、有害气体的放空管线等场所进行作业时，应采取有效的安全防护措施，作业人员应配备必要的符合国家相关标准的防护装备（如隔绝式呼吸防护装备、过滤式防毒面具或口罩等）。</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雨天和雪天作业时，应采取可靠的防滑、防寒措施；遇有五级风以上（含五级风），浓雾等恶劣天气，不应进行高处作业、露天攀登与悬空高处作业；暴风雪、台风，暴雨后，应对作业安全设施进行检查，发现问题立即处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7.作业使用的工具、材料、零件等应装入工具袋，上下时手中不应持物，不应投掷工具、材料及其他物品；易滑动，易滚动的工具、材料堆放在脚手架上时，应采取防坠落措施。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8.在同一坠落方向上，一般不应进行上下交叉作业，如需进行交叉作业，中间应设置安全防护层。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9.因作业需要，须临时拆除或变动作业对象的安全防护设施时，应经作业审批人员同意，并采取相应的防护措施，作业后应及时恢复。</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10.拆除脚手架﹑防护棚时，应设警戒区并派专人监护，不应上下同时施工。</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临时用电安全对策措施及建议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在运行的火灾爆炸危险性生产装置、罐区和具有火灾爆炸危险场所内不应接临时电源，确需时应对周围环境进行可燃气体检测分析，分析结果应符合GB30871的规定。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各类移动电源及外部自备电源，不应</w:t>
      </w:r>
      <w:r>
        <w:rPr>
          <w:rFonts w:hint="eastAsia"/>
          <w:color w:val="000000" w:themeColor="text1"/>
          <w14:textFill>
            <w14:solidFill>
              <w14:schemeClr w14:val="tx1"/>
            </w14:solidFill>
          </w14:textFill>
        </w:rPr>
        <w:t>接入</w:t>
      </w:r>
      <w:r>
        <w:rPr>
          <w:color w:val="000000" w:themeColor="text1"/>
          <w14:textFill>
            <w14:solidFill>
              <w14:schemeClr w14:val="tx1"/>
            </w14:solidFill>
          </w14:textFill>
        </w:rPr>
        <w:t>电网。</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在开关上接引、拆除临时用电线路时，其上级开关应断电、加锁，并挂安全警示标牌，接、拆线路作业时，应有监护人在场。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临时用电应设置保护开关，使用前应检查电气装置和保护设施的可靠性。所有的临时用电均应设置接地保护。</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临时用电设备和线路应按供电电压等级和容量正确配置、使用，所用的电器元件应符合国家相关产品标准及作业现场环境要求，临时用电电源施工、安装应符合GB50194的有关要求，并有良好的接地。</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临时用电还应满足如下要求：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火灾爆炸危险场所应使用相应防爆等级的电气元件，并采取相应的防爆安全措施；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临时用电线路及设备应有良好的绝缘，所有的临时用电线路应采用耐压等级不低于500V的绝缘导线；</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临时用电线路经过火灾爆炸危险场所以及有高温、振动、腐蚀、积水及产生机械损伤等区域，不应有接头，并应采取相应的保护措施；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临时用电架空线应采用绝缘铜芯线，并应架设在专用电杆或支架上，其最大弧垂与地面距离，在作业现场不低于2.5m，穿越机动车道不低于5m；</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沿墙面或地面敷设电缆线路应符合下列规定：</w:t>
      </w:r>
    </w:p>
    <w:p>
      <w:pPr>
        <w:rPr>
          <w:color w:val="000000" w:themeColor="text1"/>
          <w14:textFill>
            <w14:solidFill>
              <w14:schemeClr w14:val="tx1"/>
            </w14:solidFill>
          </w14:textFill>
        </w:rPr>
      </w:pPr>
      <w:r>
        <w:rPr>
          <w:color w:val="000000" w:themeColor="text1"/>
          <w14:textFill>
            <w14:solidFill>
              <w14:schemeClr w14:val="tx1"/>
            </w14:solidFill>
          </w14:textFill>
        </w:rPr>
        <w:t>—电缆线路敷设路径应有醒目的警告标志；</w:t>
      </w:r>
    </w:p>
    <w:p>
      <w:pPr>
        <w:rPr>
          <w:color w:val="000000" w:themeColor="text1"/>
          <w14:textFill>
            <w14:solidFill>
              <w14:schemeClr w14:val="tx1"/>
            </w14:solidFill>
          </w14:textFill>
        </w:rPr>
      </w:pPr>
      <w:r>
        <w:rPr>
          <w:color w:val="000000" w:themeColor="text1"/>
          <w14:textFill>
            <w14:solidFill>
              <w14:schemeClr w14:val="tx1"/>
            </w14:solidFill>
          </w14:textFill>
        </w:rPr>
        <w:t>—沿地面明敷的电缆线路应沿建筑物墙体根部敷设，穿越道路或其他易受机械损伤的区域，应采取防机械损伤的措施，周围环境应保持干燥；</w:t>
      </w:r>
    </w:p>
    <w:p>
      <w:pPr>
        <w:rPr>
          <w:color w:val="000000" w:themeColor="text1"/>
          <w14:textFill>
            <w14:solidFill>
              <w14:schemeClr w14:val="tx1"/>
            </w14:solidFill>
          </w14:textFill>
        </w:rPr>
      </w:pPr>
      <w:r>
        <w:rPr>
          <w:color w:val="000000" w:themeColor="text1"/>
          <w14:textFill>
            <w14:solidFill>
              <w14:schemeClr w14:val="tx1"/>
            </w14:solidFill>
          </w14:textFill>
        </w:rPr>
        <w:t>—在电缆敷设路径附近，当有产生明火的作业时，应采取防止火花损伤电缆的措施；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对需埋地敷设的电缆线路应设有走向标志和安全标志。电缆埋地深度不应小于0.7m，穿越道路时应加设防护套管；</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现场临时用电配电盘、箱应有电压标志和危险标志，应有防雨措施，盘、箱、门应能牢靠关闭并上锁管理；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临时用电设施应安装符合规范要求的漏电保护器，移动工具、手持式电动工具应逐个配置漏电保护器和电源开关。</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未经批准，临时用电单位不应向其他单位转供电或增加用电负荷，以及变更用电地点和用途。</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临时用电时间一般不超过15天，特殊情况不应超过30天；用于动火、受限空间作业的临时用电时间应和相应作业时间一致；用电结束后，用电单位应及时通知供电单位拆除临时用电线路。</w:t>
      </w:r>
    </w:p>
    <w:p>
      <w:pPr>
        <w:pStyle w:val="5"/>
        <w:ind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动火作业安全对策措施及建议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动火作业应有专人监护，作业前应清除动火现场及周围的易燃物品，或采取其他有效安全防火措施，并配备消防器材，满足作业现场应急需求。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凡在盛有或盛装过助燃或易燃易爆危险化学品的设备、管道等生产、储存设施及本文件规定的火灾爆炸危险场所中生产设备上的动火作业，应将上述设备设施与生产系统彻底断开或隔离，不应以水封或仅关闭阀门代替盲板作为隔断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拆除管线进行动火作业时，应先查明其内部介质危险特性、工艺条件及其走向，并根据所要拆除管线的情况制定安全防护措施。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动火点周围或其下方如有可燃物、电缆桥架、孔洞、</w:t>
      </w:r>
      <w:r>
        <w:rPr>
          <w:rFonts w:hint="eastAsia"/>
          <w:color w:val="000000" w:themeColor="text1"/>
          <w:lang w:val="en-US" w:eastAsia="zh-CN"/>
          <w14:textFill>
            <w14:solidFill>
              <w14:schemeClr w14:val="tx1"/>
            </w14:solidFill>
          </w14:textFill>
        </w:rPr>
        <w:t>窨</w:t>
      </w:r>
      <w:r>
        <w:rPr>
          <w:color w:val="000000" w:themeColor="text1"/>
          <w14:textFill>
            <w14:solidFill>
              <w14:schemeClr w14:val="tx1"/>
            </w14:solidFill>
          </w14:textFill>
        </w:rPr>
        <w:t>井、地沟等，应检查分析并采取清理或封盖等措施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对于动火点周围15m范围内有可能泄漏易燃、可燃物料的设备设施，应采取隔离措施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对于受热分解可产生易燃易爆、有毒有害物质的场所，应进行风险分析并采取清理或封盖等防护措施。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在有可燃物构件和使用可燃物做防腐内衬的设备内部进行动火作业时，应采取防火隔绝措施。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在作业过程中可能释放出易燃易爆、有毒有害物质的设备上或设备内部动火时，动火前应进行风险分析，并采取有效的防范措施，必要时应连续检测气体浓度，发现气体浓度超限报警时，应立即停止作业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在较长的物料管线上动火，动火前应在彻底隔绝区域内分段采样分析。</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在罐区防火堤内进行动火作业时，不应同时进行切水、取样作业。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动火期间，距动火点30m内不应排放可燃气体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距动火点15m内不应排放可燃液体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在动火点10m范围内、动火点上方及下方不应同时进行可燃溶剂清洗或喷漆作业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在动火点10m范围内不应进行可燃性粉尘</w:t>
      </w:r>
      <w:r>
        <w:rPr>
          <w:rFonts w:hint="eastAsia"/>
          <w:color w:val="000000" w:themeColor="text1"/>
          <w14:textFill>
            <w14:solidFill>
              <w14:schemeClr w14:val="tx1"/>
            </w14:solidFill>
          </w14:textFill>
        </w:rPr>
        <w:t>、灰尘及杂物</w:t>
      </w:r>
      <w:r>
        <w:rPr>
          <w:color w:val="000000" w:themeColor="text1"/>
          <w14:textFill>
            <w14:solidFill>
              <w14:schemeClr w14:val="tx1"/>
            </w14:solidFill>
          </w14:textFill>
        </w:rPr>
        <w:t>清扫作业。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在厂内铁路沿线25m以内动火作业时，如遇装有危险化学品的火车通过或停留时，应立即停止作业。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10.</w:t>
      </w:r>
      <w:r>
        <w:rPr>
          <w:color w:val="000000" w:themeColor="text1"/>
          <w14:textFill>
            <w14:solidFill>
              <w14:schemeClr w14:val="tx1"/>
            </w14:solidFill>
          </w14:textFill>
        </w:rPr>
        <w:t>特级动火作业应采集全过程作业影像，且作业现场使用的摄录设备应为防爆型。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11.</w:t>
      </w:r>
      <w:r>
        <w:rPr>
          <w:color w:val="000000" w:themeColor="text1"/>
          <w14:textFill>
            <w14:solidFill>
              <w14:schemeClr w14:val="tx1"/>
            </w14:solidFill>
          </w14:textFill>
        </w:rPr>
        <w:t>使用电焊机作业时，电焊机与动火点的间距不应超过10m，不能满足要求时应将电焊机作为动火点进行管理。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12.</w:t>
      </w:r>
      <w:r>
        <w:rPr>
          <w:color w:val="000000" w:themeColor="text1"/>
          <w14:textFill>
            <w14:solidFill>
              <w14:schemeClr w14:val="tx1"/>
            </w14:solidFill>
          </w14:textFill>
        </w:rPr>
        <w:t>使用气焊、气割动火作业时，乙炔瓶应直立放置，不应卧放使用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氧气瓶与乙炔瓶的间距不应小于5m，二者与动火点间距不应小于10m，并应采取防晒和防倾倒措施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乙炔瓶应安装防回火装置。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13.</w:t>
      </w:r>
      <w:r>
        <w:rPr>
          <w:color w:val="000000" w:themeColor="text1"/>
          <w14:textFill>
            <w14:solidFill>
              <w14:schemeClr w14:val="tx1"/>
            </w14:solidFill>
          </w14:textFill>
        </w:rPr>
        <w:t>作业完毕后应清理现场，确认无残留火种后方可离开。</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14.</w:t>
      </w:r>
      <w:r>
        <w:rPr>
          <w:color w:val="000000" w:themeColor="text1"/>
          <w14:textFill>
            <w14:solidFill>
              <w14:schemeClr w14:val="tx1"/>
            </w14:solidFill>
          </w14:textFill>
        </w:rPr>
        <w:t>遇五级风以上（含五级风）天气，禁止露天动火作业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因生产确需动火，动火作业应升级管理。</w:t>
      </w:r>
    </w:p>
    <w:p>
      <w:pPr>
        <w:pStyle w:val="4"/>
        <w:ind w:firstLine="562"/>
        <w:rPr>
          <w:color w:val="000000" w:themeColor="text1"/>
          <w14:textFill>
            <w14:solidFill>
              <w14:schemeClr w14:val="tx1"/>
            </w14:solidFill>
          </w14:textFill>
        </w:rPr>
      </w:pPr>
      <w:bookmarkStart w:id="424" w:name="_Toc8419"/>
      <w:r>
        <w:rPr>
          <w:rFonts w:hint="eastAsia"/>
          <w:color w:val="000000" w:themeColor="text1"/>
          <w14:textFill>
            <w14:solidFill>
              <w14:schemeClr w14:val="tx1"/>
            </w14:solidFill>
          </w14:textFill>
        </w:rPr>
        <w:t>加油站油品卸油对策措施</w:t>
      </w:r>
      <w:bookmarkEnd w:id="42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1.基本要</w:t>
      </w:r>
      <w:r>
        <w:rPr>
          <w:color w:val="000000" w:themeColor="text1"/>
          <w14:textFill>
            <w14:solidFill>
              <w14:schemeClr w14:val="tx1"/>
            </w14:solidFill>
          </w14:textFill>
        </w:rPr>
        <w:t>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（1）应具备密闭卸油的条件。</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（2）防雷﹑防静电接地设施应完好。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（3）油罐车排气管应安装阻火帽。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（4）卸油作业现场应至少配备2具手提式干粉灭火器和2块灭火毯等应急救援物资。</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（5）油罐车宜采用液位差自流方式卸油。</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（6）卸油作业区的辅助设施应具有防静电措施；进入卸油区作业的人员，应先通过具有报警功能的人体静电释放装置消除静电。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卸油</w:t>
      </w:r>
      <w:r>
        <w:rPr>
          <w:rFonts w:hint="eastAsia"/>
          <w:color w:val="000000" w:themeColor="text1"/>
          <w14:textFill>
            <w14:solidFill>
              <w14:schemeClr w14:val="tx1"/>
            </w14:solidFill>
          </w14:textFill>
        </w:rPr>
        <w:t>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（1）加油站人员应在确认油罐车无油品滴漏后，方可引导油罐车进入卸油作业区，油罐车在站内车速不应大于5km/h。</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（2）油罐车停于卸油停车位熄火并拉上手刹，车轮处宜放置与最大允许总质量和车轮尺寸相匹配的轮挡，车钥匙宜放置指定位置管控。</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（3）卸油人员应将防静电跨接线连接到油罐车专用接地端，并确认接触良好。</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（4）卸油作业现场应设置隔离警示标识。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（5）手提式灭火器宜摆放在距卸油口2m～3m处。</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（6）应在油罐车静置进行静电释放5min后，方可进行计量，取样和卸油等相关作业。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（7）检查确认油罐计量孔密闭良好，汽油罐通气管上阀门应处于关闭状态，安装呼吸阀的通气管上阀门应处于开启状态。</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（8）卸油前，应计量油罐的存油量，确认有足够的剩余容量，并核对罐车单据与油罐中油品的名称、牌号是否一致。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对油罐车进行人工取样时，人员应戴安全帽，应选用铝或铜等不发火花、不易积聚静电的器具；油样可通过卸油口回罐，不应从计量孔倒人。若人员在油罐车罐顶上取样，还应采取防坠落措施，并有人监护。</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（10）卸油人员应按工艺流程将卸油软管和汽油油气回收软管与油罐车和埋地油罐紧密连接，保持卸油软管自然弯曲。</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（11）经双方检查确认具备开阀卸油条件后，将卸油口对应油罐进油阀门打开（卸汽油时先打开气路阀门），再缓慢开启油罐车卸油阀门。通过采取调节阀门开度等措施控制卸油流速不大于4.5m/s。</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（12）卸油作业过程中应有专人监护，油罐车驾驶员和押运员不应同时离开作业现场。无人监护时，应停止作业。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（13）卸油作业过程中，不应开启计量孔，不应修理，擦洗油罐车，不应鸣笛；使用器具时要轻拿轻放；与该罐连接且无防水杂措施的加油机应停止加油作业。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（14）卸油时若发生油料溅溢或其他影响卸油安全情况时，应立即停止作业并及时处理。若发生事故，应立即停止作业，并按应急预案进行应急处置。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（15）卸至软管内无油后，应做好以下工作：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a）关闭软管两端阀门；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b）拆除软管，将卸油接口的密封盖盖紧并加锁；</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c）收回卸油软管和防静电跨接线，收存软管时不应抛摔，以防接头变形。</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（16）卸油结束后，卸油员应全面检查并确认状态正常，方可引导油罐车启动车辆，离站，并清理卸油现场，将应急器材放回原位。</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（17）</w:t>
      </w:r>
      <w:r>
        <w:rPr>
          <w:color w:val="000000" w:themeColor="text1"/>
          <w14:textFill>
            <w14:solidFill>
              <w14:schemeClr w14:val="tx1"/>
            </w14:solidFill>
          </w14:textFill>
        </w:rPr>
        <w:t>卸油口未使用时应加锁。</w:t>
      </w:r>
    </w:p>
    <w:p>
      <w:pPr>
        <w:pStyle w:val="4"/>
        <w:ind w:firstLine="562"/>
        <w:rPr>
          <w:color w:val="000000" w:themeColor="text1"/>
          <w14:textFill>
            <w14:solidFill>
              <w14:schemeClr w14:val="tx1"/>
            </w14:solidFill>
          </w14:textFill>
        </w:rPr>
      </w:pPr>
      <w:bookmarkStart w:id="425" w:name="_Toc1088"/>
      <w:r>
        <w:rPr>
          <w:rFonts w:hint="eastAsia"/>
          <w:color w:val="000000" w:themeColor="text1"/>
          <w14:textFill>
            <w14:solidFill>
              <w14:schemeClr w14:val="tx1"/>
            </w14:solidFill>
          </w14:textFill>
        </w:rPr>
        <w:t>加油站油品储存对策措施</w:t>
      </w:r>
      <w:bookmarkEnd w:id="425"/>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油品按种类分别储存在相应的油罐中</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油罐的通气管保证畅通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阻火器安全性能符合要求</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罐区所有设施配置静电接地装置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且符合规范标准要求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进行定期检查、检测</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油罐区配备消防器材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定期维护保养</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油罐区严禁烟火</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动火作业必须办理动火作业许可证</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油罐区通道、出入口和通向消防设施的道路保持畅通</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加强对员工安全作业的培训教育</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并做到持证上岗</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做好相应的测量记录。</w:t>
      </w:r>
    </w:p>
    <w:p>
      <w:pPr>
        <w:pStyle w:val="4"/>
        <w:ind w:firstLine="562"/>
        <w:rPr>
          <w:color w:val="000000" w:themeColor="text1"/>
          <w14:textFill>
            <w14:solidFill>
              <w14:schemeClr w14:val="tx1"/>
            </w14:solidFill>
          </w14:textFill>
        </w:rPr>
      </w:pPr>
      <w:bookmarkStart w:id="426" w:name="_Toc21386"/>
      <w:r>
        <w:rPr>
          <w:rFonts w:hint="eastAsia"/>
          <w:color w:val="000000" w:themeColor="text1"/>
          <w14:textFill>
            <w14:solidFill>
              <w14:schemeClr w14:val="tx1"/>
            </w14:solidFill>
          </w14:textFill>
        </w:rPr>
        <w:t>加油站油品计量对策措施</w:t>
      </w:r>
      <w:bookmarkEnd w:id="42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（1）应采用电子液位计进行测量。人工计量时，应使用符合计量和安全要求的计量器具。</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（2）油罐静态计量时，与该罐连接的给油设备应停止使用。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（3）卸油后，静置5 min后方可进行人工取样，测水和计量，人宜站在上风方向进行作业。对于汽油罐，若罐内正压，应先打开通气阀进行泄压后再打开量油帽，作业结束后，应及时复位。</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（4）采用人工取样、计量、测水和测温时，工具应符合安全要求，工具上提速度不应大于0.5m/s，下落速度不应大于1m/s。</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（5）夜间测量油罐时应使用防爆型照明设备。</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（6）编制油品计量安全操作规程，不断加强对员工安全作业的培训教育，并做到持证上岗；做好相应的测量记录。</w:t>
      </w:r>
    </w:p>
    <w:p>
      <w:pPr>
        <w:pStyle w:val="4"/>
        <w:ind w:firstLine="562"/>
        <w:rPr>
          <w:color w:val="000000" w:themeColor="text1"/>
          <w14:textFill>
            <w14:solidFill>
              <w14:schemeClr w14:val="tx1"/>
            </w14:solidFill>
          </w14:textFill>
        </w:rPr>
      </w:pPr>
      <w:bookmarkStart w:id="427" w:name="_Toc3008"/>
      <w:r>
        <w:rPr>
          <w:rFonts w:hint="eastAsia"/>
          <w:color w:val="000000" w:themeColor="text1"/>
          <w14:textFill>
            <w14:solidFill>
              <w14:schemeClr w14:val="tx1"/>
            </w14:solidFill>
          </w14:textFill>
        </w:rPr>
        <w:t>加油站加油对策措施</w:t>
      </w:r>
      <w:bookmarkEnd w:id="427"/>
    </w:p>
    <w:p>
      <w:pPr>
        <w:rPr>
          <w:color w:val="000000" w:themeColor="text1"/>
          <w14:textFill>
            <w14:solidFill>
              <w14:schemeClr w14:val="tx1"/>
            </w14:solidFill>
          </w14:textFill>
        </w:rPr>
      </w:pPr>
      <w:r>
        <w:rPr>
          <w:color w:val="000000" w:themeColor="text1"/>
          <w14:textFill>
            <w14:solidFill>
              <w14:schemeClr w14:val="tx1"/>
            </w14:solidFill>
          </w14:textFill>
        </w:rPr>
        <w:t>1.基本要求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（1）加油机附近应按GB 50156的要求配备灭火器和灭火毯。加油机爆炸危险区域内不应放置可燃性物品。</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（2）不应在加油作业区外进行加油作业。不应向未采取防止静电积聚措施的绝缘性容器进行散装加注。客户不应操作非自助加油机。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具有自助加油功能的加油站应在营业室内设置紧急切断系统，在事故状态下迅速切断油泵电源，紧急切断系统应为故障安全型；加油站应通过加油机音频提示客户进行加油操作。自助加油机处宜采取静电检测等技术措施，提示客户在靠近油箱前先消除人体静电。</w:t>
      </w:r>
    </w:p>
    <w:p>
      <w:pPr>
        <w:rPr>
          <w:color w:val="000000" w:themeColor="text1"/>
          <w14:textFill>
            <w14:solidFill>
              <w14:schemeClr w14:val="tx1"/>
            </w14:solidFill>
          </w14:textFill>
        </w:rPr>
      </w:pPr>
      <w:r>
        <w:rPr>
          <w:color w:val="000000" w:themeColor="text1"/>
          <w14:textFill>
            <w14:solidFill>
              <w14:schemeClr w14:val="tx1"/>
            </w14:solidFill>
          </w14:textFill>
        </w:rPr>
        <w:t>2.加油</w:t>
      </w:r>
      <w:r>
        <w:rPr>
          <w:rFonts w:hint="eastAsia"/>
          <w:color w:val="000000" w:themeColor="text1"/>
          <w14:textFill>
            <w14:solidFill>
              <w14:schemeClr w14:val="tx1"/>
            </w14:solidFill>
          </w14:textFill>
        </w:rPr>
        <w:t>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（1）车辆驶人非自助加油站时，加油员宜主动引导车辆进入加油位置。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（2）加油作业前，加油员应确认车辆停稳、熄火；摩托车驾驶人和乘座人员应离开座位，并将车辆熄火，放置平稳；加油员与客户确认油品的名称和牌号等信息；应提示客户在靠近油箱口前先释放人体静电。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（3）加油枪应为自封式加油枪，汽油加油流量不应大于50L/min。</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（4）加油时应避免油料溅出，若发生油料滴漏、溢洒或影响加油作业安全的情况，应立即停止加油，并及时处理。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（5）加完油后，应立即将加油枪复位于加油机。</w:t>
      </w:r>
    </w:p>
    <w:p>
      <w:pPr>
        <w:pStyle w:val="4"/>
        <w:ind w:firstLine="562"/>
        <w:rPr>
          <w:color w:val="000000" w:themeColor="text1"/>
          <w14:textFill>
            <w14:solidFill>
              <w14:schemeClr w14:val="tx1"/>
            </w14:solidFill>
          </w14:textFill>
        </w:rPr>
      </w:pPr>
      <w:bookmarkStart w:id="428" w:name="_Toc31315"/>
      <w:r>
        <w:rPr>
          <w:rFonts w:hint="eastAsia"/>
          <w:color w:val="000000" w:themeColor="text1"/>
          <w14:textFill>
            <w14:solidFill>
              <w14:schemeClr w14:val="tx1"/>
            </w14:solidFill>
          </w14:textFill>
        </w:rPr>
        <w:t>劳动防护用品配备和使用建议</w:t>
      </w:r>
      <w:bookmarkEnd w:id="428"/>
    </w:p>
    <w:p>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.防护用品配备</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加油站应当按照国家颁发的劳动防护用品配备标准以及有关规定，为从业人员配备劳动防护用品。</w:t>
      </w:r>
    </w:p>
    <w:p>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.防护用品佩戴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从业人员在作业过程中，必须严格按照安全生产规章制度和劳动防护用品使用规则，正确佩戴和使用劳动防护用品；未按规定佩戴和使用劳动防护用品的，不得上岗作业。</w:t>
      </w:r>
    </w:p>
    <w:p>
      <w:pPr>
        <w:pStyle w:val="4"/>
        <w:ind w:firstLine="562"/>
        <w:rPr>
          <w:color w:val="000000" w:themeColor="text1"/>
          <w14:textFill>
            <w14:solidFill>
              <w14:schemeClr w14:val="tx1"/>
            </w14:solidFill>
          </w14:textFill>
        </w:rPr>
      </w:pPr>
      <w:bookmarkStart w:id="429" w:name="_Toc3242"/>
      <w:r>
        <w:rPr>
          <w:rFonts w:hint="eastAsia"/>
          <w:color w:val="000000" w:themeColor="text1"/>
          <w14:textFill>
            <w14:solidFill>
              <w14:schemeClr w14:val="tx1"/>
            </w14:solidFill>
          </w14:textFill>
        </w:rPr>
        <w:t>安全管理对策措施及建议</w:t>
      </w:r>
      <w:bookmarkEnd w:id="429"/>
    </w:p>
    <w:p>
      <w:pP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.健全安全管理制度及安全操作规程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）健全安全经营责任制，明确各级各类人员安全职责。</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）健全各种安全管理制度，使加油站的安全管理工作有据可依，有章可循。</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）按照岗位设置情况具体制订各岗位安全操作规程，规范作业人员操作行为。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）依据《云南省安全生产条例》完善安全生产责任制及配套的考核制度。</w:t>
      </w:r>
    </w:p>
    <w:p>
      <w:pPr>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.安全培训、教育和考核</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）加油站主要负责人和安全生产管理人员必须具备相应的安全管理资格，并定期参加教育培训；</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定期对从业人员进行安全教育培训，包括新进员工的教育培训，搞好新职工的安全教育与培训，建设一支注重安全、懂得安全、保证安全的经营职工队伍。落实员工的安全技术培训、岗位技能培训、新工人（含临时工）的</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三级安全教育</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，保证员工具备必要的安全生产知识，熟悉有关的安全经营规章制度和安全操作规程，掌握本岗位的安全操作技能。主要技术骨干和操作人员在同类企业进行培训，经严格考试后方可上岗；</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）制定职工安全教育年度培训计划；</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）加油站人员宜全员进行消防培训。</w:t>
      </w:r>
    </w:p>
    <w:p>
      <w:pPr>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.事故应急预案</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根据相关法律法规规定，有下列情形之一的，需重新修订预案：</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（1）有关法律、法规、规章、标准、上位预案中的有关规定发生变化的；</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（2）应急指挥机构及职责发生重大调整的；</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（3）面临的风险发生重大变化的；</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（4）重要应急资源发生重大变化的；</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（5）预案中的其他重要信息发生变化的；</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（6）在突发事件实际应对和应急演练中发现需要作出重大调整的事项；</w:t>
      </w:r>
    </w:p>
    <w:p>
      <w:p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（7）应急预案编制单位认为应修订的其他情况。</w:t>
      </w:r>
    </w:p>
    <w:p>
      <w:pPr>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.日常安全管理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）在雨季应及时抽排油罐区积水。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（2）定期对加油机等设施检测，加强对储存设施、消防器材的维护、保养。</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（3）加强安全管理人员的培训，实行安全员跟班作业，进行安全生产教育和员工的岗位技能培训，提高员工的安全意识；当人员有变动后应对其相应的材料进行整理，把已不在此岗位的人名姓名进行相应变更。</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（4）加强作业现场管理，杜绝</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三违</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行为。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（5）严格按照操作规程进行清罐作业。</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加强经常性的安全教育培训，提高全体员工的安全意识。针对本站实际，安全教育内容至少包括以下内容：深入理解危险化学品标识提供的信息；了解重点部位、管理要求及一旦发生事故进行处理和救援的程序和办法；认真学习各项安全管理制度，包括安全生产责任制，安全生产规章制度、岗位安全操作规程，事故应急救援预案等。</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（7）加强对收、储、发油设施的安全检查和维护，确保设施完好。对消防设施和器材要定期检查，以免失效。对防雷设施要按照规定，定期请检测中心检测。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（8）结合工作实际，不断总结、完善各项安全管理规章制度和规范，适时修订，以确保安全管理质量和水平的提高。</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（9）加强站区地面油污的清洁工作。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）严禁向塑料桶内加油，严禁加油员之外的其他外来人员进行加油、卸油操作。</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）汽油属于特别管控危险化学品，应按照特别管控危险化学品的相关要求加强汽油储存、销售管理。</w:t>
      </w:r>
    </w:p>
    <w:p>
      <w:pPr>
        <w:rPr>
          <w:color w:val="000000" w:themeColor="text1"/>
          <w14:textFill>
            <w14:solidFill>
              <w14:schemeClr w14:val="tx1"/>
            </w14:solidFill>
          </w14:textFill>
        </w:rPr>
      </w:pPr>
      <w:r>
        <w:rPr>
          <w:color w:val="000000" w:themeColor="text1"/>
          <w14:textFill>
            <w14:solidFill>
              <w14:schemeClr w14:val="tx1"/>
            </w14:solidFill>
          </w14:textFill>
        </w:rPr>
        <w:t>5</w:t>
      </w:r>
      <w:r>
        <w:rPr>
          <w:rFonts w:hint="eastAsia"/>
          <w:color w:val="000000" w:themeColor="text1"/>
          <w14:textFill>
            <w14:solidFill>
              <w14:schemeClr w14:val="tx1"/>
            </w14:solidFill>
          </w14:textFill>
        </w:rPr>
        <w:t>.建立安全专项资金</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将安全投入资金单独列项，建立安全专项资金，从根本上保证安全资金的来源。</w:t>
      </w:r>
    </w:p>
    <w:p>
      <w:pPr>
        <w:rPr>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.购买保险</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为从业人员购买工伤保险，为从业人员办理意外伤害险。</w:t>
      </w:r>
    </w:p>
    <w:p>
      <w:pPr>
        <w:pStyle w:val="4"/>
        <w:ind w:firstLine="562"/>
        <w:rPr>
          <w:color w:val="000000" w:themeColor="text1"/>
          <w14:textFill>
            <w14:solidFill>
              <w14:schemeClr w14:val="tx1"/>
            </w14:solidFill>
          </w14:textFill>
        </w:rPr>
      </w:pPr>
      <w:bookmarkStart w:id="430" w:name="_Toc4194"/>
      <w:r>
        <w:rPr>
          <w:rFonts w:hint="eastAsia"/>
          <w:color w:val="000000" w:themeColor="text1"/>
          <w14:textFill>
            <w14:solidFill>
              <w14:schemeClr w14:val="tx1"/>
            </w14:solidFill>
          </w14:textFill>
        </w:rPr>
        <w:t>加油站设备设施安全对策措施和建议</w:t>
      </w:r>
      <w:bookmarkEnd w:id="43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加油站定期维护紧急切断系统，紧急切断系统应在加油现场工作人员容易接近的位置或在控制室、值班室内设置启动开关。紧急切断系统应只能手动复位。</w:t>
      </w:r>
    </w:p>
    <w:p>
      <w:pPr>
        <w:pStyle w:val="4"/>
        <w:ind w:firstLine="562"/>
        <w:rPr>
          <w:color w:val="000000" w:themeColor="text1"/>
          <w14:textFill>
            <w14:solidFill>
              <w14:schemeClr w14:val="tx1"/>
            </w14:solidFill>
          </w14:textFill>
        </w:rPr>
      </w:pPr>
      <w:bookmarkStart w:id="431" w:name="_Toc5679"/>
      <w:r>
        <w:rPr>
          <w:rFonts w:hint="eastAsia"/>
          <w:color w:val="000000" w:themeColor="text1"/>
          <w14:textFill>
            <w14:solidFill>
              <w14:schemeClr w14:val="tx1"/>
            </w14:solidFill>
          </w14:textFill>
        </w:rPr>
        <w:t>重点监管及特别管控危险化学品对策措施和建议</w:t>
      </w:r>
      <w:bookmarkEnd w:id="431"/>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1.一般要求</w:t>
      </w:r>
    </w:p>
    <w:p>
      <w:pPr>
        <w:rPr>
          <w:color w:val="000000" w:themeColor="text1"/>
          <w14:textFill>
            <w14:solidFill>
              <w14:schemeClr w14:val="tx1"/>
            </w14:solidFill>
          </w14:textFill>
        </w:rPr>
      </w:pPr>
      <w:r>
        <w:rPr>
          <w:color w:val="000000" w:themeColor="text1"/>
          <w14:textFill>
            <w14:solidFill>
              <w14:schemeClr w14:val="tx1"/>
            </w14:solidFill>
          </w14:textFill>
        </w:rPr>
        <w:t>操作人员必须经过专门培训</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严格遵守操作规程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熟练掌握操作技能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具备应急处置知识。</w:t>
      </w:r>
    </w:p>
    <w:p>
      <w:pPr>
        <w:rPr>
          <w:color w:val="000000" w:themeColor="text1"/>
          <w14:textFill>
            <w14:solidFill>
              <w14:schemeClr w14:val="tx1"/>
            </w14:solidFill>
          </w14:textFill>
        </w:rPr>
      </w:pPr>
      <w:r>
        <w:rPr>
          <w:color w:val="000000" w:themeColor="text1"/>
          <w14:textFill>
            <w14:solidFill>
              <w14:schemeClr w14:val="tx1"/>
            </w14:solidFill>
          </w14:textFill>
        </w:rPr>
        <w:t>密闭操作</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防止泄漏</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工作场所全面通风。远离火种、热源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工作场所严禁吸烟。配备易燃气体泄漏监测报警仪</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使用防爆型通风系统和设备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配备两套以上重型防护服。操作人员穿防静电工作服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戴耐油橡胶手套。</w:t>
      </w:r>
    </w:p>
    <w:p>
      <w:pPr>
        <w:rPr>
          <w:color w:val="000000" w:themeColor="text1"/>
          <w14:textFill>
            <w14:solidFill>
              <w14:schemeClr w14:val="tx1"/>
            </w14:solidFill>
          </w14:textFill>
        </w:rPr>
      </w:pPr>
      <w:r>
        <w:rPr>
          <w:color w:val="000000" w:themeColor="text1"/>
          <w14:textFill>
            <w14:solidFill>
              <w14:schemeClr w14:val="tx1"/>
            </w14:solidFill>
          </w14:textFill>
        </w:rPr>
        <w:t>储存区域设置安全警示标志。灌装时控制流速</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且有</w:t>
      </w:r>
      <w:r>
        <w:rPr>
          <w:rFonts w:hint="eastAsia"/>
          <w:color w:val="000000" w:themeColor="text1"/>
          <w14:textFill>
            <w14:solidFill>
              <w14:schemeClr w14:val="tx1"/>
            </w14:solidFill>
          </w14:textFill>
        </w:rPr>
        <w:t>良好的</w:t>
      </w:r>
      <w:r>
        <w:rPr>
          <w:color w:val="000000" w:themeColor="text1"/>
          <w14:textFill>
            <w14:solidFill>
              <w14:schemeClr w14:val="tx1"/>
            </w14:solidFill>
          </w14:textFill>
        </w:rPr>
        <w:t>接地装置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防止静电积聚。搬运时要轻装轻卸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防止包装及容器损坏。配备相应品种和数量的消防器材及泄漏应急处理设备。</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操作安全</w:t>
      </w:r>
    </w:p>
    <w:p>
      <w:pPr>
        <w:rPr>
          <w:color w:val="000000" w:themeColor="text1"/>
          <w14:textFill>
            <w14:solidFill>
              <w14:schemeClr w14:val="tx1"/>
            </w14:solidFill>
          </w14:textFill>
        </w:rPr>
      </w:pPr>
      <w:r>
        <w:rPr>
          <w:color w:val="000000" w:themeColor="text1"/>
          <w14:textFill>
            <w14:solidFill>
              <w14:schemeClr w14:val="tx1"/>
            </w14:solidFill>
          </w14:textFill>
        </w:rPr>
        <w:t>（1）油罐</w:t>
      </w:r>
      <w:r>
        <w:rPr>
          <w:rFonts w:hint="eastAsia"/>
          <w:color w:val="000000" w:themeColor="text1"/>
          <w14:textFill>
            <w14:solidFill>
              <w14:schemeClr w14:val="tx1"/>
            </w14:solidFill>
          </w14:textFill>
        </w:rPr>
        <w:t>及卸油点</w:t>
      </w:r>
      <w:r>
        <w:rPr>
          <w:color w:val="000000" w:themeColor="text1"/>
          <w14:textFill>
            <w14:solidFill>
              <w14:schemeClr w14:val="tx1"/>
            </w14:solidFill>
          </w14:textFill>
        </w:rPr>
        <w:t>附近严禁烟火。禁止将汽油与其他易燃物放在一起。</w:t>
      </w:r>
    </w:p>
    <w:p>
      <w:pPr>
        <w:rPr>
          <w:color w:val="000000" w:themeColor="text1"/>
          <w14:textFill>
            <w14:solidFill>
              <w14:schemeClr w14:val="tx1"/>
            </w14:solidFill>
          </w14:textFill>
        </w:rPr>
      </w:pPr>
      <w:r>
        <w:rPr>
          <w:color w:val="000000" w:themeColor="text1"/>
          <w14:textFill>
            <w14:solidFill>
              <w14:schemeClr w14:val="tx1"/>
            </w14:solidFill>
          </w14:textFill>
        </w:rPr>
        <w:t>（2）往油罐或油罐汽车装油时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输油管要插入油面以下或接近罐的底部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以减少油料的冲击和与空气的摩擦。不</w:t>
      </w:r>
      <w:r>
        <w:rPr>
          <w:rFonts w:hint="eastAsia"/>
          <w:color w:val="000000" w:themeColor="text1"/>
          <w14:textFill>
            <w14:solidFill>
              <w14:schemeClr w14:val="tx1"/>
            </w14:solidFill>
          </w14:textFill>
        </w:rPr>
        <w:t>能</w:t>
      </w:r>
      <w:r>
        <w:rPr>
          <w:color w:val="000000" w:themeColor="text1"/>
          <w14:textFill>
            <w14:solidFill>
              <w14:schemeClr w14:val="tx1"/>
            </w14:solidFill>
          </w14:textFill>
        </w:rPr>
        <w:t>用铁器工具敲击汽油桶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特别是空汽油桶更危险</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桶内充满汽油与空气的混合气</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而且经常处于爆炸极限之内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一遇明火</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就能引起爆炸</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p>
    <w:p>
      <w:pPr>
        <w:rPr>
          <w:color w:val="000000" w:themeColor="text1"/>
          <w14:textFill>
            <w14:solidFill>
              <w14:schemeClr w14:val="tx1"/>
            </w14:solidFill>
          </w14:textFill>
        </w:rPr>
      </w:pPr>
      <w:r>
        <w:rPr>
          <w:color w:val="000000" w:themeColor="text1"/>
          <w14:textFill>
            <w14:solidFill>
              <w14:schemeClr w14:val="tx1"/>
            </w14:solidFill>
          </w14:textFill>
        </w:rPr>
        <w:t>（3）存汽油地点附近严禁检修车辆。</w:t>
      </w:r>
    </w:p>
    <w:p>
      <w:pPr>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）注意操作场所的通风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使油蒸气容易逸散。</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3.储存安全</w:t>
      </w:r>
    </w:p>
    <w:p>
      <w:pPr>
        <w:rPr>
          <w:color w:val="000000" w:themeColor="text1"/>
          <w14:textFill>
            <w14:solidFill>
              <w14:schemeClr w14:val="tx1"/>
            </w14:solidFill>
          </w14:textFill>
        </w:rPr>
      </w:pPr>
      <w:r>
        <w:rPr>
          <w:color w:val="000000" w:themeColor="text1"/>
          <w14:textFill>
            <w14:solidFill>
              <w14:schemeClr w14:val="tx1"/>
            </w14:solidFill>
          </w14:textFill>
        </w:rPr>
        <w:t>采用防爆型照明、通风设施。禁止使用易产生火花的机械设备和工具。储存区应备有泄漏应急处理设备和合适的收容材料。罐储时要有防火防爆</w:t>
      </w:r>
      <w:r>
        <w:rPr>
          <w:rFonts w:hint="eastAsia"/>
          <w:color w:val="000000" w:themeColor="text1"/>
          <w14:textFill>
            <w14:solidFill>
              <w14:schemeClr w14:val="tx1"/>
            </w14:solidFill>
          </w14:textFill>
        </w:rPr>
        <w:t>安全</w:t>
      </w:r>
      <w:r>
        <w:rPr>
          <w:color w:val="000000" w:themeColor="text1"/>
          <w14:textFill>
            <w14:solidFill>
              <w14:schemeClr w14:val="tx1"/>
            </w14:solidFill>
          </w14:textFill>
        </w:rPr>
        <w:t>技术措施。</w:t>
      </w:r>
      <w:bookmarkStart w:id="432" w:name="_Toc258574859"/>
      <w:bookmarkStart w:id="433" w:name="_Toc19517677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4.运输安全</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运输车辆应有危险货物运输标志、安装具有行驶记录功能的卫星定位装置。未经公安机关批准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运输车辆不得进入限制通行的区域。</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汽油装于专用的槽车内运输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槽车应定期清理。运送汽油的油罐汽车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必须有导静电拖线。对有每分钟0.5</w:t>
      </w:r>
      <w:r>
        <w:rPr>
          <w:rFonts w:hint="eastAsia"/>
          <w:color w:val="000000" w:themeColor="text1"/>
          <w14:textFill>
            <w14:solidFill>
              <w14:schemeClr w14:val="tx1"/>
            </w14:solidFill>
          </w14:textFill>
        </w:rPr>
        <w:t>m³</w:t>
      </w:r>
      <w:r>
        <w:rPr>
          <w:color w:val="000000" w:themeColor="text1"/>
          <w14:textFill>
            <w14:solidFill>
              <w14:schemeClr w14:val="tx1"/>
            </w14:solidFill>
          </w14:textFill>
        </w:rPr>
        <w:t>以上的快速装卸油设备的油罐汽车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在装卸油时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除了保证铁链接地外</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更要将车上油罐的接地线插入地下并不得浅于100mm。运输时运输车辆应配备相应品种和数量的消防器材。装运该物品的车辆排气管必须配备阻火装置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禁止使用易产生火花的机械设备和工具装卸。汽车槽罐内可设孔隔板以减少</w:t>
      </w:r>
      <w:r>
        <w:rPr>
          <w:rFonts w:hint="eastAsia"/>
          <w:color w:val="000000" w:themeColor="text1"/>
          <w14:textFill>
            <w14:solidFill>
              <w14:schemeClr w14:val="tx1"/>
            </w14:solidFill>
          </w14:textFill>
        </w:rPr>
        <w:t>振荡</w:t>
      </w:r>
      <w:r>
        <w:rPr>
          <w:color w:val="000000" w:themeColor="text1"/>
          <w14:textFill>
            <w14:solidFill>
              <w14:schemeClr w14:val="tx1"/>
            </w14:solidFill>
          </w14:textFill>
        </w:rPr>
        <w:t>产生静电。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夏季最好早晚运输</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运输途中应防</w:t>
      </w:r>
      <w:r>
        <w:rPr>
          <w:rFonts w:hint="eastAsia"/>
          <w:color w:val="000000" w:themeColor="text1"/>
          <w14:textFill>
            <w14:solidFill>
              <w14:schemeClr w14:val="tx1"/>
            </w14:solidFill>
          </w14:textFill>
        </w:rPr>
        <w:t>暴晒</w:t>
      </w:r>
      <w:r>
        <w:rPr>
          <w:color w:val="000000" w:themeColor="text1"/>
          <w14:textFill>
            <w14:solidFill>
              <w14:schemeClr w14:val="tx1"/>
            </w14:solidFill>
          </w14:textFill>
        </w:rPr>
        <w:t>、防雨淋、防高温。中途停留时应远离火种、热源、高温区及人口密集地段。</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汽油应急处置原则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【急救措施】</w:t>
      </w:r>
    </w:p>
    <w:p>
      <w:pPr>
        <w:rPr>
          <w:color w:val="000000" w:themeColor="text1"/>
          <w14:textFill>
            <w14:solidFill>
              <w14:schemeClr w14:val="tx1"/>
            </w14:solidFill>
          </w14:textFill>
        </w:rPr>
      </w:pPr>
      <w:r>
        <w:rPr>
          <w:color w:val="000000" w:themeColor="text1"/>
          <w14:textFill>
            <w14:solidFill>
              <w14:schemeClr w14:val="tx1"/>
            </w14:solidFill>
          </w14:textFill>
        </w:rPr>
        <w:t>吸入：迅速脱离现场至空气新鲜处。保持呼吸道通畅。如呼吸困难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给氧。如呼吸停止</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立即进行人工呼吸。就医。</w:t>
      </w:r>
    </w:p>
    <w:p>
      <w:pPr>
        <w:rPr>
          <w:color w:val="000000" w:themeColor="text1"/>
          <w14:textFill>
            <w14:solidFill>
              <w14:schemeClr w14:val="tx1"/>
            </w14:solidFill>
          </w14:textFill>
        </w:rPr>
      </w:pPr>
      <w:r>
        <w:rPr>
          <w:color w:val="000000" w:themeColor="text1"/>
          <w14:textFill>
            <w14:solidFill>
              <w14:schemeClr w14:val="tx1"/>
            </w14:solidFill>
          </w14:textFill>
        </w:rPr>
        <w:t>食入：给饮牛奶或用植物油洗胃和灌肠。就医。</w:t>
      </w:r>
    </w:p>
    <w:p>
      <w:pPr>
        <w:rPr>
          <w:color w:val="000000" w:themeColor="text1"/>
          <w14:textFill>
            <w14:solidFill>
              <w14:schemeClr w14:val="tx1"/>
            </w14:solidFill>
          </w14:textFill>
        </w:rPr>
      </w:pPr>
      <w:r>
        <w:rPr>
          <w:color w:val="000000" w:themeColor="text1"/>
          <w14:textFill>
            <w14:solidFill>
              <w14:schemeClr w14:val="tx1"/>
            </w14:solidFill>
          </w14:textFill>
        </w:rPr>
        <w:t>皮肤接触：立即脱去污染的衣着</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用肥皂水和清水彻底冲洗皮肤。就医。</w:t>
      </w:r>
    </w:p>
    <w:p>
      <w:pPr>
        <w:rPr>
          <w:color w:val="000000" w:themeColor="text1"/>
          <w14:textFill>
            <w14:solidFill>
              <w14:schemeClr w14:val="tx1"/>
            </w14:solidFill>
          </w14:textFill>
        </w:rPr>
      </w:pPr>
      <w:r>
        <w:rPr>
          <w:color w:val="000000" w:themeColor="text1"/>
          <w14:textFill>
            <w14:solidFill>
              <w14:schemeClr w14:val="tx1"/>
            </w14:solidFill>
          </w14:textFill>
        </w:rPr>
        <w:t>眼睛接触：立即提起眼睑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用大量流动清水或生理盐水彻底冲洗至少15</w:t>
      </w:r>
      <w:r>
        <w:rPr>
          <w:rFonts w:hint="eastAsia"/>
          <w:color w:val="000000" w:themeColor="text1"/>
          <w14:textFill>
            <w14:solidFill>
              <w14:schemeClr w14:val="tx1"/>
            </w14:solidFill>
          </w14:textFill>
        </w:rPr>
        <w:t>min</w:t>
      </w:r>
      <w:r>
        <w:rPr>
          <w:color w:val="000000" w:themeColor="text1"/>
          <w14:textFill>
            <w14:solidFill>
              <w14:schemeClr w14:val="tx1"/>
            </w14:solidFill>
          </w14:textFill>
        </w:rPr>
        <w:t>。就医。</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【灭火方法】</w:t>
      </w:r>
    </w:p>
    <w:p>
      <w:pPr>
        <w:rPr>
          <w:color w:val="000000" w:themeColor="text1"/>
          <w14:textFill>
            <w14:solidFill>
              <w14:schemeClr w14:val="tx1"/>
            </w14:solidFill>
          </w14:textFill>
        </w:rPr>
      </w:pPr>
      <w:r>
        <w:rPr>
          <w:color w:val="000000" w:themeColor="text1"/>
          <w14:textFill>
            <w14:solidFill>
              <w14:schemeClr w14:val="tx1"/>
            </w14:solidFill>
          </w14:textFill>
        </w:rPr>
        <w:t>喷水冷却容器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尽可能将容器从火场移至空旷处。</w:t>
      </w:r>
    </w:p>
    <w:p>
      <w:pPr>
        <w:rPr>
          <w:color w:val="000000" w:themeColor="text1"/>
          <w14:textFill>
            <w14:solidFill>
              <w14:schemeClr w14:val="tx1"/>
            </w14:solidFill>
          </w14:textFill>
        </w:rPr>
      </w:pPr>
      <w:r>
        <w:rPr>
          <w:color w:val="000000" w:themeColor="text1"/>
          <w14:textFill>
            <w14:solidFill>
              <w14:schemeClr w14:val="tx1"/>
            </w14:solidFill>
          </w14:textFill>
        </w:rPr>
        <w:t>灭火剂：泡沫、干粉、二氧化碳。用水灭火无效。</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【泄漏应急处置】</w:t>
      </w:r>
    </w:p>
    <w:p>
      <w:pPr>
        <w:rPr>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r>
        <w:rPr>
          <w:color w:val="000000" w:themeColor="text1"/>
          <w14:textFill>
            <w14:solidFill>
              <w14:schemeClr w14:val="tx1"/>
            </w14:solidFill>
          </w14:textFill>
        </w:rPr>
        <w:t>消除所有点火源。根据液体流动和蒸气扩散的影响区域划定警戒区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无关人员从侧风、上风向撤离至安全区。建议应急处理人员戴正压自给式空气呼吸器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穿防毒、防静电服。作业时使用的所有设备应接地。禁止接触或跨越泄漏物。尽可能切断泄漏源。防止泄漏物进入水体、下水道、地下室或密闭性空间。小量泄漏：用</w:t>
      </w:r>
      <w:r>
        <w:rPr>
          <w:rFonts w:hint="eastAsia"/>
          <w:color w:val="000000" w:themeColor="text1"/>
          <w14:textFill>
            <w14:solidFill>
              <w14:schemeClr w14:val="tx1"/>
            </w14:solidFill>
          </w14:textFill>
        </w:rPr>
        <w:t>沙土</w:t>
      </w:r>
      <w:r>
        <w:rPr>
          <w:color w:val="000000" w:themeColor="text1"/>
          <w14:textFill>
            <w14:solidFill>
              <w14:schemeClr w14:val="tx1"/>
            </w14:solidFill>
          </w14:textFill>
        </w:rPr>
        <w:t>或其它不燃材料吸收。使用洁净的无火花工具收集吸收材料。大量泄漏：构筑围堤或挖坑收容。用泡沫覆盖</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减少蒸发。喷水雾能减少蒸发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但不能降低泄漏物在受限制空间内的易燃性。用防爆泵转移至槽车或专用收集器内。</w:t>
      </w:r>
    </w:p>
    <w:p>
      <w:pPr>
        <w:pStyle w:val="2"/>
        <w:spacing w:before="193" w:after="193"/>
        <w:rPr>
          <w:color w:val="000000" w:themeColor="text1"/>
          <w14:textFill>
            <w14:solidFill>
              <w14:schemeClr w14:val="tx1"/>
            </w14:solidFill>
          </w14:textFill>
        </w:rPr>
      </w:pPr>
      <w:bookmarkStart w:id="434" w:name="_Toc20058"/>
      <w:r>
        <w:rPr>
          <w:rFonts w:hint="eastAsia"/>
          <w:color w:val="000000" w:themeColor="text1"/>
          <w14:textFill>
            <w14:solidFill>
              <w14:schemeClr w14:val="tx1"/>
            </w14:solidFill>
          </w14:textFill>
        </w:rPr>
        <w:t>评价结论</w:t>
      </w:r>
      <w:bookmarkEnd w:id="432"/>
      <w:bookmarkEnd w:id="433"/>
      <w:bookmarkEnd w:id="434"/>
    </w:p>
    <w:p>
      <w:pPr>
        <w:pStyle w:val="3"/>
        <w:rPr>
          <w:color w:val="000000" w:themeColor="text1"/>
          <w14:textFill>
            <w14:solidFill>
              <w14:schemeClr w14:val="tx1"/>
            </w14:solidFill>
          </w14:textFill>
        </w:rPr>
      </w:pPr>
      <w:bookmarkStart w:id="435" w:name="_Toc5074"/>
      <w:bookmarkStart w:id="436" w:name="_Toc258574860"/>
      <w:bookmarkStart w:id="437" w:name="_Toc195176777"/>
      <w:r>
        <w:rPr>
          <w:rFonts w:hint="eastAsia"/>
          <w:color w:val="000000" w:themeColor="text1"/>
          <w14:textFill>
            <w14:solidFill>
              <w14:schemeClr w14:val="tx1"/>
            </w14:solidFill>
          </w14:textFill>
        </w:rPr>
        <w:t>加油站</w:t>
      </w:r>
      <w:r>
        <w:rPr>
          <w:color w:val="000000" w:themeColor="text1"/>
          <w14:textFill>
            <w14:solidFill>
              <w14:schemeClr w14:val="tx1"/>
            </w14:solidFill>
          </w14:textFill>
        </w:rPr>
        <w:t>存在的危险、有害因素及其危险危害程度</w:t>
      </w:r>
      <w:bookmarkEnd w:id="435"/>
      <w:bookmarkEnd w:id="436"/>
    </w:p>
    <w:p>
      <w:pPr>
        <w:pStyle w:val="45"/>
        <w:ind w:firstLine="56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通过对加油站危险有害因素分析结果和预先危险性分析过程（定性分析危险、有害程度）表明，该加油站涉及的危险化学品主要为汽油和柴油，涉及的主要危险有害因素有火灾爆炸、触电、坍塌、车辆伤害、中毒、窒息、受限空间作业、高处坠落和雷击危险性等。其中，火灾爆炸、坍塌的危险性等级为Ⅳ级，窒息、车辆伤害、触电、中毒、高处坠落、机械伤害的危险性等级为III级。</w:t>
      </w:r>
    </w:p>
    <w:p>
      <w:pPr>
        <w:pStyle w:val="3"/>
        <w:rPr>
          <w:color w:val="000000" w:themeColor="text1"/>
          <w14:textFill>
            <w14:solidFill>
              <w14:schemeClr w14:val="tx1"/>
            </w14:solidFill>
          </w14:textFill>
        </w:rPr>
      </w:pPr>
      <w:bookmarkStart w:id="438" w:name="_Toc258574862"/>
      <w:bookmarkStart w:id="439" w:name="_Toc22899"/>
      <w:r>
        <w:rPr>
          <w:rFonts w:hint="eastAsia"/>
          <w:color w:val="000000" w:themeColor="text1"/>
          <w14:textFill>
            <w14:solidFill>
              <w14:schemeClr w14:val="tx1"/>
            </w14:solidFill>
          </w14:textFill>
        </w:rPr>
        <w:t>各单元评价</w:t>
      </w:r>
      <w:bookmarkEnd w:id="438"/>
      <w:r>
        <w:rPr>
          <w:rFonts w:hint="eastAsia"/>
          <w:color w:val="000000" w:themeColor="text1"/>
          <w14:textFill>
            <w14:solidFill>
              <w14:schemeClr w14:val="tx1"/>
            </w14:solidFill>
          </w14:textFill>
        </w:rPr>
        <w:t>综述</w:t>
      </w:r>
      <w:bookmarkEnd w:id="439"/>
    </w:p>
    <w:p>
      <w:pPr>
        <w:rPr>
          <w:color w:val="000000" w:themeColor="text1"/>
          <w14:textFill>
            <w14:solidFill>
              <w14:schemeClr w14:val="tx1"/>
            </w14:solidFill>
          </w14:textFill>
        </w:rPr>
      </w:pPr>
      <w:r>
        <w:rPr>
          <w:color w:val="000000" w:themeColor="text1"/>
          <w14:textFill>
            <w14:solidFill>
              <w14:schemeClr w14:val="tx1"/>
            </w14:solidFill>
          </w14:textFill>
        </w:rPr>
        <w:t>根据上述安全评价结果和国家现行有关安全生产法律、法规和部门规章及标准的规定和要求</w:t>
      </w:r>
      <w:r>
        <w:rPr>
          <w:rFonts w:hint="eastAsia"/>
          <w:color w:val="000000" w:themeColor="text1"/>
          <w14:textFill>
            <w14:solidFill>
              <w14:schemeClr w14:val="tx1"/>
            </w14:solidFill>
          </w14:textFill>
        </w:rPr>
        <w:t>，对</w:t>
      </w: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形成如下评价结论：</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外部安全条件单元：该加油站周边环境对加油站的影响在可接受范围内，所在地的自然条件对加油站运行的影响在可接受和可控制的范围内。</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平面布置单元：</w:t>
      </w:r>
      <w:r>
        <w:rPr>
          <w:color w:val="000000" w:themeColor="text1"/>
          <w14:textFill>
            <w14:solidFill>
              <w14:schemeClr w14:val="tx1"/>
            </w14:solidFill>
          </w14:textFill>
        </w:rPr>
        <w:t>该</w:t>
      </w:r>
      <w:r>
        <w:rPr>
          <w:rFonts w:hint="eastAsia"/>
          <w:color w:val="000000" w:themeColor="text1"/>
          <w14:textFill>
            <w14:solidFill>
              <w14:schemeClr w14:val="tx1"/>
            </w14:solidFill>
          </w14:textFill>
        </w:rPr>
        <w:t>加油站的</w:t>
      </w:r>
      <w:r>
        <w:rPr>
          <w:color w:val="000000" w:themeColor="text1"/>
          <w14:textFill>
            <w14:solidFill>
              <w14:schemeClr w14:val="tx1"/>
            </w14:solidFill>
          </w14:textFill>
        </w:rPr>
        <w:t>平面布置</w:t>
      </w:r>
      <w:r>
        <w:rPr>
          <w:rFonts w:hint="eastAsia"/>
          <w:color w:val="000000" w:themeColor="text1"/>
          <w14:textFill>
            <w14:solidFill>
              <w14:schemeClr w14:val="tx1"/>
            </w14:solidFill>
          </w14:textFill>
        </w:rPr>
        <w:t>合理，功能设置分区划分明确，总体布置</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《汽车加油加气加氢站技术标准》（GB50156-2021）的</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工艺及设施单元：加油站采用的技术为国内成熟的加油工艺，油罐采用埋地设置，采用潜油泵供油工艺，设置有汽油加油油气回收系统和卸油油气回收系统。设备的安全、可靠性均能满足加油站的正常经营要求。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公用工程单元：该加油站采用外接电源供电，加油站的供排水、供配电均能够满足加油站正常经营的要求。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安全设施单元：该加油站设置的安全设施符合《汽车加油加气加氢站技术标准》（GB50156-2021）的要求。</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安全管理单元：该加油站建立了相应的安全管理组织，制定了相应的安全管理规章制度。应急预案已备案，配备的救援器材满足加油站应急救援的需要。</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重大事故隐患分析评价单元：通过检查分析，该加油站现阶段无重大生产安全事故隐患。</w:t>
      </w:r>
    </w:p>
    <w:p>
      <w:pPr>
        <w:pStyle w:val="3"/>
        <w:rPr>
          <w:color w:val="000000" w:themeColor="text1"/>
          <w14:textFill>
            <w14:solidFill>
              <w14:schemeClr w14:val="tx1"/>
            </w14:solidFill>
          </w14:textFill>
        </w:rPr>
      </w:pPr>
      <w:bookmarkStart w:id="440" w:name="_Toc258574861"/>
      <w:bookmarkStart w:id="441" w:name="_Toc26274"/>
      <w:bookmarkStart w:id="442" w:name="_Toc258574863"/>
      <w:r>
        <w:rPr>
          <w:rFonts w:hint="eastAsia"/>
          <w:color w:val="000000" w:themeColor="text1"/>
          <w14:textFill>
            <w14:solidFill>
              <w14:schemeClr w14:val="tx1"/>
            </w14:solidFill>
          </w14:textFill>
        </w:rPr>
        <w:t>应重视的危险有害因素</w:t>
      </w:r>
      <w:bookmarkEnd w:id="440"/>
      <w:bookmarkEnd w:id="441"/>
    </w:p>
    <w:p>
      <w:pP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丘北天星正才加油站</w:t>
      </w:r>
      <w:r>
        <w:rPr>
          <w:rFonts w:hint="eastAsia"/>
          <w:color w:val="000000" w:themeColor="text1"/>
          <w14:textFill>
            <w14:solidFill>
              <w14:schemeClr w14:val="tx1"/>
            </w14:solidFill>
          </w14:textFill>
        </w:rPr>
        <w:t>应重视的危险、有害因素是火灾、爆炸。该加油站经营的汽油为国家首批重点监管及特别管控的危险化学品，应按要求采取相应的安全对策措施，确保油品经营的安全。</w:t>
      </w:r>
    </w:p>
    <w:p>
      <w:pPr>
        <w:pStyle w:val="3"/>
        <w:rPr>
          <w:color w:val="000000" w:themeColor="text1"/>
          <w14:textFill>
            <w14:solidFill>
              <w14:schemeClr w14:val="tx1"/>
            </w14:solidFill>
          </w14:textFill>
        </w:rPr>
      </w:pPr>
      <w:bookmarkStart w:id="443" w:name="_Toc1106"/>
      <w:r>
        <w:rPr>
          <w:rFonts w:hint="eastAsia"/>
          <w:color w:val="000000" w:themeColor="text1"/>
          <w14:textFill>
            <w14:solidFill>
              <w14:schemeClr w14:val="tx1"/>
            </w14:solidFill>
          </w14:textFill>
        </w:rPr>
        <w:t>应重视的安全对策措施及建议</w:t>
      </w:r>
      <w:bookmarkEnd w:id="443"/>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（1）防火、防爆安全对策措施及建议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（2）电气系统安全对策措施及建议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（3）防雷、防静电安全对策措施及建议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（4）特殊作业安全对策措施及建议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（5）劳动防护用品配备和使用建议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（6）安全管理对策措施及建议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（7）加油站设备设施安全对策措施和建议</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（8）重点监管及特别管控危险化学品对策措施和建议</w:t>
      </w:r>
    </w:p>
    <w:p>
      <w:pPr>
        <w:pStyle w:val="3"/>
        <w:rPr>
          <w:color w:val="000000" w:themeColor="text1"/>
          <w14:textFill>
            <w14:solidFill>
              <w14:schemeClr w14:val="tx1"/>
            </w14:solidFill>
          </w14:textFill>
        </w:rPr>
      </w:pPr>
      <w:bookmarkStart w:id="444" w:name="_Toc32060"/>
      <w:r>
        <w:rPr>
          <w:rFonts w:hint="eastAsia"/>
          <w:color w:val="000000" w:themeColor="text1"/>
          <w14:textFill>
            <w14:solidFill>
              <w14:schemeClr w14:val="tx1"/>
            </w14:solidFill>
          </w14:textFill>
        </w:rPr>
        <w:t>评价结论</w:t>
      </w:r>
      <w:bookmarkEnd w:id="442"/>
      <w:bookmarkEnd w:id="444"/>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通过对加油站外部安全条件、加油站平面布置、加油站工艺及设施、公用工程、安全设施、安全管理等方面的综合分析评价，评价组认为：</w:t>
      </w:r>
    </w:p>
    <w:p>
      <w:pPr>
        <w:rPr>
          <w:b/>
          <w:bCs/>
          <w:color w:val="000000" w:themeColor="text1"/>
          <w14:textFill>
            <w14:solidFill>
              <w14:schemeClr w14:val="tx1"/>
            </w14:solidFill>
          </w14:textFill>
        </w:rPr>
        <w:sectPr>
          <w:pgSz w:w="11905" w:h="16838"/>
          <w:pgMar w:top="1417" w:right="1134" w:bottom="1134" w:left="1587" w:header="850" w:footer="850" w:gutter="0"/>
          <w:cols w:space="0" w:num="1"/>
          <w:docGrid w:type="linesAndChars" w:linePitch="386" w:charSpace="0"/>
        </w:sectPr>
      </w:pPr>
      <w:r>
        <w:rPr>
          <w:rFonts w:hint="eastAsia"/>
          <w:color w:val="000000" w:themeColor="text1"/>
          <w14:textFill>
            <w14:solidFill>
              <w14:schemeClr w14:val="tx1"/>
            </w14:solidFill>
          </w14:textFill>
        </w:rPr>
        <w:t>加油站与周边环境设施、加油站内部设备设施的安全距离满足规范要求；加油站的平面布置合理，采用的工艺系统及设备设施</w:t>
      </w:r>
      <w:r>
        <w:rPr>
          <w:color w:val="000000" w:themeColor="text1"/>
          <w14:textFill>
            <w14:solidFill>
              <w14:schemeClr w14:val="tx1"/>
            </w14:solidFill>
          </w14:textFill>
        </w:rPr>
        <w:t>符合</w:t>
      </w:r>
      <w:r>
        <w:rPr>
          <w:rFonts w:hint="eastAsia"/>
          <w:color w:val="000000" w:themeColor="text1"/>
          <w14:textFill>
            <w14:solidFill>
              <w14:schemeClr w14:val="tx1"/>
            </w14:solidFill>
          </w14:textFill>
        </w:rPr>
        <w:t>现行标准和规范要求，加油站的公用工程能够满足加油站安全运行需求；加油站的安全管理机构设置合理、安全管理规章制度符合加油站实际要求，安全生产保障系统运作有效。</w:t>
      </w:r>
      <w:r>
        <w:rPr>
          <w:rFonts w:hint="eastAsia"/>
          <w:b/>
          <w:bCs/>
          <w:color w:val="000000" w:themeColor="text1"/>
          <w:lang w:eastAsia="zh-CN"/>
          <w14:textFill>
            <w14:solidFill>
              <w14:schemeClr w14:val="tx1"/>
            </w14:solidFill>
          </w14:textFill>
        </w:rPr>
        <w:t>丘北天星正才加油站</w:t>
      </w:r>
      <w:r>
        <w:rPr>
          <w:rFonts w:hint="eastAsia"/>
          <w:b/>
          <w:bCs/>
          <w:color w:val="000000" w:themeColor="text1"/>
          <w14:textFill>
            <w14:solidFill>
              <w14:schemeClr w14:val="tx1"/>
            </w14:solidFill>
          </w14:textFill>
        </w:rPr>
        <w:t>符合国家现行安全生产相关的法律、法规及技术标准的要求，</w:t>
      </w:r>
      <w:r>
        <w:rPr>
          <w:b/>
          <w:bCs/>
          <w:color w:val="000000" w:themeColor="text1"/>
          <w14:textFill>
            <w14:solidFill>
              <w14:schemeClr w14:val="tx1"/>
            </w14:solidFill>
          </w14:textFill>
        </w:rPr>
        <w:t>具备安全</w:t>
      </w:r>
      <w:r>
        <w:rPr>
          <w:rFonts w:hint="eastAsia"/>
          <w:b/>
          <w:bCs/>
          <w:color w:val="000000" w:themeColor="text1"/>
          <w14:textFill>
            <w14:solidFill>
              <w14:schemeClr w14:val="tx1"/>
            </w14:solidFill>
          </w14:textFill>
        </w:rPr>
        <w:t>经营</w:t>
      </w:r>
      <w:r>
        <w:rPr>
          <w:b/>
          <w:bCs/>
          <w:color w:val="000000" w:themeColor="text1"/>
          <w14:textFill>
            <w14:solidFill>
              <w14:schemeClr w14:val="tx1"/>
            </w14:solidFill>
          </w14:textFill>
        </w:rPr>
        <w:t>的条件</w:t>
      </w:r>
      <w:r>
        <w:rPr>
          <w:rFonts w:hint="eastAsia"/>
          <w:b/>
          <w:bCs/>
          <w:color w:val="000000" w:themeColor="text1"/>
          <w14:textFill>
            <w14:solidFill>
              <w14:schemeClr w14:val="tx1"/>
            </w14:solidFill>
          </w14:textFill>
        </w:rPr>
        <w:t>。</w:t>
      </w:r>
    </w:p>
    <w:bookmarkEnd w:id="437"/>
    <w:p>
      <w:pPr>
        <w:pStyle w:val="2"/>
        <w:spacing w:before="193" w:after="193"/>
        <w:rPr>
          <w:color w:val="000000" w:themeColor="text1"/>
          <w14:textFill>
            <w14:solidFill>
              <w14:schemeClr w14:val="tx1"/>
            </w14:solidFill>
          </w14:textFill>
        </w:rPr>
      </w:pPr>
      <w:bookmarkStart w:id="445" w:name="_Toc8947"/>
      <w:bookmarkStart w:id="446" w:name="_Toc30591"/>
      <w:bookmarkStart w:id="447" w:name="_Toc195176780"/>
      <w:bookmarkStart w:id="448" w:name="_Toc258574864"/>
      <w:r>
        <w:rPr>
          <w:rFonts w:hint="eastAsia"/>
          <w:color w:val="000000" w:themeColor="text1"/>
          <w14:textFill>
            <w14:solidFill>
              <w14:schemeClr w14:val="tx1"/>
            </w14:solidFill>
          </w14:textFill>
        </w:rPr>
        <w:t>与建设单位交换意见的情况</w:t>
      </w:r>
      <w:bookmarkEnd w:id="445"/>
      <w:bookmarkEnd w:id="446"/>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通过评价组成员对建设项目提供的资料进行认真分析及对现场实地勘查，评价组认为目前该项目选择工艺设备，消防、供配电、防雷等设施设备符合规范要求。</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同时，针对项目的相关资料文件及现场勘查情况，评价组提出了相应的安全对策措施及建议，建设单位对评价组提出的意见可以接受，并进行落实。</w:t>
      </w:r>
      <w:r>
        <w:rPr>
          <w:rFonts w:hint="eastAsia"/>
          <w:color w:val="000000" w:themeColor="text1"/>
          <w:lang w:val="en-US" w:eastAsia="zh-CN"/>
          <w14:textFill>
            <w14:solidFill>
              <w14:schemeClr w14:val="tx1"/>
            </w14:solidFill>
          </w14:textFill>
        </w:rPr>
        <w:t>加油站应</w:t>
      </w:r>
      <w:r>
        <w:rPr>
          <w:rFonts w:hint="eastAsia"/>
          <w:color w:val="000000" w:themeColor="text1"/>
          <w14:textFill>
            <w14:solidFill>
              <w14:schemeClr w14:val="tx1"/>
            </w14:solidFill>
          </w14:textFill>
        </w:rPr>
        <w:t>每年至少开展一次</w:t>
      </w:r>
      <w:r>
        <w:rPr>
          <w:rFonts w:hint="eastAsia"/>
          <w:color w:val="000000" w:themeColor="text1"/>
          <w:lang w:val="en-US" w:eastAsia="zh-CN"/>
          <w14:textFill>
            <w14:solidFill>
              <w14:schemeClr w14:val="tx1"/>
            </w14:solidFill>
          </w14:textFill>
        </w:rPr>
        <w:t>安全生产标准化</w:t>
      </w:r>
      <w:r>
        <w:rPr>
          <w:rFonts w:hint="eastAsia"/>
          <w:color w:val="000000" w:themeColor="text1"/>
          <w14:textFill>
            <w14:solidFill>
              <w14:schemeClr w14:val="tx1"/>
            </w14:solidFill>
          </w14:textFill>
        </w:rPr>
        <w:t>自评工作，并形成书面自评报告</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加油站</w:t>
      </w:r>
      <w:r>
        <w:rPr>
          <w:rFonts w:hint="eastAsia"/>
          <w:color w:val="000000" w:themeColor="text1"/>
          <w14:textFill>
            <w14:solidFill>
              <w14:schemeClr w14:val="tx1"/>
            </w14:solidFill>
          </w14:textFill>
        </w:rPr>
        <w:t>在生产经营过程中应不断完善安全管理制度，如应急值班制度</w:t>
      </w:r>
      <w:bookmarkEnd w:id="7"/>
      <w:bookmarkEnd w:id="8"/>
      <w:bookmarkEnd w:id="9"/>
      <w:bookmarkEnd w:id="10"/>
      <w:bookmarkEnd w:id="11"/>
      <w:bookmarkEnd w:id="12"/>
      <w:bookmarkEnd w:id="13"/>
      <w:bookmarkEnd w:id="14"/>
      <w:bookmarkEnd w:id="15"/>
      <w:bookmarkEnd w:id="16"/>
      <w:bookmarkEnd w:id="17"/>
      <w:bookmarkEnd w:id="18"/>
      <w:bookmarkEnd w:id="19"/>
      <w:bookmarkEnd w:id="447"/>
      <w:bookmarkEnd w:id="448"/>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应加强日常维护工作，及时清理油罐操作井、加油机等设备内部的卫生；应完善安全生产责任保险</w:t>
      </w:r>
      <w:r>
        <w:rPr>
          <w:rFonts w:hint="eastAsia"/>
          <w:color w:val="000000" w:themeColor="text1"/>
          <w14:textFill>
            <w14:solidFill>
              <w14:schemeClr w14:val="tx1"/>
            </w14:solidFill>
          </w14:textFill>
        </w:rPr>
        <w:t>。</w:t>
      </w:r>
    </w:p>
    <w:sectPr>
      <w:pgSz w:w="11905" w:h="16838"/>
      <w:pgMar w:top="1417" w:right="1134" w:bottom="1134" w:left="1587" w:header="850" w:footer="850" w:gutter="0"/>
      <w:cols w:space="0" w:num="1"/>
      <w:docGrid w:type="linesAndChar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420"/>
      <w:jc w:val="both"/>
      <w:rPr>
        <w:szCs w:val="21"/>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7850" cy="2286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57785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Bdr>
                              <w:top w:val="none" w:color="auto" w:sz="0" w:space="1"/>
                            </w:pBdr>
                            <w:ind w:firstLine="420"/>
                            <w:jc w:val="both"/>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45.5pt;mso-position-horizontal:center;mso-position-horizontal-relative:margin;z-index:251665408;mso-width-relative:page;mso-height-relative:page;" filled="f" stroked="f" coordsize="21600,21600" o:gfxdata="UEsDBAoAAAAAAIdO4kAAAAAAAAAAAAAAAAAEAAAAZHJzL1BLAwQUAAAACACHTuJANHGQatIAAAAD&#10;AQAADwAAAGRycy9kb3ducmV2LnhtbE2PS0/DMBCE70j8B2uRuFE7IFUQ4vTA48arhUrl5sRLEmGv&#10;I9tJy79n4QKXkUazmvm2Wh28EzPGNATSUCwUCKQ22IE6DW+v92eXIFI2ZI0LhBq+MMGqPj6qTGnD&#10;ntY4b3InuIRSaTT0OY+llKnt0Zu0CCMSZx8hepPZxk7aaPZc7p08V2opvRmIF3oz4k2P7edm8hrc&#10;LsWHRuX3+bZ7zC/PctreFU9an54U6hpExkP+O4YffEaHmpmaMJFNwmngR/KvcnZVsGs0XCwVyLqS&#10;/9nrb1BLAwQUAAAACACHTuJA+94eMTICAABXBAAADgAAAGRycy9lMm9Eb2MueG1srVTBbhMxEL0j&#10;8Q+W73STQNMq6qYKjYKQKlqpIM6O15u1ZHuM7WS3fAD8AScu3PmufAdvd7MpFA49cHFmZ8Zv5j3P&#10;5OKysYbtVIiaXM7HJyPOlJNUaLfJ+Yf3qxfnnMUkXCEMOZXzexX55fz5s4vaz9SEKjKFCgwgLs5q&#10;n/MqJT/LsigrZUU8Ia8cgiUFKxI+wyYrgqiBbk02GY2mWU2h8IGkihHeZR/kB8TwFEAqSy3VkuTW&#10;Kpd61KCMSKAUK+0jn3fdlqWS6aYso0rM5BxMU3eiCOx1e2bzCzHbBOErLQ8tiKe08IiTFdqh6BFq&#10;KZJg26D/grJaBopUphNJNuuJdIqAxXj0SJu7SnjVcYHU0R9Fj/8PVr7b3Qami5yfvuLMCYsX33/7&#10;uv/+c//jC4MPAtU+zpB355GZmtfUYGwGf4Sz5d2Uwba/YMQQh7z3R3lVk5iE8/Ts7PwUEYnQZHI+&#10;HXXyZw+XfYjpjSLLWiPnAa/XiSp21zGhEaQOKW0tRyttTPeCxrE659OXgP8jghvG4WJLoW+1tVKz&#10;bg681lTcg1agfjKilyuN4tciplsRMAroF8uSbnCUhlCEDhZnFYXP//K3+XghRDmrMVo5j5+2IijO&#10;zFuHtwNkGowwGOvBcFt7RZjWMdbQy87EhZDMYJaB7Efs0KKtgpBwErVyngbzKvUDjh2UarHokjBt&#10;XqRrd+dlC92LtNgmKnWnbCtLr8VBLcxbJ/hhN9qB/v27y3r4P5j/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RxkGrSAAAAAwEAAA8AAAAAAAAAAQAgAAAAIgAAAGRycy9kb3ducmV2LnhtbFBLAQIU&#10;ABQAAAAIAIdO4kD73h4xMgIAAFcEAAAOAAAAAAAAAAEAIAAAACEBAABkcnMvZTJvRG9jLnhtbFBL&#10;BQYAAAAABgAGAFkBAADFBQAAAAA=&#10;">
              <v:fill on="f" focussize="0,0"/>
              <v:stroke on="f" weight="0.5pt"/>
              <v:imagedata o:title=""/>
              <o:lock v:ext="edit" aspectratio="f"/>
              <v:textbox inset="0mm,0mm,0mm,0mm">
                <w:txbxContent>
                  <w:p>
                    <w:pPr>
                      <w:pStyle w:val="23"/>
                      <w:pBdr>
                        <w:top w:val="none" w:color="auto" w:sz="0" w:space="1"/>
                      </w:pBdr>
                      <w:ind w:firstLine="420"/>
                      <w:jc w:val="both"/>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Cs w:val="21"/>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252"/>
        <w:tab w:val="clear" w:pos="4153"/>
      </w:tabs>
      <w:ind w:firstLine="420"/>
      <w:jc w:val="both"/>
      <w:rPr>
        <w:szCs w:val="21"/>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93065"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3930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Bdr>
                              <w:top w:val="none" w:color="auto" w:sz="0" w:space="1"/>
                            </w:pBdr>
                            <w:ind w:firstLine="0" w:firstLineChars="0"/>
                            <w:jc w:val="cen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0.95pt;mso-position-horizontal:center;mso-position-horizontal-relative:margin;z-index:251665408;mso-width-relative:page;mso-height-relative:page;" filled="f" stroked="f" coordsize="21600,21600" o:gfxdata="UEsDBAoAAAAAAIdO4kAAAAAAAAAAAAAAAAAEAAAAZHJzL1BLAwQUAAAACACHTuJAaoTKE9MAAAAE&#10;AQAADwAAAGRycy9kb3ducmV2LnhtbE2PMU/DMBCFdyT+g3VIbNROhyqEOB0q6AATKUKM1/gSh8bn&#10;KHbTwq/HsNDlpKd399535frsBjHTFHrPGrKFAkHceNNzp+Ft93SXgwgR2eDgmTR8UYB1dX1VYmH8&#10;iV9prmMnUgiHAjXYGMdCytBYchgWfiROXusnhzHJqZNmwlMKd4NcKrWSDntODRZH2lhqDvXRJYz3&#10;F+W23639cM/Yhtru5u3jp9a3N5l6ABHpHP+X4Rc/3UCVmPb+yCaIQUN6JP7N5K2yexB7Dcs8VyCr&#10;Ul7CVz9QSwMEFAAAAAgAh07iQKRiOSo1AgAAWAQAAA4AAABkcnMvZTJvRG9jLnhtbK1UzW4TMRC+&#10;I/EOlu9kNymtQpRNFRoFIUW0UkGcHa+3u5L/sJ3slgeAN+DUC3eeK8/BZ282RYVDD1yc2ZnxN/N9&#10;M878slOS7IXzjdEFHY9ySoTmpmz0XUE/fVy/mlLiA9Mlk0aLgt4LTy8XL1/MWzsTE1MbWQpHAKL9&#10;rLUFrUOwsyzzvBaK+ZGxQiNYGadYwKe7y0rHWqArmU3y/CJrjSutM1x4D++qD9IjonsOoKmqhouV&#10;4TsldOhRnZAsgJKvG+vpInVbVYKH66ryIhBZUDAN6UQR2Nt4Zos5m905ZuuGH1tgz2nhCSfFGo2i&#10;J6gVC4zsXPMXlGq4M95UYcSNynoiSRGwGOdPtLmtmRWJC6T29iS6/3+w/MP+xpGmLOhrSKKZwsQP&#10;P74fHn4dfn4j8EGg1voZ8m4tMkP31nRYm8Hv4Yy8u8qp+AtGBHFg3Z/kFV0gHM6zN2f5xTklHKHx&#10;dDKd5gk+e7xtnQ/vhFEkGgV1GF9Sle03PqATpA4psZg260bKNEKpSVvQi7PzPF04RXBDalyMHPpe&#10;oxW6bXcktjXlPXg506+Gt3zdoPiG+XDDHHYBVPBawjWOShoUMUeLktq4r//yx3yMCFFKWuxWQf2X&#10;HXOCEvleY3iADIPhBmM7GHqnrgzWdYx3aHkyccEFOZiVM+ozHtEyVkGIaY5aBQ2DeRX6Dccj5GK5&#10;TElYN8vCRt9aHqGjfN4udwESJmWjLL0WR7WwcEnw4+OIG/3nd8p6/EN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hMoT0wAAAAQBAAAPAAAAAAAAAAEAIAAAACIAAABkcnMvZG93bnJldi54bWxQ&#10;SwECFAAUAAAACACHTuJApGI5KjUCAABYBAAADgAAAAAAAAABACAAAAAiAQAAZHJzL2Uyb0RvYy54&#10;bWxQSwUGAAAAAAYABgBZAQAAyQUAAAAA&#10;">
              <v:fill on="f" focussize="0,0"/>
              <v:stroke on="f" weight="0.5pt"/>
              <v:imagedata o:title=""/>
              <o:lock v:ext="edit" aspectratio="f"/>
              <v:textbox inset="0mm,0mm,0mm,0mm" style="mso-fit-shape-to-text:t;">
                <w:txbxContent>
                  <w:p>
                    <w:pPr>
                      <w:pStyle w:val="23"/>
                      <w:pBdr>
                        <w:top w:val="none" w:color="auto" w:sz="0" w:space="1"/>
                      </w:pBdr>
                      <w:ind w:firstLine="0" w:firstLineChars="0"/>
                      <w:jc w:val="center"/>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Cs w:val="21"/>
      </w:rPr>
      <w:t>昭通市鼎安科技有限公司</w:t>
    </w:r>
    <w:r>
      <w:rPr>
        <w:rFonts w:hint="eastAsia"/>
        <w:szCs w:val="21"/>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252"/>
        <w:tab w:val="clear" w:pos="4153"/>
      </w:tabs>
      <w:ind w:firstLine="0" w:firstLineChars="0"/>
      <w:jc w:val="both"/>
      <w:rPr>
        <w:szCs w:val="21"/>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393065"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930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Bdr>
                              <w:top w:val="none" w:color="auto" w:sz="0" w:space="1"/>
                            </w:pBdr>
                            <w:ind w:firstLine="0" w:firstLineChars="0"/>
                            <w:jc w:val="cen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0.95pt;mso-position-horizontal:center;mso-position-horizontal-relative:margin;z-index:251666432;mso-width-relative:page;mso-height-relative:page;" filled="f" stroked="f" coordsize="21600,21600" o:gfxdata="UEsDBAoAAAAAAIdO4kAAAAAAAAAAAAAAAAAEAAAAZHJzL1BLAwQUAAAACACHTuJAaoTKE9MAAAAE&#10;AQAADwAAAGRycy9kb3ducmV2LnhtbE2PMU/DMBCFdyT+g3VIbNROhyqEOB0q6AATKUKM1/gSh8bn&#10;KHbTwq/HsNDlpKd399535frsBjHTFHrPGrKFAkHceNNzp+Ft93SXgwgR2eDgmTR8UYB1dX1VYmH8&#10;iV9prmMnUgiHAjXYGMdCytBYchgWfiROXusnhzHJqZNmwlMKd4NcKrWSDntODRZH2lhqDvXRJYz3&#10;F+W23639cM/Yhtru5u3jp9a3N5l6ABHpHP+X4Rc/3UCVmPb+yCaIQUN6JP7N5K2yexB7Dcs8VyCr&#10;Ul7CVz9QSwMEFAAAAAgAh07iQL7x4N0zAgAAVgQAAA4AAABkcnMvZTJvRG9jLnhtbK1Uy47TMBTd&#10;I/EPlvc06TyqUjUdlRkNQqqYkQpi7TrOJJJf2G6T8gHwB6zYsOe7+h0cO00HDSxmwca9ue9z7r2d&#10;X3VKkp1wvjG6oONRTonQ3JSNfijoxw+3r6aU+MB0yaTRoqB74enV4uWLeWtn4szURpbCESTRftba&#10;gtYh2FmWeV4LxfzIWKFhrIxTLODTPWSlYy2yK5md5fkka40rrTNceA/tTW+kx4zuOQlNVTVc3Bi+&#10;VUKHPqsTkgVA8nVjPV2kbqtK8HBXVV4EIgsKpCG9KAJ5E99sMWezB8ds3fBjC+w5LTzBpFijUfSU&#10;6oYFRrau+SuVargz3lRhxI3KeiCJEaAY50+4WdfMioQFVHt7It3/v7T8/e7ekaYs6AUlmikM/PD9&#10;2+HHr8PPr+Qi0tNaP4PX2sIvdG9Mh6UZ9B7KiLqrnIq/wENgB7n7E7miC4RDef76PJ9cUsJhGk/P&#10;ptM8sZ89Rlvnw1thFIlCQR2Glzhlu5UP6ASug0ssps1tI2UaoNSkLejk/DJPAScLIqRGYMTQ9xql&#10;0G26I7CNKffA5Uy/GN7y2wbFV8yHe+awCYCCWwl3eCppUMQcJUpq4778Sx/9MSBYKWmxWQX1n7fM&#10;CUrkO43RxTUcBDcIm0HQW3VtsKxjXKHlSUSAC3IQK2fUJ5zQMlaBiWmOWgUNg3gd+v3GCXKxXCYn&#10;LJtlYaXXlsfUkT5vl9sAChOzkZaeiyNbWLdE+PE04j7/+Z28Hv8O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oTKE9MAAAAEAQAADwAAAAAAAAABACAAAAAiAAAAZHJzL2Rvd25yZXYueG1sUEsB&#10;AhQAFAAAAAgAh07iQL7x4N0zAgAAVgQAAA4AAAAAAAAAAQAgAAAAIgEAAGRycy9lMm9Eb2MueG1s&#10;UEsFBgAAAAAGAAYAWQEAAMcFAAAAAA==&#10;">
              <v:fill on="f" focussize="0,0"/>
              <v:stroke on="f" weight="0.5pt"/>
              <v:imagedata o:title=""/>
              <o:lock v:ext="edit" aspectratio="f"/>
              <v:textbox inset="0mm,0mm,0mm,0mm" style="mso-fit-shape-to-text:t;">
                <w:txbxContent>
                  <w:p>
                    <w:pPr>
                      <w:pStyle w:val="23"/>
                      <w:pBdr>
                        <w:top w:val="none" w:color="auto" w:sz="0" w:space="1"/>
                      </w:pBdr>
                      <w:ind w:firstLine="0" w:firstLineChars="0"/>
                      <w:jc w:val="center"/>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Cs w:val="21"/>
      </w:rPr>
      <w:t>昭通市鼎安科技有限公司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ind w:firstLine="420"/>
    </w:pPr>
    <w:r>
      <w:rPr>
        <w:rFonts w:hint="eastAsia"/>
        <w:lang w:eastAsia="zh-CN"/>
      </w:rPr>
      <w:t>丘北天星正才加油站</w:t>
    </w:r>
    <w:r>
      <w:rPr>
        <w:rFonts w:hint="eastAsia"/>
      </w:rPr>
      <w:t>安全现状评价报告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E2C4EB"/>
    <w:multiLevelType w:val="singleLevel"/>
    <w:tmpl w:val="89E2C4EB"/>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1">
    <w:nsid w:val="23D67C8B"/>
    <w:multiLevelType w:val="multilevel"/>
    <w:tmpl w:val="23D67C8B"/>
    <w:lvl w:ilvl="0" w:tentative="0">
      <w:start w:val="1"/>
      <w:numFmt w:val="decimal"/>
      <w:lvlText w:val="(%1)"/>
      <w:lvlJc w:val="left"/>
      <w:pPr>
        <w:tabs>
          <w:tab w:val="left" w:pos="567"/>
        </w:tabs>
        <w:ind w:left="-482" w:firstLine="482"/>
      </w:pPr>
      <w:rPr>
        <w:rFonts w:hint="eastAsia" w:ascii="宋体" w:hAnsi="宋体" w:eastAsia="宋体"/>
        <w:kern w:val="2"/>
        <w:sz w:val="28"/>
        <w:szCs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
    <w:nsid w:val="25C540E4"/>
    <w:multiLevelType w:val="multilevel"/>
    <w:tmpl w:val="25C540E4"/>
    <w:lvl w:ilvl="0" w:tentative="0">
      <w:start w:val="1"/>
      <w:numFmt w:val="decimal"/>
      <w:lvlText w:val="%1."/>
      <w:lvlJc w:val="left"/>
      <w:pPr>
        <w:tabs>
          <w:tab w:val="left" w:pos="1049"/>
        </w:tabs>
        <w:ind w:left="78" w:firstLine="482"/>
      </w:pPr>
      <w:rPr>
        <w:rFonts w:hint="eastAsia" w:ascii="宋体" w:hAnsi="宋体" w:eastAsia="宋体"/>
        <w:kern w:val="2"/>
        <w:sz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
    <w:nsid w:val="41C32576"/>
    <w:multiLevelType w:val="multilevel"/>
    <w:tmpl w:val="41C32576"/>
    <w:lvl w:ilvl="0" w:tentative="0">
      <w:start w:val="1"/>
      <w:numFmt w:val="decimal"/>
      <w:pStyle w:val="2"/>
      <w:lvlText w:val="第%1章"/>
      <w:lvlJc w:val="center"/>
      <w:pPr>
        <w:tabs>
          <w:tab w:val="left" w:pos="992"/>
        </w:tabs>
        <w:ind w:left="0" w:firstLine="0"/>
      </w:pPr>
      <w:rPr>
        <w:rFonts w:hint="eastAsia"/>
      </w:rPr>
    </w:lvl>
    <w:lvl w:ilvl="1" w:tentative="0">
      <w:start w:val="1"/>
      <w:numFmt w:val="decimal"/>
      <w:pStyle w:val="3"/>
      <w:lvlText w:val="%1.%2"/>
      <w:lvlJc w:val="left"/>
      <w:pPr>
        <w:tabs>
          <w:tab w:val="left" w:pos="851"/>
        </w:tabs>
        <w:ind w:left="0" w:firstLine="0"/>
      </w:pPr>
      <w:rPr>
        <w:rFonts w:hint="eastAsia"/>
      </w:rPr>
    </w:lvl>
    <w:lvl w:ilvl="2" w:tentative="0">
      <w:start w:val="1"/>
      <w:numFmt w:val="decimal"/>
      <w:pStyle w:val="4"/>
      <w:lvlText w:val="%1.%2.%3"/>
      <w:lvlJc w:val="left"/>
      <w:pPr>
        <w:ind w:left="0" w:firstLine="0"/>
      </w:pPr>
      <w:rPr>
        <w:rFonts w:hint="eastAsia"/>
      </w:rPr>
    </w:lvl>
    <w:lvl w:ilvl="3" w:tentative="0">
      <w:start w:val="1"/>
      <w:numFmt w:val="decimal"/>
      <w:pStyle w:val="5"/>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481626DF"/>
    <w:multiLevelType w:val="multilevel"/>
    <w:tmpl w:val="481626DF"/>
    <w:lvl w:ilvl="0" w:tentative="0">
      <w:start w:val="1"/>
      <w:numFmt w:val="decimal"/>
      <w:lvlText w:val="%1."/>
      <w:lvlJc w:val="left"/>
      <w:pPr>
        <w:tabs>
          <w:tab w:val="left" w:pos="1049"/>
        </w:tabs>
        <w:ind w:left="0" w:firstLine="482"/>
      </w:pPr>
      <w:rPr>
        <w:rFonts w:hint="eastAsia" w:ascii="宋体" w:hAnsi="宋体" w:eastAsia="宋体"/>
        <w:kern w:val="2"/>
        <w:sz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56862591"/>
    <w:multiLevelType w:val="multilevel"/>
    <w:tmpl w:val="56862591"/>
    <w:lvl w:ilvl="0" w:tentative="0">
      <w:start w:val="1"/>
      <w:numFmt w:val="decimal"/>
      <w:lvlText w:val="(%1)"/>
      <w:lvlJc w:val="left"/>
      <w:pPr>
        <w:tabs>
          <w:tab w:val="left" w:pos="567"/>
        </w:tabs>
        <w:ind w:left="-482" w:firstLine="482"/>
      </w:pPr>
      <w:rPr>
        <w:rFonts w:hint="eastAsia" w:ascii="宋体" w:hAnsi="宋体" w:eastAsia="宋体"/>
        <w:kern w:val="2"/>
        <w:sz w:val="28"/>
        <w:szCs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568625A0"/>
    <w:multiLevelType w:val="multilevel"/>
    <w:tmpl w:val="568625A0"/>
    <w:lvl w:ilvl="0" w:tentative="0">
      <w:start w:val="1"/>
      <w:numFmt w:val="decimal"/>
      <w:lvlText w:val="(%1)"/>
      <w:lvlJc w:val="left"/>
      <w:pPr>
        <w:tabs>
          <w:tab w:val="left" w:pos="567"/>
        </w:tabs>
        <w:ind w:left="-482" w:firstLine="482"/>
      </w:pPr>
      <w:rPr>
        <w:rFonts w:hint="eastAsia" w:ascii="宋体" w:hAnsi="宋体" w:eastAsia="宋体"/>
        <w:kern w:val="2"/>
        <w:sz w:val="28"/>
        <w:szCs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68EA2BA5"/>
    <w:multiLevelType w:val="multilevel"/>
    <w:tmpl w:val="68EA2BA5"/>
    <w:lvl w:ilvl="0" w:tentative="0">
      <w:start w:val="1"/>
      <w:numFmt w:val="decimal"/>
      <w:lvlText w:val="(%1)"/>
      <w:lvlJc w:val="left"/>
      <w:pPr>
        <w:tabs>
          <w:tab w:val="left" w:pos="1049"/>
        </w:tabs>
        <w:ind w:left="0" w:firstLine="482"/>
      </w:pPr>
      <w:rPr>
        <w:rFonts w:hint="eastAsia" w:ascii="宋体" w:hAnsi="宋体" w:eastAsia="宋体"/>
        <w:kern w:val="2"/>
        <w:sz w:val="28"/>
        <w:szCs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宋体" w:hAnsi="宋体" w:eastAsia="宋体"/>
        <w:b w:val="0"/>
        <w:i w:val="0"/>
        <w:sz w:val="21"/>
      </w:rPr>
    </w:lvl>
    <w:lvl w:ilvl="4" w:tentative="0">
      <w:start w:val="1"/>
      <w:numFmt w:val="decimal"/>
      <w:pStyle w:val="47"/>
      <w:suff w:val="nothing"/>
      <w:lvlText w:val="%1%2.%3.%4.%5　"/>
      <w:lvlJc w:val="left"/>
      <w:pPr>
        <w:ind w:left="1050"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7A6C652E"/>
    <w:multiLevelType w:val="multilevel"/>
    <w:tmpl w:val="7A6C652E"/>
    <w:lvl w:ilvl="0" w:tentative="0">
      <w:start w:val="1"/>
      <w:numFmt w:val="decimal"/>
      <w:lvlText w:val="(%1)"/>
      <w:lvlJc w:val="left"/>
      <w:pPr>
        <w:tabs>
          <w:tab w:val="left" w:pos="1049"/>
        </w:tabs>
        <w:ind w:left="0" w:firstLine="482"/>
      </w:pPr>
      <w:rPr>
        <w:rFonts w:hint="eastAsia" w:ascii="宋体" w:hAnsi="宋体" w:eastAsia="宋体"/>
        <w:kern w:val="2"/>
        <w:sz w:val="28"/>
        <w:szCs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0">
    <w:nsid w:val="7FB2335A"/>
    <w:multiLevelType w:val="multilevel"/>
    <w:tmpl w:val="7FB2335A"/>
    <w:lvl w:ilvl="0" w:tentative="0">
      <w:start w:val="1"/>
      <w:numFmt w:val="decimal"/>
      <w:lvlText w:val="%1."/>
      <w:lvlJc w:val="left"/>
      <w:pPr>
        <w:tabs>
          <w:tab w:val="left" w:pos="1049"/>
        </w:tabs>
        <w:ind w:left="20" w:firstLine="482"/>
      </w:pPr>
      <w:rPr>
        <w:rFonts w:hint="eastAsia" w:ascii="宋体" w:hAnsi="宋体" w:eastAsia="宋体"/>
        <w:kern w:val="2"/>
        <w:sz w:val="28"/>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3"/>
  </w:num>
  <w:num w:numId="2">
    <w:abstractNumId w:val="0"/>
  </w:num>
  <w:num w:numId="3">
    <w:abstractNumId w:val="8"/>
  </w:num>
  <w:num w:numId="4">
    <w:abstractNumId w:val="7"/>
  </w:num>
  <w:num w:numId="5">
    <w:abstractNumId w:val="9"/>
  </w:num>
  <w:num w:numId="6">
    <w:abstractNumId w:val="5"/>
  </w:num>
  <w:num w:numId="7">
    <w:abstractNumId w:val="1"/>
  </w:num>
  <w:num w:numId="8">
    <w:abstractNumId w:val="6"/>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80"/>
  <w:drawingGridVerticalSpacing w:val="19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OGFkZTIzNDM2N2JkNGVhMDAwZDM2YTNlNDk1YzMifQ=="/>
  </w:docVars>
  <w:rsids>
    <w:rsidRoot w:val="00B861E5"/>
    <w:rsid w:val="000012C3"/>
    <w:rsid w:val="000040C7"/>
    <w:rsid w:val="00006DF3"/>
    <w:rsid w:val="000100C0"/>
    <w:rsid w:val="000155E3"/>
    <w:rsid w:val="00016ED8"/>
    <w:rsid w:val="00025848"/>
    <w:rsid w:val="00027424"/>
    <w:rsid w:val="0003138B"/>
    <w:rsid w:val="00031921"/>
    <w:rsid w:val="00053DD0"/>
    <w:rsid w:val="00056DD8"/>
    <w:rsid w:val="00063796"/>
    <w:rsid w:val="00064929"/>
    <w:rsid w:val="000706E2"/>
    <w:rsid w:val="000748A4"/>
    <w:rsid w:val="000776F7"/>
    <w:rsid w:val="00084FD1"/>
    <w:rsid w:val="00093617"/>
    <w:rsid w:val="000A4667"/>
    <w:rsid w:val="000A4910"/>
    <w:rsid w:val="000A58E7"/>
    <w:rsid w:val="000A5E0A"/>
    <w:rsid w:val="000A7FE2"/>
    <w:rsid w:val="000B09EA"/>
    <w:rsid w:val="000B1A0E"/>
    <w:rsid w:val="000B238F"/>
    <w:rsid w:val="000B675B"/>
    <w:rsid w:val="000B70D2"/>
    <w:rsid w:val="000B7321"/>
    <w:rsid w:val="000D06CA"/>
    <w:rsid w:val="000D226D"/>
    <w:rsid w:val="000D384B"/>
    <w:rsid w:val="000E14E6"/>
    <w:rsid w:val="000E3B97"/>
    <w:rsid w:val="000E7F4A"/>
    <w:rsid w:val="000F0C24"/>
    <w:rsid w:val="000F122A"/>
    <w:rsid w:val="000F39B4"/>
    <w:rsid w:val="000F54A5"/>
    <w:rsid w:val="000F70F9"/>
    <w:rsid w:val="001030E8"/>
    <w:rsid w:val="00103540"/>
    <w:rsid w:val="00113238"/>
    <w:rsid w:val="00114385"/>
    <w:rsid w:val="00115BE5"/>
    <w:rsid w:val="00116399"/>
    <w:rsid w:val="00121E93"/>
    <w:rsid w:val="00126B86"/>
    <w:rsid w:val="00131228"/>
    <w:rsid w:val="00132B6B"/>
    <w:rsid w:val="00136D59"/>
    <w:rsid w:val="00142699"/>
    <w:rsid w:val="00157036"/>
    <w:rsid w:val="00165596"/>
    <w:rsid w:val="0017327D"/>
    <w:rsid w:val="001733DB"/>
    <w:rsid w:val="00176686"/>
    <w:rsid w:val="0017755E"/>
    <w:rsid w:val="00180F7A"/>
    <w:rsid w:val="00181BBD"/>
    <w:rsid w:val="00182895"/>
    <w:rsid w:val="001850CB"/>
    <w:rsid w:val="00194560"/>
    <w:rsid w:val="00196347"/>
    <w:rsid w:val="001A0392"/>
    <w:rsid w:val="001A049C"/>
    <w:rsid w:val="001A10BA"/>
    <w:rsid w:val="001A37C1"/>
    <w:rsid w:val="001A42A0"/>
    <w:rsid w:val="001A43AC"/>
    <w:rsid w:val="001B0CFB"/>
    <w:rsid w:val="001B0E36"/>
    <w:rsid w:val="001B2031"/>
    <w:rsid w:val="001B500B"/>
    <w:rsid w:val="001B5AE7"/>
    <w:rsid w:val="001B5B2F"/>
    <w:rsid w:val="001B68E4"/>
    <w:rsid w:val="001B69AB"/>
    <w:rsid w:val="001B69D0"/>
    <w:rsid w:val="001C19F2"/>
    <w:rsid w:val="001C27A1"/>
    <w:rsid w:val="001D024F"/>
    <w:rsid w:val="001D09F4"/>
    <w:rsid w:val="001D4324"/>
    <w:rsid w:val="001D6853"/>
    <w:rsid w:val="001D6BB5"/>
    <w:rsid w:val="001D6BFC"/>
    <w:rsid w:val="001E2639"/>
    <w:rsid w:val="001E29F5"/>
    <w:rsid w:val="001E3FEC"/>
    <w:rsid w:val="001E7810"/>
    <w:rsid w:val="001F04A4"/>
    <w:rsid w:val="001F2195"/>
    <w:rsid w:val="001F2BCE"/>
    <w:rsid w:val="00201A41"/>
    <w:rsid w:val="0020297B"/>
    <w:rsid w:val="0020386D"/>
    <w:rsid w:val="00206CE4"/>
    <w:rsid w:val="002071C3"/>
    <w:rsid w:val="00210814"/>
    <w:rsid w:val="00210887"/>
    <w:rsid w:val="00220FAC"/>
    <w:rsid w:val="00222A9A"/>
    <w:rsid w:val="00222B1F"/>
    <w:rsid w:val="00245739"/>
    <w:rsid w:val="00254857"/>
    <w:rsid w:val="00262C23"/>
    <w:rsid w:val="00264A79"/>
    <w:rsid w:val="002657C9"/>
    <w:rsid w:val="002676D1"/>
    <w:rsid w:val="00272CD7"/>
    <w:rsid w:val="00272F5C"/>
    <w:rsid w:val="00273177"/>
    <w:rsid w:val="002757FC"/>
    <w:rsid w:val="00277AA6"/>
    <w:rsid w:val="0028310B"/>
    <w:rsid w:val="002841DC"/>
    <w:rsid w:val="00286B6A"/>
    <w:rsid w:val="00290655"/>
    <w:rsid w:val="00294BB1"/>
    <w:rsid w:val="002A14ED"/>
    <w:rsid w:val="002A4D2E"/>
    <w:rsid w:val="002A7B4E"/>
    <w:rsid w:val="002B107A"/>
    <w:rsid w:val="002B560B"/>
    <w:rsid w:val="002B7BFA"/>
    <w:rsid w:val="002C28FB"/>
    <w:rsid w:val="002C4FAF"/>
    <w:rsid w:val="002D7815"/>
    <w:rsid w:val="002E27F8"/>
    <w:rsid w:val="002E510E"/>
    <w:rsid w:val="002F625D"/>
    <w:rsid w:val="00302C28"/>
    <w:rsid w:val="003035E0"/>
    <w:rsid w:val="00303F00"/>
    <w:rsid w:val="00303F4F"/>
    <w:rsid w:val="003046E3"/>
    <w:rsid w:val="00305B5C"/>
    <w:rsid w:val="00306232"/>
    <w:rsid w:val="003064D7"/>
    <w:rsid w:val="00316E52"/>
    <w:rsid w:val="003229DF"/>
    <w:rsid w:val="00323A26"/>
    <w:rsid w:val="003246D6"/>
    <w:rsid w:val="0032507F"/>
    <w:rsid w:val="00326D0E"/>
    <w:rsid w:val="00327E57"/>
    <w:rsid w:val="003305FC"/>
    <w:rsid w:val="00330644"/>
    <w:rsid w:val="003315F4"/>
    <w:rsid w:val="003322A4"/>
    <w:rsid w:val="00334CD9"/>
    <w:rsid w:val="00337DB5"/>
    <w:rsid w:val="00346DCD"/>
    <w:rsid w:val="00350B40"/>
    <w:rsid w:val="00350C32"/>
    <w:rsid w:val="0035153A"/>
    <w:rsid w:val="00351D56"/>
    <w:rsid w:val="0035301F"/>
    <w:rsid w:val="00356DD7"/>
    <w:rsid w:val="00357F8C"/>
    <w:rsid w:val="0036034E"/>
    <w:rsid w:val="00360DF2"/>
    <w:rsid w:val="00365052"/>
    <w:rsid w:val="00365474"/>
    <w:rsid w:val="00366377"/>
    <w:rsid w:val="00366EB0"/>
    <w:rsid w:val="00371ABF"/>
    <w:rsid w:val="0037575A"/>
    <w:rsid w:val="00377550"/>
    <w:rsid w:val="00381661"/>
    <w:rsid w:val="003843D5"/>
    <w:rsid w:val="0038542F"/>
    <w:rsid w:val="00385ED5"/>
    <w:rsid w:val="00395CEC"/>
    <w:rsid w:val="00395DF8"/>
    <w:rsid w:val="00396112"/>
    <w:rsid w:val="003969B6"/>
    <w:rsid w:val="00396AD1"/>
    <w:rsid w:val="003A5882"/>
    <w:rsid w:val="003A682F"/>
    <w:rsid w:val="003B5847"/>
    <w:rsid w:val="003C2449"/>
    <w:rsid w:val="003C708C"/>
    <w:rsid w:val="003D15DD"/>
    <w:rsid w:val="003D19AD"/>
    <w:rsid w:val="003D401C"/>
    <w:rsid w:val="003D6728"/>
    <w:rsid w:val="003E5DF8"/>
    <w:rsid w:val="003E7546"/>
    <w:rsid w:val="003E7B61"/>
    <w:rsid w:val="003F3B9F"/>
    <w:rsid w:val="003F508F"/>
    <w:rsid w:val="003F7BB2"/>
    <w:rsid w:val="00402D81"/>
    <w:rsid w:val="00403929"/>
    <w:rsid w:val="004065AF"/>
    <w:rsid w:val="004138BC"/>
    <w:rsid w:val="00414110"/>
    <w:rsid w:val="00415565"/>
    <w:rsid w:val="0041601D"/>
    <w:rsid w:val="0041697F"/>
    <w:rsid w:val="004210C6"/>
    <w:rsid w:val="00430337"/>
    <w:rsid w:val="00434291"/>
    <w:rsid w:val="00455AC8"/>
    <w:rsid w:val="004608D6"/>
    <w:rsid w:val="00462FB1"/>
    <w:rsid w:val="004668AC"/>
    <w:rsid w:val="00470942"/>
    <w:rsid w:val="00474BEE"/>
    <w:rsid w:val="00477065"/>
    <w:rsid w:val="00477B8F"/>
    <w:rsid w:val="00480097"/>
    <w:rsid w:val="004838B8"/>
    <w:rsid w:val="00486AE0"/>
    <w:rsid w:val="00487B37"/>
    <w:rsid w:val="00491387"/>
    <w:rsid w:val="00491BCF"/>
    <w:rsid w:val="0049591C"/>
    <w:rsid w:val="004A5402"/>
    <w:rsid w:val="004A55B2"/>
    <w:rsid w:val="004A55C8"/>
    <w:rsid w:val="004A5669"/>
    <w:rsid w:val="004A56D7"/>
    <w:rsid w:val="004A727D"/>
    <w:rsid w:val="004B530E"/>
    <w:rsid w:val="004B7FA2"/>
    <w:rsid w:val="004C212A"/>
    <w:rsid w:val="004C2739"/>
    <w:rsid w:val="004C36B9"/>
    <w:rsid w:val="004C7E20"/>
    <w:rsid w:val="004D03BF"/>
    <w:rsid w:val="004D202D"/>
    <w:rsid w:val="004D2631"/>
    <w:rsid w:val="004D2F86"/>
    <w:rsid w:val="004D3377"/>
    <w:rsid w:val="004D516E"/>
    <w:rsid w:val="004D6996"/>
    <w:rsid w:val="004D7839"/>
    <w:rsid w:val="004E04F3"/>
    <w:rsid w:val="004E1B44"/>
    <w:rsid w:val="004E3189"/>
    <w:rsid w:val="004E49CC"/>
    <w:rsid w:val="004E4EA9"/>
    <w:rsid w:val="004E6FE2"/>
    <w:rsid w:val="004F7BFD"/>
    <w:rsid w:val="00500D1C"/>
    <w:rsid w:val="00510943"/>
    <w:rsid w:val="00516180"/>
    <w:rsid w:val="005200EF"/>
    <w:rsid w:val="00523AF1"/>
    <w:rsid w:val="00525E05"/>
    <w:rsid w:val="00525FDA"/>
    <w:rsid w:val="0053007D"/>
    <w:rsid w:val="0053255D"/>
    <w:rsid w:val="00535F7E"/>
    <w:rsid w:val="0053663D"/>
    <w:rsid w:val="005404B3"/>
    <w:rsid w:val="00542D18"/>
    <w:rsid w:val="00542FFA"/>
    <w:rsid w:val="0054498A"/>
    <w:rsid w:val="00557214"/>
    <w:rsid w:val="0056104B"/>
    <w:rsid w:val="00562684"/>
    <w:rsid w:val="00571A02"/>
    <w:rsid w:val="00573722"/>
    <w:rsid w:val="00574DB0"/>
    <w:rsid w:val="005805DC"/>
    <w:rsid w:val="00581AB8"/>
    <w:rsid w:val="005838E3"/>
    <w:rsid w:val="00584F19"/>
    <w:rsid w:val="0058698A"/>
    <w:rsid w:val="005A0707"/>
    <w:rsid w:val="005A19F6"/>
    <w:rsid w:val="005A30EA"/>
    <w:rsid w:val="005A432C"/>
    <w:rsid w:val="005A6F47"/>
    <w:rsid w:val="005B1704"/>
    <w:rsid w:val="005B67C3"/>
    <w:rsid w:val="005C067C"/>
    <w:rsid w:val="005C3DF2"/>
    <w:rsid w:val="005C4BD6"/>
    <w:rsid w:val="005D067D"/>
    <w:rsid w:val="005D27C4"/>
    <w:rsid w:val="005D2D88"/>
    <w:rsid w:val="005D4432"/>
    <w:rsid w:val="005E3401"/>
    <w:rsid w:val="005E4BE9"/>
    <w:rsid w:val="005F01E0"/>
    <w:rsid w:val="005F0CAE"/>
    <w:rsid w:val="005F10DB"/>
    <w:rsid w:val="005F1F09"/>
    <w:rsid w:val="005F6E8E"/>
    <w:rsid w:val="00603637"/>
    <w:rsid w:val="006044D7"/>
    <w:rsid w:val="00606037"/>
    <w:rsid w:val="006064CC"/>
    <w:rsid w:val="00611207"/>
    <w:rsid w:val="0061432E"/>
    <w:rsid w:val="0062215E"/>
    <w:rsid w:val="006267A8"/>
    <w:rsid w:val="006326A0"/>
    <w:rsid w:val="006355A9"/>
    <w:rsid w:val="00637B3B"/>
    <w:rsid w:val="00640898"/>
    <w:rsid w:val="00646B1F"/>
    <w:rsid w:val="00652223"/>
    <w:rsid w:val="00653704"/>
    <w:rsid w:val="00653D3A"/>
    <w:rsid w:val="00655E9C"/>
    <w:rsid w:val="00664AF0"/>
    <w:rsid w:val="0066590E"/>
    <w:rsid w:val="006713FA"/>
    <w:rsid w:val="00673A0B"/>
    <w:rsid w:val="00673E65"/>
    <w:rsid w:val="00674746"/>
    <w:rsid w:val="0067643A"/>
    <w:rsid w:val="00686BA8"/>
    <w:rsid w:val="006915E6"/>
    <w:rsid w:val="00696DB1"/>
    <w:rsid w:val="006A21FA"/>
    <w:rsid w:val="006A4EAB"/>
    <w:rsid w:val="006A6CF1"/>
    <w:rsid w:val="006B7807"/>
    <w:rsid w:val="006C172B"/>
    <w:rsid w:val="006C1B79"/>
    <w:rsid w:val="006C2195"/>
    <w:rsid w:val="006C27AF"/>
    <w:rsid w:val="006C4AA0"/>
    <w:rsid w:val="006D41A0"/>
    <w:rsid w:val="006E0D06"/>
    <w:rsid w:val="006E1202"/>
    <w:rsid w:val="006E2FD3"/>
    <w:rsid w:val="006E7177"/>
    <w:rsid w:val="006F0241"/>
    <w:rsid w:val="006F153B"/>
    <w:rsid w:val="006F1A23"/>
    <w:rsid w:val="006F1C37"/>
    <w:rsid w:val="006F3150"/>
    <w:rsid w:val="006F31F3"/>
    <w:rsid w:val="006F3CF9"/>
    <w:rsid w:val="006F5F26"/>
    <w:rsid w:val="0070127D"/>
    <w:rsid w:val="00701F4E"/>
    <w:rsid w:val="00710430"/>
    <w:rsid w:val="007149EF"/>
    <w:rsid w:val="00715962"/>
    <w:rsid w:val="00717FF3"/>
    <w:rsid w:val="00721DCB"/>
    <w:rsid w:val="0072228C"/>
    <w:rsid w:val="00724E22"/>
    <w:rsid w:val="007261B9"/>
    <w:rsid w:val="00726C48"/>
    <w:rsid w:val="0073038A"/>
    <w:rsid w:val="00730F22"/>
    <w:rsid w:val="00732696"/>
    <w:rsid w:val="0073278E"/>
    <w:rsid w:val="00736597"/>
    <w:rsid w:val="00741A2E"/>
    <w:rsid w:val="00745085"/>
    <w:rsid w:val="007467CA"/>
    <w:rsid w:val="00750602"/>
    <w:rsid w:val="0075748B"/>
    <w:rsid w:val="0075795D"/>
    <w:rsid w:val="00762615"/>
    <w:rsid w:val="00765A02"/>
    <w:rsid w:val="007667D7"/>
    <w:rsid w:val="00775115"/>
    <w:rsid w:val="0077624E"/>
    <w:rsid w:val="00776A1D"/>
    <w:rsid w:val="007807A0"/>
    <w:rsid w:val="00780ABF"/>
    <w:rsid w:val="00781140"/>
    <w:rsid w:val="007849DF"/>
    <w:rsid w:val="00784CC8"/>
    <w:rsid w:val="0078789C"/>
    <w:rsid w:val="00793119"/>
    <w:rsid w:val="0079458A"/>
    <w:rsid w:val="00795CB5"/>
    <w:rsid w:val="007A21AE"/>
    <w:rsid w:val="007A74A0"/>
    <w:rsid w:val="007B0B62"/>
    <w:rsid w:val="007B1702"/>
    <w:rsid w:val="007B7B3B"/>
    <w:rsid w:val="007C08A8"/>
    <w:rsid w:val="007C0AFB"/>
    <w:rsid w:val="007C2416"/>
    <w:rsid w:val="007D20BD"/>
    <w:rsid w:val="007D3647"/>
    <w:rsid w:val="007D3A3F"/>
    <w:rsid w:val="007D41C8"/>
    <w:rsid w:val="007D696C"/>
    <w:rsid w:val="007D79F6"/>
    <w:rsid w:val="007E0A38"/>
    <w:rsid w:val="007E0B86"/>
    <w:rsid w:val="007E47EB"/>
    <w:rsid w:val="007E7B28"/>
    <w:rsid w:val="007F4771"/>
    <w:rsid w:val="007F4D78"/>
    <w:rsid w:val="007F7B04"/>
    <w:rsid w:val="00801FA0"/>
    <w:rsid w:val="00802F74"/>
    <w:rsid w:val="00804127"/>
    <w:rsid w:val="00815604"/>
    <w:rsid w:val="008159F0"/>
    <w:rsid w:val="0082134C"/>
    <w:rsid w:val="008216E6"/>
    <w:rsid w:val="00826542"/>
    <w:rsid w:val="008370CB"/>
    <w:rsid w:val="00841B9B"/>
    <w:rsid w:val="00842A43"/>
    <w:rsid w:val="00852564"/>
    <w:rsid w:val="00855C71"/>
    <w:rsid w:val="00860ABC"/>
    <w:rsid w:val="00861C4B"/>
    <w:rsid w:val="008621CC"/>
    <w:rsid w:val="00864066"/>
    <w:rsid w:val="00864C90"/>
    <w:rsid w:val="00870156"/>
    <w:rsid w:val="0087221F"/>
    <w:rsid w:val="008749F2"/>
    <w:rsid w:val="00876E78"/>
    <w:rsid w:val="00880E81"/>
    <w:rsid w:val="00883C65"/>
    <w:rsid w:val="00884EC5"/>
    <w:rsid w:val="00887566"/>
    <w:rsid w:val="0089195B"/>
    <w:rsid w:val="00892FDB"/>
    <w:rsid w:val="00893FD8"/>
    <w:rsid w:val="0089485F"/>
    <w:rsid w:val="008A0970"/>
    <w:rsid w:val="008A2EED"/>
    <w:rsid w:val="008A508A"/>
    <w:rsid w:val="008A7B82"/>
    <w:rsid w:val="008C3C71"/>
    <w:rsid w:val="008C692C"/>
    <w:rsid w:val="008D26CB"/>
    <w:rsid w:val="008D2D99"/>
    <w:rsid w:val="008D3271"/>
    <w:rsid w:val="008D6A68"/>
    <w:rsid w:val="008D74A5"/>
    <w:rsid w:val="008E181E"/>
    <w:rsid w:val="008E538D"/>
    <w:rsid w:val="008E6F9C"/>
    <w:rsid w:val="008F2F67"/>
    <w:rsid w:val="008F49A0"/>
    <w:rsid w:val="008F76C3"/>
    <w:rsid w:val="00901794"/>
    <w:rsid w:val="00902163"/>
    <w:rsid w:val="0091381C"/>
    <w:rsid w:val="00921162"/>
    <w:rsid w:val="009215CC"/>
    <w:rsid w:val="009267EF"/>
    <w:rsid w:val="00927DAA"/>
    <w:rsid w:val="00932117"/>
    <w:rsid w:val="00934638"/>
    <w:rsid w:val="00936749"/>
    <w:rsid w:val="009404EF"/>
    <w:rsid w:val="00947C3F"/>
    <w:rsid w:val="009505D0"/>
    <w:rsid w:val="009544E0"/>
    <w:rsid w:val="009549B0"/>
    <w:rsid w:val="00960C65"/>
    <w:rsid w:val="00961240"/>
    <w:rsid w:val="0096219C"/>
    <w:rsid w:val="0096278E"/>
    <w:rsid w:val="00966300"/>
    <w:rsid w:val="009711A5"/>
    <w:rsid w:val="009752CB"/>
    <w:rsid w:val="0097539F"/>
    <w:rsid w:val="009844B1"/>
    <w:rsid w:val="00986A54"/>
    <w:rsid w:val="00990858"/>
    <w:rsid w:val="009925BA"/>
    <w:rsid w:val="00992CBD"/>
    <w:rsid w:val="009A1A56"/>
    <w:rsid w:val="009A370F"/>
    <w:rsid w:val="009B103D"/>
    <w:rsid w:val="009B6648"/>
    <w:rsid w:val="009B72F0"/>
    <w:rsid w:val="009B74BF"/>
    <w:rsid w:val="009C1AE4"/>
    <w:rsid w:val="009C47DE"/>
    <w:rsid w:val="009C6BC9"/>
    <w:rsid w:val="009D079C"/>
    <w:rsid w:val="009D3DCD"/>
    <w:rsid w:val="009D6C3B"/>
    <w:rsid w:val="009E0C30"/>
    <w:rsid w:val="009E588B"/>
    <w:rsid w:val="009E6926"/>
    <w:rsid w:val="009F07A9"/>
    <w:rsid w:val="009F1D9C"/>
    <w:rsid w:val="009F2DEF"/>
    <w:rsid w:val="009F5619"/>
    <w:rsid w:val="009F7BD0"/>
    <w:rsid w:val="00A034D7"/>
    <w:rsid w:val="00A04E2B"/>
    <w:rsid w:val="00A06E12"/>
    <w:rsid w:val="00A07225"/>
    <w:rsid w:val="00A20798"/>
    <w:rsid w:val="00A20F9E"/>
    <w:rsid w:val="00A23626"/>
    <w:rsid w:val="00A24B25"/>
    <w:rsid w:val="00A25543"/>
    <w:rsid w:val="00A26743"/>
    <w:rsid w:val="00A37722"/>
    <w:rsid w:val="00A41F11"/>
    <w:rsid w:val="00A421C4"/>
    <w:rsid w:val="00A45847"/>
    <w:rsid w:val="00A46C41"/>
    <w:rsid w:val="00A5098B"/>
    <w:rsid w:val="00A52800"/>
    <w:rsid w:val="00A52E29"/>
    <w:rsid w:val="00A536A4"/>
    <w:rsid w:val="00A56A47"/>
    <w:rsid w:val="00A617B3"/>
    <w:rsid w:val="00A65908"/>
    <w:rsid w:val="00A65BD2"/>
    <w:rsid w:val="00A67136"/>
    <w:rsid w:val="00A73E51"/>
    <w:rsid w:val="00A75B3A"/>
    <w:rsid w:val="00A76945"/>
    <w:rsid w:val="00A862A3"/>
    <w:rsid w:val="00A87C46"/>
    <w:rsid w:val="00A918DA"/>
    <w:rsid w:val="00A92C93"/>
    <w:rsid w:val="00A95B3C"/>
    <w:rsid w:val="00A963B7"/>
    <w:rsid w:val="00AA0366"/>
    <w:rsid w:val="00AA4AD8"/>
    <w:rsid w:val="00AA6250"/>
    <w:rsid w:val="00AA672E"/>
    <w:rsid w:val="00AB1A78"/>
    <w:rsid w:val="00AC0CD3"/>
    <w:rsid w:val="00AC0F69"/>
    <w:rsid w:val="00AC235B"/>
    <w:rsid w:val="00AD19A6"/>
    <w:rsid w:val="00AD264F"/>
    <w:rsid w:val="00AD4615"/>
    <w:rsid w:val="00AD6357"/>
    <w:rsid w:val="00AE01D8"/>
    <w:rsid w:val="00AE2F0E"/>
    <w:rsid w:val="00AE47D5"/>
    <w:rsid w:val="00AE581C"/>
    <w:rsid w:val="00AE7597"/>
    <w:rsid w:val="00AF368D"/>
    <w:rsid w:val="00AF7515"/>
    <w:rsid w:val="00AF7772"/>
    <w:rsid w:val="00B004E3"/>
    <w:rsid w:val="00B0053F"/>
    <w:rsid w:val="00B107B0"/>
    <w:rsid w:val="00B11393"/>
    <w:rsid w:val="00B12910"/>
    <w:rsid w:val="00B129AF"/>
    <w:rsid w:val="00B12F21"/>
    <w:rsid w:val="00B13685"/>
    <w:rsid w:val="00B246E5"/>
    <w:rsid w:val="00B249B2"/>
    <w:rsid w:val="00B26120"/>
    <w:rsid w:val="00B27592"/>
    <w:rsid w:val="00B30988"/>
    <w:rsid w:val="00B37C5D"/>
    <w:rsid w:val="00B40282"/>
    <w:rsid w:val="00B40606"/>
    <w:rsid w:val="00B40E07"/>
    <w:rsid w:val="00B40E16"/>
    <w:rsid w:val="00B41425"/>
    <w:rsid w:val="00B426C3"/>
    <w:rsid w:val="00B44820"/>
    <w:rsid w:val="00B44B2D"/>
    <w:rsid w:val="00B514A9"/>
    <w:rsid w:val="00B5741B"/>
    <w:rsid w:val="00B61F4D"/>
    <w:rsid w:val="00B64FB5"/>
    <w:rsid w:val="00B7333F"/>
    <w:rsid w:val="00B7403B"/>
    <w:rsid w:val="00B76CA0"/>
    <w:rsid w:val="00B82AB5"/>
    <w:rsid w:val="00B861E5"/>
    <w:rsid w:val="00B9050A"/>
    <w:rsid w:val="00B93E17"/>
    <w:rsid w:val="00BA2F71"/>
    <w:rsid w:val="00BA54C5"/>
    <w:rsid w:val="00BA5B7C"/>
    <w:rsid w:val="00BA6C24"/>
    <w:rsid w:val="00BB041F"/>
    <w:rsid w:val="00BB050B"/>
    <w:rsid w:val="00BB0718"/>
    <w:rsid w:val="00BB345C"/>
    <w:rsid w:val="00BB7CA8"/>
    <w:rsid w:val="00BC1D8D"/>
    <w:rsid w:val="00BC2CC2"/>
    <w:rsid w:val="00BC5002"/>
    <w:rsid w:val="00BD1961"/>
    <w:rsid w:val="00BD63EC"/>
    <w:rsid w:val="00BE0BCF"/>
    <w:rsid w:val="00BE10A2"/>
    <w:rsid w:val="00BE17C3"/>
    <w:rsid w:val="00BE6725"/>
    <w:rsid w:val="00BF0028"/>
    <w:rsid w:val="00BF2D25"/>
    <w:rsid w:val="00C02F90"/>
    <w:rsid w:val="00C11246"/>
    <w:rsid w:val="00C138D8"/>
    <w:rsid w:val="00C16933"/>
    <w:rsid w:val="00C16A1C"/>
    <w:rsid w:val="00C23258"/>
    <w:rsid w:val="00C24E97"/>
    <w:rsid w:val="00C25E9F"/>
    <w:rsid w:val="00C3254A"/>
    <w:rsid w:val="00C360F9"/>
    <w:rsid w:val="00C362BC"/>
    <w:rsid w:val="00C362D1"/>
    <w:rsid w:val="00C43287"/>
    <w:rsid w:val="00C44E5B"/>
    <w:rsid w:val="00C46213"/>
    <w:rsid w:val="00C46705"/>
    <w:rsid w:val="00C5155B"/>
    <w:rsid w:val="00C52546"/>
    <w:rsid w:val="00C538A1"/>
    <w:rsid w:val="00C53B96"/>
    <w:rsid w:val="00C553C3"/>
    <w:rsid w:val="00C5613F"/>
    <w:rsid w:val="00C56202"/>
    <w:rsid w:val="00C572DC"/>
    <w:rsid w:val="00C64BDC"/>
    <w:rsid w:val="00C663FA"/>
    <w:rsid w:val="00C666F3"/>
    <w:rsid w:val="00C73C54"/>
    <w:rsid w:val="00C746B4"/>
    <w:rsid w:val="00C825DE"/>
    <w:rsid w:val="00C9070C"/>
    <w:rsid w:val="00CA4443"/>
    <w:rsid w:val="00CA5F5A"/>
    <w:rsid w:val="00CB2AD9"/>
    <w:rsid w:val="00CB5642"/>
    <w:rsid w:val="00CC42C7"/>
    <w:rsid w:val="00CD291D"/>
    <w:rsid w:val="00CD6821"/>
    <w:rsid w:val="00CD7620"/>
    <w:rsid w:val="00CE1524"/>
    <w:rsid w:val="00CE5E1C"/>
    <w:rsid w:val="00CF13EF"/>
    <w:rsid w:val="00CF3981"/>
    <w:rsid w:val="00CF39F1"/>
    <w:rsid w:val="00CF7A8B"/>
    <w:rsid w:val="00D153C6"/>
    <w:rsid w:val="00D1791E"/>
    <w:rsid w:val="00D20222"/>
    <w:rsid w:val="00D20F12"/>
    <w:rsid w:val="00D2246E"/>
    <w:rsid w:val="00D25BAE"/>
    <w:rsid w:val="00D25C39"/>
    <w:rsid w:val="00D30D03"/>
    <w:rsid w:val="00D32335"/>
    <w:rsid w:val="00D338AC"/>
    <w:rsid w:val="00D36A87"/>
    <w:rsid w:val="00D36D90"/>
    <w:rsid w:val="00D37CD1"/>
    <w:rsid w:val="00D43509"/>
    <w:rsid w:val="00D44F3C"/>
    <w:rsid w:val="00D4594A"/>
    <w:rsid w:val="00D46A36"/>
    <w:rsid w:val="00D52E2C"/>
    <w:rsid w:val="00D53E67"/>
    <w:rsid w:val="00D5718C"/>
    <w:rsid w:val="00D605C6"/>
    <w:rsid w:val="00D62CC6"/>
    <w:rsid w:val="00D62E3F"/>
    <w:rsid w:val="00D6462E"/>
    <w:rsid w:val="00D64AE1"/>
    <w:rsid w:val="00D658BC"/>
    <w:rsid w:val="00D679A6"/>
    <w:rsid w:val="00D67FEE"/>
    <w:rsid w:val="00D710B1"/>
    <w:rsid w:val="00D7233E"/>
    <w:rsid w:val="00D72626"/>
    <w:rsid w:val="00D72F45"/>
    <w:rsid w:val="00D759DA"/>
    <w:rsid w:val="00D76284"/>
    <w:rsid w:val="00D80B81"/>
    <w:rsid w:val="00D81DB7"/>
    <w:rsid w:val="00D84503"/>
    <w:rsid w:val="00D85A5E"/>
    <w:rsid w:val="00D92BB0"/>
    <w:rsid w:val="00D93666"/>
    <w:rsid w:val="00D952A5"/>
    <w:rsid w:val="00DA5E64"/>
    <w:rsid w:val="00DB10D7"/>
    <w:rsid w:val="00DB36BA"/>
    <w:rsid w:val="00DB5EE8"/>
    <w:rsid w:val="00DB69DD"/>
    <w:rsid w:val="00DB705E"/>
    <w:rsid w:val="00DB70E2"/>
    <w:rsid w:val="00DC0597"/>
    <w:rsid w:val="00DC3D15"/>
    <w:rsid w:val="00DC770C"/>
    <w:rsid w:val="00DD6477"/>
    <w:rsid w:val="00DD6B37"/>
    <w:rsid w:val="00DE08A5"/>
    <w:rsid w:val="00DE114E"/>
    <w:rsid w:val="00DE13EE"/>
    <w:rsid w:val="00DE1C44"/>
    <w:rsid w:val="00DE45CD"/>
    <w:rsid w:val="00E04BE1"/>
    <w:rsid w:val="00E05443"/>
    <w:rsid w:val="00E05D15"/>
    <w:rsid w:val="00E06A77"/>
    <w:rsid w:val="00E124DE"/>
    <w:rsid w:val="00E125B1"/>
    <w:rsid w:val="00E22370"/>
    <w:rsid w:val="00E24483"/>
    <w:rsid w:val="00E24BE7"/>
    <w:rsid w:val="00E25724"/>
    <w:rsid w:val="00E37373"/>
    <w:rsid w:val="00E37CF6"/>
    <w:rsid w:val="00E416EE"/>
    <w:rsid w:val="00E46E1C"/>
    <w:rsid w:val="00E50C7C"/>
    <w:rsid w:val="00E50E07"/>
    <w:rsid w:val="00E53C82"/>
    <w:rsid w:val="00E562FB"/>
    <w:rsid w:val="00E5669C"/>
    <w:rsid w:val="00E60C1B"/>
    <w:rsid w:val="00E636AD"/>
    <w:rsid w:val="00E63A0E"/>
    <w:rsid w:val="00E649CE"/>
    <w:rsid w:val="00E75FF2"/>
    <w:rsid w:val="00E76645"/>
    <w:rsid w:val="00E81433"/>
    <w:rsid w:val="00E829E2"/>
    <w:rsid w:val="00E85208"/>
    <w:rsid w:val="00E85C1F"/>
    <w:rsid w:val="00E870BE"/>
    <w:rsid w:val="00E901A4"/>
    <w:rsid w:val="00E90CD7"/>
    <w:rsid w:val="00E90DEF"/>
    <w:rsid w:val="00E90E7F"/>
    <w:rsid w:val="00E92FE4"/>
    <w:rsid w:val="00E93A77"/>
    <w:rsid w:val="00EA2A5D"/>
    <w:rsid w:val="00EA3C3D"/>
    <w:rsid w:val="00EA7B21"/>
    <w:rsid w:val="00EB2ABB"/>
    <w:rsid w:val="00EB2BBB"/>
    <w:rsid w:val="00EB4B88"/>
    <w:rsid w:val="00EC200B"/>
    <w:rsid w:val="00EC5DEB"/>
    <w:rsid w:val="00EC6799"/>
    <w:rsid w:val="00ED0DFB"/>
    <w:rsid w:val="00ED1D48"/>
    <w:rsid w:val="00ED253B"/>
    <w:rsid w:val="00ED29E2"/>
    <w:rsid w:val="00ED34F7"/>
    <w:rsid w:val="00ED38F9"/>
    <w:rsid w:val="00ED7341"/>
    <w:rsid w:val="00EE15DC"/>
    <w:rsid w:val="00EF03A7"/>
    <w:rsid w:val="00EF0F9C"/>
    <w:rsid w:val="00EF278A"/>
    <w:rsid w:val="00EF7CC1"/>
    <w:rsid w:val="00F025DF"/>
    <w:rsid w:val="00F02E8B"/>
    <w:rsid w:val="00F072DF"/>
    <w:rsid w:val="00F10C9B"/>
    <w:rsid w:val="00F11BE8"/>
    <w:rsid w:val="00F13BAC"/>
    <w:rsid w:val="00F21CBC"/>
    <w:rsid w:val="00F2257E"/>
    <w:rsid w:val="00F3115A"/>
    <w:rsid w:val="00F41737"/>
    <w:rsid w:val="00F43169"/>
    <w:rsid w:val="00F4463B"/>
    <w:rsid w:val="00F45526"/>
    <w:rsid w:val="00F4668E"/>
    <w:rsid w:val="00F46A42"/>
    <w:rsid w:val="00F5108C"/>
    <w:rsid w:val="00F51178"/>
    <w:rsid w:val="00F5610D"/>
    <w:rsid w:val="00F64F7B"/>
    <w:rsid w:val="00F660A2"/>
    <w:rsid w:val="00F66381"/>
    <w:rsid w:val="00F6665E"/>
    <w:rsid w:val="00F67301"/>
    <w:rsid w:val="00F67FD6"/>
    <w:rsid w:val="00F70196"/>
    <w:rsid w:val="00F70921"/>
    <w:rsid w:val="00F75AA1"/>
    <w:rsid w:val="00F7653D"/>
    <w:rsid w:val="00F76E01"/>
    <w:rsid w:val="00F80EAA"/>
    <w:rsid w:val="00F842B3"/>
    <w:rsid w:val="00F87A10"/>
    <w:rsid w:val="00F92F58"/>
    <w:rsid w:val="00F94FDD"/>
    <w:rsid w:val="00F97266"/>
    <w:rsid w:val="00FA0DF9"/>
    <w:rsid w:val="00FA1BD3"/>
    <w:rsid w:val="00FA37FA"/>
    <w:rsid w:val="00FA3BDB"/>
    <w:rsid w:val="00FA64DB"/>
    <w:rsid w:val="00FA6916"/>
    <w:rsid w:val="00FA6A97"/>
    <w:rsid w:val="00FA6ACC"/>
    <w:rsid w:val="00FA77C4"/>
    <w:rsid w:val="00FB1892"/>
    <w:rsid w:val="00FB38E2"/>
    <w:rsid w:val="00FC11C5"/>
    <w:rsid w:val="00FC14D2"/>
    <w:rsid w:val="00FC1B67"/>
    <w:rsid w:val="00FC29D3"/>
    <w:rsid w:val="00FC440C"/>
    <w:rsid w:val="00FC6299"/>
    <w:rsid w:val="00FC6C55"/>
    <w:rsid w:val="00FC7040"/>
    <w:rsid w:val="00FD239E"/>
    <w:rsid w:val="00FD2DAB"/>
    <w:rsid w:val="00FD3B09"/>
    <w:rsid w:val="00FE0C6E"/>
    <w:rsid w:val="00FE22A8"/>
    <w:rsid w:val="00FE310F"/>
    <w:rsid w:val="00FE76E3"/>
    <w:rsid w:val="00FF18B9"/>
    <w:rsid w:val="00FF2D76"/>
    <w:rsid w:val="01172179"/>
    <w:rsid w:val="01452157"/>
    <w:rsid w:val="0198797E"/>
    <w:rsid w:val="01E672D5"/>
    <w:rsid w:val="02071E35"/>
    <w:rsid w:val="021D229B"/>
    <w:rsid w:val="025C7C3B"/>
    <w:rsid w:val="0273010D"/>
    <w:rsid w:val="028D692C"/>
    <w:rsid w:val="029841FB"/>
    <w:rsid w:val="02A96106"/>
    <w:rsid w:val="032338E1"/>
    <w:rsid w:val="03433F84"/>
    <w:rsid w:val="036A1510"/>
    <w:rsid w:val="03E811F5"/>
    <w:rsid w:val="043D11AF"/>
    <w:rsid w:val="04C04D76"/>
    <w:rsid w:val="04D31337"/>
    <w:rsid w:val="04ED41A7"/>
    <w:rsid w:val="04EF1DF0"/>
    <w:rsid w:val="05384ED8"/>
    <w:rsid w:val="05D45367"/>
    <w:rsid w:val="063C19F6"/>
    <w:rsid w:val="06CD117A"/>
    <w:rsid w:val="06F20C19"/>
    <w:rsid w:val="07334A4A"/>
    <w:rsid w:val="073D0CEA"/>
    <w:rsid w:val="07487DBA"/>
    <w:rsid w:val="074D28B2"/>
    <w:rsid w:val="0796181F"/>
    <w:rsid w:val="080D5E13"/>
    <w:rsid w:val="08167EB9"/>
    <w:rsid w:val="082456F4"/>
    <w:rsid w:val="083D471B"/>
    <w:rsid w:val="08747D30"/>
    <w:rsid w:val="08BA4CE8"/>
    <w:rsid w:val="09410F65"/>
    <w:rsid w:val="094C0FF5"/>
    <w:rsid w:val="09581E0B"/>
    <w:rsid w:val="096E0EE2"/>
    <w:rsid w:val="098470A4"/>
    <w:rsid w:val="09AD125A"/>
    <w:rsid w:val="09B03A0D"/>
    <w:rsid w:val="09B17DE9"/>
    <w:rsid w:val="09C556F2"/>
    <w:rsid w:val="09DD5E60"/>
    <w:rsid w:val="09E12944"/>
    <w:rsid w:val="0A1C51AB"/>
    <w:rsid w:val="0A2D14EA"/>
    <w:rsid w:val="0A647547"/>
    <w:rsid w:val="0A705714"/>
    <w:rsid w:val="0AD11914"/>
    <w:rsid w:val="0ADE515E"/>
    <w:rsid w:val="0B0F14CD"/>
    <w:rsid w:val="0B100DA8"/>
    <w:rsid w:val="0B3B0B0D"/>
    <w:rsid w:val="0B642CE9"/>
    <w:rsid w:val="0B764EEE"/>
    <w:rsid w:val="0B8E4C10"/>
    <w:rsid w:val="0B952F4D"/>
    <w:rsid w:val="0BD75BB1"/>
    <w:rsid w:val="0C005169"/>
    <w:rsid w:val="0C0608D2"/>
    <w:rsid w:val="0C790A16"/>
    <w:rsid w:val="0C842CBC"/>
    <w:rsid w:val="0CEE4F60"/>
    <w:rsid w:val="0D29279E"/>
    <w:rsid w:val="0D3B3F1D"/>
    <w:rsid w:val="0D436E01"/>
    <w:rsid w:val="0D6D3C36"/>
    <w:rsid w:val="0D712BF2"/>
    <w:rsid w:val="0D766D04"/>
    <w:rsid w:val="0D7B654D"/>
    <w:rsid w:val="0DD705FB"/>
    <w:rsid w:val="0DE34B57"/>
    <w:rsid w:val="0E042561"/>
    <w:rsid w:val="0E2C26F4"/>
    <w:rsid w:val="0E7E40C2"/>
    <w:rsid w:val="0F1A5E75"/>
    <w:rsid w:val="0F654E58"/>
    <w:rsid w:val="0F853D0A"/>
    <w:rsid w:val="0FAA2376"/>
    <w:rsid w:val="0FE7589C"/>
    <w:rsid w:val="100D5FBD"/>
    <w:rsid w:val="10280789"/>
    <w:rsid w:val="10537F76"/>
    <w:rsid w:val="109E39FF"/>
    <w:rsid w:val="10F1501F"/>
    <w:rsid w:val="10F44B0F"/>
    <w:rsid w:val="1102722C"/>
    <w:rsid w:val="110B3162"/>
    <w:rsid w:val="11164A85"/>
    <w:rsid w:val="111E5A3E"/>
    <w:rsid w:val="115F467E"/>
    <w:rsid w:val="118063A3"/>
    <w:rsid w:val="118F191C"/>
    <w:rsid w:val="11A12C03"/>
    <w:rsid w:val="11BA7B07"/>
    <w:rsid w:val="11E04DB6"/>
    <w:rsid w:val="11EB4164"/>
    <w:rsid w:val="123258EF"/>
    <w:rsid w:val="12490B7F"/>
    <w:rsid w:val="129B7938"/>
    <w:rsid w:val="12C127C8"/>
    <w:rsid w:val="133A4330"/>
    <w:rsid w:val="13A26AA4"/>
    <w:rsid w:val="13B23C03"/>
    <w:rsid w:val="13DA7FEC"/>
    <w:rsid w:val="13F57B76"/>
    <w:rsid w:val="140973EB"/>
    <w:rsid w:val="1427631F"/>
    <w:rsid w:val="14326FF7"/>
    <w:rsid w:val="14E630A7"/>
    <w:rsid w:val="14EB7FD7"/>
    <w:rsid w:val="14FB646C"/>
    <w:rsid w:val="152A332F"/>
    <w:rsid w:val="152F25BA"/>
    <w:rsid w:val="155341CA"/>
    <w:rsid w:val="15727625"/>
    <w:rsid w:val="157306F8"/>
    <w:rsid w:val="15D445BE"/>
    <w:rsid w:val="15E909BB"/>
    <w:rsid w:val="15F76BBD"/>
    <w:rsid w:val="160E6673"/>
    <w:rsid w:val="1662251B"/>
    <w:rsid w:val="1665769A"/>
    <w:rsid w:val="16775DA2"/>
    <w:rsid w:val="16832BBD"/>
    <w:rsid w:val="16BD25D8"/>
    <w:rsid w:val="16E527F2"/>
    <w:rsid w:val="170F26A3"/>
    <w:rsid w:val="17660F72"/>
    <w:rsid w:val="177A38B0"/>
    <w:rsid w:val="179A2F3F"/>
    <w:rsid w:val="179D64B2"/>
    <w:rsid w:val="17DB07D7"/>
    <w:rsid w:val="17F15BC5"/>
    <w:rsid w:val="184A1D82"/>
    <w:rsid w:val="18D3325C"/>
    <w:rsid w:val="190516FD"/>
    <w:rsid w:val="191B6957"/>
    <w:rsid w:val="196565AA"/>
    <w:rsid w:val="19C20E4D"/>
    <w:rsid w:val="19FA75E5"/>
    <w:rsid w:val="1A057D8D"/>
    <w:rsid w:val="1A240213"/>
    <w:rsid w:val="1A88631A"/>
    <w:rsid w:val="1A993ADA"/>
    <w:rsid w:val="1AB1581F"/>
    <w:rsid w:val="1ABF048F"/>
    <w:rsid w:val="1AC75042"/>
    <w:rsid w:val="1AC76DF0"/>
    <w:rsid w:val="1AD03EF7"/>
    <w:rsid w:val="1AEA7E00"/>
    <w:rsid w:val="1B0643A4"/>
    <w:rsid w:val="1B0D6EF9"/>
    <w:rsid w:val="1B365A09"/>
    <w:rsid w:val="1B397CEE"/>
    <w:rsid w:val="1B742AD4"/>
    <w:rsid w:val="1C27223D"/>
    <w:rsid w:val="1C476D9C"/>
    <w:rsid w:val="1C6E6AA0"/>
    <w:rsid w:val="1C724F57"/>
    <w:rsid w:val="1CC63DBE"/>
    <w:rsid w:val="1CDF6F23"/>
    <w:rsid w:val="1CF17ED4"/>
    <w:rsid w:val="1D0600A4"/>
    <w:rsid w:val="1D884ECC"/>
    <w:rsid w:val="1DC55869"/>
    <w:rsid w:val="1DF919B7"/>
    <w:rsid w:val="1E05210A"/>
    <w:rsid w:val="1E286E07"/>
    <w:rsid w:val="1E2C0141"/>
    <w:rsid w:val="1E752A43"/>
    <w:rsid w:val="1EC04736"/>
    <w:rsid w:val="1EF045B7"/>
    <w:rsid w:val="1F2E69D8"/>
    <w:rsid w:val="1F3C5FFF"/>
    <w:rsid w:val="1F4C5FA0"/>
    <w:rsid w:val="1FB713CE"/>
    <w:rsid w:val="1FEA200A"/>
    <w:rsid w:val="201475CF"/>
    <w:rsid w:val="20286583"/>
    <w:rsid w:val="204D3FC5"/>
    <w:rsid w:val="20562444"/>
    <w:rsid w:val="2059469C"/>
    <w:rsid w:val="206675C3"/>
    <w:rsid w:val="20AE4CDA"/>
    <w:rsid w:val="20D31B29"/>
    <w:rsid w:val="21381484"/>
    <w:rsid w:val="214C004F"/>
    <w:rsid w:val="215E19DD"/>
    <w:rsid w:val="21A07443"/>
    <w:rsid w:val="21C3619F"/>
    <w:rsid w:val="21CB61A6"/>
    <w:rsid w:val="21CB652F"/>
    <w:rsid w:val="21F27172"/>
    <w:rsid w:val="222F58FD"/>
    <w:rsid w:val="22543660"/>
    <w:rsid w:val="22687929"/>
    <w:rsid w:val="22AA635A"/>
    <w:rsid w:val="22E2129A"/>
    <w:rsid w:val="22FC51EC"/>
    <w:rsid w:val="23563EDF"/>
    <w:rsid w:val="23AD1279"/>
    <w:rsid w:val="23B76BD7"/>
    <w:rsid w:val="23F77F57"/>
    <w:rsid w:val="242F4C61"/>
    <w:rsid w:val="248A11E7"/>
    <w:rsid w:val="248D3587"/>
    <w:rsid w:val="24A84769"/>
    <w:rsid w:val="24B76D91"/>
    <w:rsid w:val="24B90CFA"/>
    <w:rsid w:val="251B47FC"/>
    <w:rsid w:val="253204FB"/>
    <w:rsid w:val="25AB7A3A"/>
    <w:rsid w:val="25CC356F"/>
    <w:rsid w:val="25CE7F92"/>
    <w:rsid w:val="25F0544D"/>
    <w:rsid w:val="261819BB"/>
    <w:rsid w:val="26695200"/>
    <w:rsid w:val="26752333"/>
    <w:rsid w:val="26802C75"/>
    <w:rsid w:val="26AF2191"/>
    <w:rsid w:val="26BE4F00"/>
    <w:rsid w:val="26EA4592"/>
    <w:rsid w:val="27187D6A"/>
    <w:rsid w:val="272A2F95"/>
    <w:rsid w:val="276C6496"/>
    <w:rsid w:val="278247CB"/>
    <w:rsid w:val="27C76FB9"/>
    <w:rsid w:val="28182B6A"/>
    <w:rsid w:val="2834649F"/>
    <w:rsid w:val="28431333"/>
    <w:rsid w:val="28537F15"/>
    <w:rsid w:val="286D547B"/>
    <w:rsid w:val="28A75544"/>
    <w:rsid w:val="28F811E9"/>
    <w:rsid w:val="29121B7F"/>
    <w:rsid w:val="29491F0D"/>
    <w:rsid w:val="29736AC1"/>
    <w:rsid w:val="29F251EF"/>
    <w:rsid w:val="2A2E29E8"/>
    <w:rsid w:val="2A444B3F"/>
    <w:rsid w:val="2A467D32"/>
    <w:rsid w:val="2A6636FD"/>
    <w:rsid w:val="2AAD35BF"/>
    <w:rsid w:val="2ACE3C4E"/>
    <w:rsid w:val="2B251B3D"/>
    <w:rsid w:val="2B98162B"/>
    <w:rsid w:val="2BB67139"/>
    <w:rsid w:val="2C175CA8"/>
    <w:rsid w:val="2C2045B2"/>
    <w:rsid w:val="2C233DA5"/>
    <w:rsid w:val="2C386DD1"/>
    <w:rsid w:val="2C3C4C0F"/>
    <w:rsid w:val="2C526E62"/>
    <w:rsid w:val="2C550700"/>
    <w:rsid w:val="2C9F3729"/>
    <w:rsid w:val="2CAA298E"/>
    <w:rsid w:val="2CBD6A74"/>
    <w:rsid w:val="2D0A14EA"/>
    <w:rsid w:val="2D5664DE"/>
    <w:rsid w:val="2D63280A"/>
    <w:rsid w:val="2D93478A"/>
    <w:rsid w:val="2D940DB4"/>
    <w:rsid w:val="2D983C69"/>
    <w:rsid w:val="2DB52931"/>
    <w:rsid w:val="2DC91962"/>
    <w:rsid w:val="2E4E74DD"/>
    <w:rsid w:val="2E7F7CB6"/>
    <w:rsid w:val="2E94409C"/>
    <w:rsid w:val="2EB00083"/>
    <w:rsid w:val="2EC64825"/>
    <w:rsid w:val="2EE736D7"/>
    <w:rsid w:val="2EFC4E63"/>
    <w:rsid w:val="2EFF2D8E"/>
    <w:rsid w:val="2F3440E9"/>
    <w:rsid w:val="2F3E7229"/>
    <w:rsid w:val="2F4F544D"/>
    <w:rsid w:val="2F736386"/>
    <w:rsid w:val="2F9B0B20"/>
    <w:rsid w:val="2FAF3BCA"/>
    <w:rsid w:val="2FB7522E"/>
    <w:rsid w:val="2FE778C1"/>
    <w:rsid w:val="30423744"/>
    <w:rsid w:val="30474804"/>
    <w:rsid w:val="30A57E15"/>
    <w:rsid w:val="30BF1E26"/>
    <w:rsid w:val="30CC6AB7"/>
    <w:rsid w:val="31497106"/>
    <w:rsid w:val="31B148E3"/>
    <w:rsid w:val="31C752DC"/>
    <w:rsid w:val="31CF0743"/>
    <w:rsid w:val="31D82DA0"/>
    <w:rsid w:val="31E91180"/>
    <w:rsid w:val="32256487"/>
    <w:rsid w:val="32601546"/>
    <w:rsid w:val="327A5831"/>
    <w:rsid w:val="32A60E89"/>
    <w:rsid w:val="32AC4197"/>
    <w:rsid w:val="32B6478F"/>
    <w:rsid w:val="32C17BAB"/>
    <w:rsid w:val="32C24CC4"/>
    <w:rsid w:val="32DB1C5F"/>
    <w:rsid w:val="330422B9"/>
    <w:rsid w:val="33541586"/>
    <w:rsid w:val="33704071"/>
    <w:rsid w:val="3376291B"/>
    <w:rsid w:val="33A616A5"/>
    <w:rsid w:val="33B2468A"/>
    <w:rsid w:val="33CA19D4"/>
    <w:rsid w:val="34082862"/>
    <w:rsid w:val="34A80DB2"/>
    <w:rsid w:val="34C07A59"/>
    <w:rsid w:val="34C434B7"/>
    <w:rsid w:val="34CE05D4"/>
    <w:rsid w:val="34F15E8D"/>
    <w:rsid w:val="34FB5BBD"/>
    <w:rsid w:val="35144BE1"/>
    <w:rsid w:val="35181A32"/>
    <w:rsid w:val="351E4089"/>
    <w:rsid w:val="3551778A"/>
    <w:rsid w:val="35707279"/>
    <w:rsid w:val="359D6AF6"/>
    <w:rsid w:val="35BD1A31"/>
    <w:rsid w:val="35D239D4"/>
    <w:rsid w:val="36885C9D"/>
    <w:rsid w:val="36B83D65"/>
    <w:rsid w:val="36E7464B"/>
    <w:rsid w:val="36EB346A"/>
    <w:rsid w:val="379F64F2"/>
    <w:rsid w:val="37AB4236"/>
    <w:rsid w:val="37CE75B8"/>
    <w:rsid w:val="37D848AC"/>
    <w:rsid w:val="380B25BB"/>
    <w:rsid w:val="381B0A50"/>
    <w:rsid w:val="381F3017"/>
    <w:rsid w:val="3898577E"/>
    <w:rsid w:val="389E2B91"/>
    <w:rsid w:val="38CE04EE"/>
    <w:rsid w:val="393A7865"/>
    <w:rsid w:val="396458BD"/>
    <w:rsid w:val="39656AE3"/>
    <w:rsid w:val="39955BD5"/>
    <w:rsid w:val="39CB0253"/>
    <w:rsid w:val="3A974416"/>
    <w:rsid w:val="3B00427C"/>
    <w:rsid w:val="3B1817A9"/>
    <w:rsid w:val="3B1E4787"/>
    <w:rsid w:val="3B295232"/>
    <w:rsid w:val="3B3941C7"/>
    <w:rsid w:val="3B513B68"/>
    <w:rsid w:val="3B5443C4"/>
    <w:rsid w:val="3B551553"/>
    <w:rsid w:val="3B7E48EF"/>
    <w:rsid w:val="3BA448B8"/>
    <w:rsid w:val="3BAB32B2"/>
    <w:rsid w:val="3BB0325D"/>
    <w:rsid w:val="3BD656AE"/>
    <w:rsid w:val="3C2B34D3"/>
    <w:rsid w:val="3C3B5091"/>
    <w:rsid w:val="3C3D319E"/>
    <w:rsid w:val="3C793F97"/>
    <w:rsid w:val="3C940DD1"/>
    <w:rsid w:val="3CBB20A9"/>
    <w:rsid w:val="3CC57117"/>
    <w:rsid w:val="3D1556FF"/>
    <w:rsid w:val="3D1F3C94"/>
    <w:rsid w:val="3D422CED"/>
    <w:rsid w:val="3D7B3083"/>
    <w:rsid w:val="3D7B3D3F"/>
    <w:rsid w:val="3D934BC4"/>
    <w:rsid w:val="3DC91CCE"/>
    <w:rsid w:val="3DEE0E3C"/>
    <w:rsid w:val="3DF02A0B"/>
    <w:rsid w:val="3E350391"/>
    <w:rsid w:val="3E416B2E"/>
    <w:rsid w:val="3E431750"/>
    <w:rsid w:val="3E5227DD"/>
    <w:rsid w:val="3E6F58B8"/>
    <w:rsid w:val="3E7F7AB4"/>
    <w:rsid w:val="3EB219E2"/>
    <w:rsid w:val="3ECD4BB6"/>
    <w:rsid w:val="3EE17DD0"/>
    <w:rsid w:val="3EE710C8"/>
    <w:rsid w:val="3EEF4136"/>
    <w:rsid w:val="3F26094E"/>
    <w:rsid w:val="3FC740EB"/>
    <w:rsid w:val="3FD94147"/>
    <w:rsid w:val="3FEA705D"/>
    <w:rsid w:val="3FFF0D88"/>
    <w:rsid w:val="40247BED"/>
    <w:rsid w:val="40660393"/>
    <w:rsid w:val="40A20693"/>
    <w:rsid w:val="40B1336E"/>
    <w:rsid w:val="41004C87"/>
    <w:rsid w:val="41067DC3"/>
    <w:rsid w:val="411918A4"/>
    <w:rsid w:val="413B7A6D"/>
    <w:rsid w:val="4156219A"/>
    <w:rsid w:val="4171348E"/>
    <w:rsid w:val="41AC3AFE"/>
    <w:rsid w:val="42211FBF"/>
    <w:rsid w:val="42562684"/>
    <w:rsid w:val="427613C9"/>
    <w:rsid w:val="42F170C7"/>
    <w:rsid w:val="42FF4ACA"/>
    <w:rsid w:val="433F136A"/>
    <w:rsid w:val="434844DE"/>
    <w:rsid w:val="434E6096"/>
    <w:rsid w:val="437D25BE"/>
    <w:rsid w:val="43AC0571"/>
    <w:rsid w:val="43BA0E35"/>
    <w:rsid w:val="43EF2D90"/>
    <w:rsid w:val="442E0C05"/>
    <w:rsid w:val="445636D6"/>
    <w:rsid w:val="445B2D64"/>
    <w:rsid w:val="449C7223"/>
    <w:rsid w:val="44CC41B8"/>
    <w:rsid w:val="453758A0"/>
    <w:rsid w:val="453B487D"/>
    <w:rsid w:val="45867E0E"/>
    <w:rsid w:val="458B6AE9"/>
    <w:rsid w:val="45A02594"/>
    <w:rsid w:val="45B826FF"/>
    <w:rsid w:val="45E53334"/>
    <w:rsid w:val="461E5281"/>
    <w:rsid w:val="46401681"/>
    <w:rsid w:val="46445615"/>
    <w:rsid w:val="46656052"/>
    <w:rsid w:val="46667EF0"/>
    <w:rsid w:val="46AF18DF"/>
    <w:rsid w:val="46E85C25"/>
    <w:rsid w:val="47531CAE"/>
    <w:rsid w:val="479C322F"/>
    <w:rsid w:val="47BE4F54"/>
    <w:rsid w:val="47D7007C"/>
    <w:rsid w:val="48253225"/>
    <w:rsid w:val="48421BF4"/>
    <w:rsid w:val="48631C90"/>
    <w:rsid w:val="48967C7F"/>
    <w:rsid w:val="48C641F8"/>
    <w:rsid w:val="48D51EFC"/>
    <w:rsid w:val="48FF4DC2"/>
    <w:rsid w:val="490F508A"/>
    <w:rsid w:val="490F7AD2"/>
    <w:rsid w:val="496B6BBA"/>
    <w:rsid w:val="49A35E02"/>
    <w:rsid w:val="49A728B7"/>
    <w:rsid w:val="49B06023"/>
    <w:rsid w:val="4A6D1AEE"/>
    <w:rsid w:val="4AC50F12"/>
    <w:rsid w:val="4AF238CF"/>
    <w:rsid w:val="4B370D78"/>
    <w:rsid w:val="4B917821"/>
    <w:rsid w:val="4BED1491"/>
    <w:rsid w:val="4BF369AE"/>
    <w:rsid w:val="4C066EC9"/>
    <w:rsid w:val="4C4A325A"/>
    <w:rsid w:val="4C5145E8"/>
    <w:rsid w:val="4C681932"/>
    <w:rsid w:val="4C7E1155"/>
    <w:rsid w:val="4C822D08"/>
    <w:rsid w:val="4CA94424"/>
    <w:rsid w:val="4CBD7ED0"/>
    <w:rsid w:val="4D102665"/>
    <w:rsid w:val="4D1D6F22"/>
    <w:rsid w:val="4D277206"/>
    <w:rsid w:val="4D295D13"/>
    <w:rsid w:val="4D2D76DE"/>
    <w:rsid w:val="4DE4764D"/>
    <w:rsid w:val="4DE82D2A"/>
    <w:rsid w:val="4E197388"/>
    <w:rsid w:val="4E314D77"/>
    <w:rsid w:val="4E4F4B24"/>
    <w:rsid w:val="4E8862BB"/>
    <w:rsid w:val="4ECF3EEA"/>
    <w:rsid w:val="4F1275C7"/>
    <w:rsid w:val="4F1B712F"/>
    <w:rsid w:val="4F530677"/>
    <w:rsid w:val="4F6C7B01"/>
    <w:rsid w:val="4F786EFC"/>
    <w:rsid w:val="4FB8497E"/>
    <w:rsid w:val="50127EF3"/>
    <w:rsid w:val="5019541D"/>
    <w:rsid w:val="5021604D"/>
    <w:rsid w:val="503F29AA"/>
    <w:rsid w:val="50891E2D"/>
    <w:rsid w:val="50A13664"/>
    <w:rsid w:val="50C8026F"/>
    <w:rsid w:val="50E00577"/>
    <w:rsid w:val="510C51A5"/>
    <w:rsid w:val="510D2AA8"/>
    <w:rsid w:val="511875A6"/>
    <w:rsid w:val="518D123B"/>
    <w:rsid w:val="51A05024"/>
    <w:rsid w:val="51AE428B"/>
    <w:rsid w:val="51E31A65"/>
    <w:rsid w:val="520B348B"/>
    <w:rsid w:val="52250447"/>
    <w:rsid w:val="52306FC5"/>
    <w:rsid w:val="52382E6E"/>
    <w:rsid w:val="523D376F"/>
    <w:rsid w:val="523F60F4"/>
    <w:rsid w:val="5244074B"/>
    <w:rsid w:val="52636E23"/>
    <w:rsid w:val="5265077A"/>
    <w:rsid w:val="5296268A"/>
    <w:rsid w:val="52A3475A"/>
    <w:rsid w:val="52B837C4"/>
    <w:rsid w:val="52BA0DE1"/>
    <w:rsid w:val="52CD6993"/>
    <w:rsid w:val="534F62F5"/>
    <w:rsid w:val="536A41E2"/>
    <w:rsid w:val="539435ED"/>
    <w:rsid w:val="53AF2F0C"/>
    <w:rsid w:val="53B13BBE"/>
    <w:rsid w:val="53B7679C"/>
    <w:rsid w:val="53BD07B5"/>
    <w:rsid w:val="53CB729C"/>
    <w:rsid w:val="53CE781B"/>
    <w:rsid w:val="543A0058"/>
    <w:rsid w:val="54502734"/>
    <w:rsid w:val="546F02F6"/>
    <w:rsid w:val="54783C5F"/>
    <w:rsid w:val="54E51D72"/>
    <w:rsid w:val="551C63B2"/>
    <w:rsid w:val="555B6C9F"/>
    <w:rsid w:val="556A2C63"/>
    <w:rsid w:val="55713EA5"/>
    <w:rsid w:val="557B2D6A"/>
    <w:rsid w:val="55D1384C"/>
    <w:rsid w:val="55F549AD"/>
    <w:rsid w:val="560E52F8"/>
    <w:rsid w:val="568455BA"/>
    <w:rsid w:val="569F1293"/>
    <w:rsid w:val="56E62552"/>
    <w:rsid w:val="570773BC"/>
    <w:rsid w:val="57276F28"/>
    <w:rsid w:val="57680A38"/>
    <w:rsid w:val="57A44166"/>
    <w:rsid w:val="58030804"/>
    <w:rsid w:val="58970BBD"/>
    <w:rsid w:val="58B061F7"/>
    <w:rsid w:val="58CC3C08"/>
    <w:rsid w:val="592D0F8B"/>
    <w:rsid w:val="5955096C"/>
    <w:rsid w:val="595C637A"/>
    <w:rsid w:val="59750963"/>
    <w:rsid w:val="598A06ED"/>
    <w:rsid w:val="59E71A22"/>
    <w:rsid w:val="5A1E4733"/>
    <w:rsid w:val="5A3A2B60"/>
    <w:rsid w:val="5A570963"/>
    <w:rsid w:val="5A65343B"/>
    <w:rsid w:val="5AE66844"/>
    <w:rsid w:val="5B155DF6"/>
    <w:rsid w:val="5B2B6A2C"/>
    <w:rsid w:val="5B5E126B"/>
    <w:rsid w:val="5B724C57"/>
    <w:rsid w:val="5BF807E5"/>
    <w:rsid w:val="5C292E8C"/>
    <w:rsid w:val="5CED502C"/>
    <w:rsid w:val="5CEF4F81"/>
    <w:rsid w:val="5CFC5582"/>
    <w:rsid w:val="5D0C25BE"/>
    <w:rsid w:val="5D83037A"/>
    <w:rsid w:val="5DE11544"/>
    <w:rsid w:val="5DEF5A0F"/>
    <w:rsid w:val="5DF24AA1"/>
    <w:rsid w:val="5E9076E4"/>
    <w:rsid w:val="5EB033F0"/>
    <w:rsid w:val="5EEE0F28"/>
    <w:rsid w:val="5EF67613"/>
    <w:rsid w:val="5F2B6F1B"/>
    <w:rsid w:val="5F4E2554"/>
    <w:rsid w:val="5F732809"/>
    <w:rsid w:val="5FCA1916"/>
    <w:rsid w:val="5FCC02CF"/>
    <w:rsid w:val="5FCD5E09"/>
    <w:rsid w:val="60361564"/>
    <w:rsid w:val="606306D7"/>
    <w:rsid w:val="606721D5"/>
    <w:rsid w:val="60793345"/>
    <w:rsid w:val="60917251"/>
    <w:rsid w:val="60AE1BB1"/>
    <w:rsid w:val="60C41FB8"/>
    <w:rsid w:val="60CE5DB0"/>
    <w:rsid w:val="60CF1A72"/>
    <w:rsid w:val="613C2D53"/>
    <w:rsid w:val="61477910"/>
    <w:rsid w:val="61493688"/>
    <w:rsid w:val="618F19E3"/>
    <w:rsid w:val="61B43C25"/>
    <w:rsid w:val="61D564F8"/>
    <w:rsid w:val="62090D56"/>
    <w:rsid w:val="628A3F58"/>
    <w:rsid w:val="62A943E9"/>
    <w:rsid w:val="62D60F4C"/>
    <w:rsid w:val="62FB0C6A"/>
    <w:rsid w:val="632F1D8D"/>
    <w:rsid w:val="633E154B"/>
    <w:rsid w:val="63546B8F"/>
    <w:rsid w:val="63A95F07"/>
    <w:rsid w:val="63C24633"/>
    <w:rsid w:val="63C70247"/>
    <w:rsid w:val="63E5025C"/>
    <w:rsid w:val="644C3BBB"/>
    <w:rsid w:val="64AC28AC"/>
    <w:rsid w:val="64C52184"/>
    <w:rsid w:val="64C75CDC"/>
    <w:rsid w:val="650A75D2"/>
    <w:rsid w:val="6530240E"/>
    <w:rsid w:val="65C06EEE"/>
    <w:rsid w:val="65C12486"/>
    <w:rsid w:val="665E3732"/>
    <w:rsid w:val="666A451D"/>
    <w:rsid w:val="66CC2925"/>
    <w:rsid w:val="66F9300F"/>
    <w:rsid w:val="670565A4"/>
    <w:rsid w:val="67075FC6"/>
    <w:rsid w:val="67090F3F"/>
    <w:rsid w:val="6723756E"/>
    <w:rsid w:val="67425591"/>
    <w:rsid w:val="67475CCF"/>
    <w:rsid w:val="674930DD"/>
    <w:rsid w:val="67582877"/>
    <w:rsid w:val="6796514D"/>
    <w:rsid w:val="679E601D"/>
    <w:rsid w:val="67EC2FBF"/>
    <w:rsid w:val="67F87208"/>
    <w:rsid w:val="68071BA7"/>
    <w:rsid w:val="68112A26"/>
    <w:rsid w:val="686F4CA6"/>
    <w:rsid w:val="689F340D"/>
    <w:rsid w:val="68B166E3"/>
    <w:rsid w:val="68C87988"/>
    <w:rsid w:val="68FE72B3"/>
    <w:rsid w:val="693A6D65"/>
    <w:rsid w:val="69603EBD"/>
    <w:rsid w:val="69774F7D"/>
    <w:rsid w:val="697E1F80"/>
    <w:rsid w:val="69904407"/>
    <w:rsid w:val="69B95123"/>
    <w:rsid w:val="69C73CE4"/>
    <w:rsid w:val="6A3E116B"/>
    <w:rsid w:val="6A624C54"/>
    <w:rsid w:val="6A8B4D12"/>
    <w:rsid w:val="6AD95A7D"/>
    <w:rsid w:val="6B0A3E88"/>
    <w:rsid w:val="6B4339B8"/>
    <w:rsid w:val="6BBE1707"/>
    <w:rsid w:val="6C117498"/>
    <w:rsid w:val="6C2E10E1"/>
    <w:rsid w:val="6C6121CE"/>
    <w:rsid w:val="6D0B3BBA"/>
    <w:rsid w:val="6D6C0E2A"/>
    <w:rsid w:val="6D716441"/>
    <w:rsid w:val="6D7A239C"/>
    <w:rsid w:val="6DB4632D"/>
    <w:rsid w:val="6DD54C21"/>
    <w:rsid w:val="6DE65EC7"/>
    <w:rsid w:val="6E2D03DD"/>
    <w:rsid w:val="6E3851B0"/>
    <w:rsid w:val="6E4E0530"/>
    <w:rsid w:val="6E533D98"/>
    <w:rsid w:val="6E654D5A"/>
    <w:rsid w:val="6E7770F2"/>
    <w:rsid w:val="6EAB1E23"/>
    <w:rsid w:val="6EBC5FF8"/>
    <w:rsid w:val="6F0E7CBF"/>
    <w:rsid w:val="6F8B3D88"/>
    <w:rsid w:val="6FB17075"/>
    <w:rsid w:val="701766BA"/>
    <w:rsid w:val="70A33835"/>
    <w:rsid w:val="70DD4AF8"/>
    <w:rsid w:val="713A2FED"/>
    <w:rsid w:val="71627D79"/>
    <w:rsid w:val="71686A07"/>
    <w:rsid w:val="71BB6DAD"/>
    <w:rsid w:val="71CF4CF2"/>
    <w:rsid w:val="72195677"/>
    <w:rsid w:val="721E46BD"/>
    <w:rsid w:val="726522EC"/>
    <w:rsid w:val="72A917D7"/>
    <w:rsid w:val="7307540F"/>
    <w:rsid w:val="73214465"/>
    <w:rsid w:val="73470D03"/>
    <w:rsid w:val="737E039A"/>
    <w:rsid w:val="73B21144"/>
    <w:rsid w:val="73B23EE7"/>
    <w:rsid w:val="73CF165B"/>
    <w:rsid w:val="73DB21E0"/>
    <w:rsid w:val="744A79EB"/>
    <w:rsid w:val="74786307"/>
    <w:rsid w:val="7498403D"/>
    <w:rsid w:val="74C23613"/>
    <w:rsid w:val="750076C7"/>
    <w:rsid w:val="7568637B"/>
    <w:rsid w:val="7590607E"/>
    <w:rsid w:val="759E3B4B"/>
    <w:rsid w:val="75A54E9F"/>
    <w:rsid w:val="764F3FF2"/>
    <w:rsid w:val="7694464C"/>
    <w:rsid w:val="76951CF0"/>
    <w:rsid w:val="76EF7786"/>
    <w:rsid w:val="778B00FF"/>
    <w:rsid w:val="77D221D2"/>
    <w:rsid w:val="77E61852"/>
    <w:rsid w:val="78444D64"/>
    <w:rsid w:val="788B40AF"/>
    <w:rsid w:val="78A75C8C"/>
    <w:rsid w:val="78C008B2"/>
    <w:rsid w:val="78C80CA1"/>
    <w:rsid w:val="78E77E6E"/>
    <w:rsid w:val="78F63C9E"/>
    <w:rsid w:val="78F745D1"/>
    <w:rsid w:val="79115D44"/>
    <w:rsid w:val="7912762B"/>
    <w:rsid w:val="79190DDB"/>
    <w:rsid w:val="794A5D98"/>
    <w:rsid w:val="798F623A"/>
    <w:rsid w:val="79A951B4"/>
    <w:rsid w:val="7AB975A7"/>
    <w:rsid w:val="7AD87AFF"/>
    <w:rsid w:val="7B1228E5"/>
    <w:rsid w:val="7B3B008E"/>
    <w:rsid w:val="7B467F1D"/>
    <w:rsid w:val="7B4C4774"/>
    <w:rsid w:val="7B58409F"/>
    <w:rsid w:val="7B6041F7"/>
    <w:rsid w:val="7B833871"/>
    <w:rsid w:val="7B8D1810"/>
    <w:rsid w:val="7BA4716E"/>
    <w:rsid w:val="7BFE17E7"/>
    <w:rsid w:val="7C6B04FF"/>
    <w:rsid w:val="7CE54755"/>
    <w:rsid w:val="7CF577D7"/>
    <w:rsid w:val="7D2C4132"/>
    <w:rsid w:val="7D3D595C"/>
    <w:rsid w:val="7D741635"/>
    <w:rsid w:val="7D7E6B5E"/>
    <w:rsid w:val="7DD33BBB"/>
    <w:rsid w:val="7E4159BB"/>
    <w:rsid w:val="7E556DF8"/>
    <w:rsid w:val="7E944A7F"/>
    <w:rsid w:val="7EFB7BB3"/>
    <w:rsid w:val="7F4B4848"/>
    <w:rsid w:val="7FAC3308"/>
    <w:rsid w:val="7FE57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line="500" w:lineRule="exact"/>
      <w:ind w:firstLine="560" w:firstLineChars="200"/>
      <w:jc w:val="both"/>
    </w:pPr>
    <w:rPr>
      <w:rFonts w:ascii="宋体" w:hAnsi="宋体" w:eastAsia="宋体" w:cs="宋体"/>
      <w:kern w:val="2"/>
      <w:sz w:val="28"/>
      <w:lang w:val="en-US" w:eastAsia="zh-CN" w:bidi="ar-SA"/>
    </w:rPr>
  </w:style>
  <w:style w:type="paragraph" w:styleId="2">
    <w:name w:val="heading 1"/>
    <w:basedOn w:val="1"/>
    <w:next w:val="1"/>
    <w:link w:val="99"/>
    <w:autoRedefine/>
    <w:qFormat/>
    <w:uiPriority w:val="0"/>
    <w:pPr>
      <w:keepNext/>
      <w:keepLines/>
      <w:numPr>
        <w:ilvl w:val="0"/>
        <w:numId w:val="1"/>
      </w:numPr>
      <w:spacing w:before="50" w:beforeLines="50" w:after="50" w:afterLines="50"/>
      <w:ind w:firstLineChars="0"/>
      <w:jc w:val="center"/>
      <w:outlineLvl w:val="0"/>
    </w:pPr>
    <w:rPr>
      <w:rFonts w:eastAsia="黑体"/>
      <w:b/>
      <w:bCs/>
      <w:kern w:val="44"/>
      <w:sz w:val="32"/>
      <w:szCs w:val="44"/>
    </w:rPr>
  </w:style>
  <w:style w:type="paragraph" w:styleId="3">
    <w:name w:val="heading 2"/>
    <w:basedOn w:val="1"/>
    <w:next w:val="1"/>
    <w:link w:val="100"/>
    <w:autoRedefine/>
    <w:qFormat/>
    <w:uiPriority w:val="0"/>
    <w:pPr>
      <w:keepNext/>
      <w:keepLines/>
      <w:numPr>
        <w:ilvl w:val="1"/>
        <w:numId w:val="1"/>
      </w:numPr>
      <w:ind w:firstLineChars="0"/>
      <w:jc w:val="center"/>
      <w:outlineLvl w:val="1"/>
    </w:pPr>
    <w:rPr>
      <w:rFonts w:eastAsia="楷体" w:cs="Times New Roman"/>
      <w:b/>
      <w:bCs/>
      <w:sz w:val="32"/>
      <w:szCs w:val="32"/>
    </w:rPr>
  </w:style>
  <w:style w:type="paragraph" w:styleId="4">
    <w:name w:val="heading 3"/>
    <w:basedOn w:val="1"/>
    <w:next w:val="1"/>
    <w:autoRedefine/>
    <w:qFormat/>
    <w:uiPriority w:val="0"/>
    <w:pPr>
      <w:keepNext/>
      <w:keepLines/>
      <w:numPr>
        <w:ilvl w:val="2"/>
        <w:numId w:val="1"/>
      </w:numPr>
      <w:tabs>
        <w:tab w:val="left" w:pos="992"/>
      </w:tabs>
      <w:ind w:firstLineChars="0"/>
      <w:jc w:val="left"/>
      <w:outlineLvl w:val="2"/>
    </w:pPr>
    <w:rPr>
      <w:rFonts w:eastAsia="黑体" w:cs="Times New Roman"/>
      <w:b/>
      <w:bCs/>
    </w:rPr>
  </w:style>
  <w:style w:type="paragraph" w:styleId="5">
    <w:name w:val="heading 4"/>
    <w:basedOn w:val="1"/>
    <w:next w:val="1"/>
    <w:autoRedefine/>
    <w:qFormat/>
    <w:uiPriority w:val="0"/>
    <w:pPr>
      <w:keepNext/>
      <w:numPr>
        <w:ilvl w:val="3"/>
        <w:numId w:val="1"/>
      </w:numPr>
      <w:outlineLvl w:val="3"/>
    </w:pPr>
    <w:rPr>
      <w:bCs/>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680"/>
      <w:jc w:val="left"/>
    </w:pPr>
    <w:rPr>
      <w:rFonts w:asciiTheme="minorHAnsi" w:hAnsiTheme="minorHAnsi" w:cstheme="minorHAnsi"/>
      <w:sz w:val="18"/>
      <w:szCs w:val="18"/>
    </w:rPr>
  </w:style>
  <w:style w:type="paragraph" w:styleId="7">
    <w:name w:val="E-mail Signature"/>
    <w:basedOn w:val="1"/>
    <w:next w:val="8"/>
    <w:autoRedefine/>
    <w:qFormat/>
    <w:uiPriority w:val="0"/>
    <w:pPr>
      <w:spacing w:line="460" w:lineRule="exact"/>
      <w:ind w:firstLine="200"/>
    </w:pPr>
    <w:rPr>
      <w:rFonts w:ascii="Times New Roman"/>
      <w:sz w:val="24"/>
    </w:rPr>
  </w:style>
  <w:style w:type="paragraph" w:customStyle="1" w:styleId="8">
    <w:name w:val="文章"/>
    <w:basedOn w:val="9"/>
    <w:next w:val="11"/>
    <w:autoRedefine/>
    <w:qFormat/>
    <w:uiPriority w:val="0"/>
    <w:pPr>
      <w:widowControl/>
      <w:spacing w:line="240" w:lineRule="auto"/>
      <w:ind w:firstLine="480"/>
      <w:jc w:val="center"/>
    </w:pPr>
    <w:rPr>
      <w:rFonts w:ascii="Times New Roman"/>
      <w:sz w:val="26"/>
    </w:rPr>
  </w:style>
  <w:style w:type="paragraph" w:styleId="9">
    <w:name w:val="Body Text Indent"/>
    <w:basedOn w:val="1"/>
    <w:next w:val="10"/>
    <w:autoRedefine/>
    <w:qFormat/>
    <w:uiPriority w:val="0"/>
  </w:style>
  <w:style w:type="paragraph" w:styleId="10">
    <w:name w:val="toc 4"/>
    <w:basedOn w:val="1"/>
    <w:next w:val="1"/>
    <w:autoRedefine/>
    <w:qFormat/>
    <w:uiPriority w:val="39"/>
    <w:pPr>
      <w:ind w:left="840"/>
      <w:jc w:val="left"/>
    </w:pPr>
    <w:rPr>
      <w:rFonts w:asciiTheme="minorHAnsi" w:hAnsiTheme="minorHAnsi" w:cstheme="minorHAnsi"/>
      <w:sz w:val="18"/>
      <w:szCs w:val="18"/>
    </w:rPr>
  </w:style>
  <w:style w:type="paragraph" w:styleId="11">
    <w:name w:val="List"/>
    <w:basedOn w:val="1"/>
    <w:next w:val="12"/>
    <w:autoRedefine/>
    <w:qFormat/>
    <w:uiPriority w:val="0"/>
    <w:pPr>
      <w:ind w:left="200" w:hanging="200" w:hangingChars="200"/>
      <w:contextualSpacing/>
    </w:pPr>
  </w:style>
  <w:style w:type="paragraph" w:styleId="12">
    <w:name w:val="List Bullet 2"/>
    <w:basedOn w:val="1"/>
    <w:next w:val="13"/>
    <w:autoRedefine/>
    <w:qFormat/>
    <w:uiPriority w:val="0"/>
    <w:pPr>
      <w:numPr>
        <w:ilvl w:val="0"/>
        <w:numId w:val="2"/>
      </w:numPr>
    </w:pPr>
  </w:style>
  <w:style w:type="paragraph" w:customStyle="1" w:styleId="13">
    <w:name w:val="xl70"/>
    <w:basedOn w:val="1"/>
    <w:next w:val="14"/>
    <w:autoRedefine/>
    <w:qFormat/>
    <w:uiPriority w:val="0"/>
    <w:pPr>
      <w:widowControl/>
      <w:pBdr>
        <w:top w:val="single" w:color="auto" w:sz="4" w:space="0"/>
        <w:left w:val="single" w:color="auto" w:sz="4" w:space="0"/>
        <w:right w:val="single" w:color="auto" w:sz="8" w:space="0"/>
      </w:pBdr>
      <w:spacing w:before="100" w:beforeAutospacing="1" w:after="100" w:afterAutospacing="1"/>
      <w:jc w:val="left"/>
      <w:textAlignment w:val="center"/>
    </w:pPr>
    <w:rPr>
      <w:kern w:val="0"/>
      <w:sz w:val="24"/>
    </w:rPr>
  </w:style>
  <w:style w:type="paragraph" w:customStyle="1" w:styleId="14">
    <w:name w:val="正文缩进1"/>
    <w:basedOn w:val="1"/>
    <w:next w:val="15"/>
    <w:autoRedefine/>
    <w:qFormat/>
    <w:uiPriority w:val="0"/>
    <w:pPr>
      <w:spacing w:line="360" w:lineRule="auto"/>
      <w:ind w:firstLine="420"/>
    </w:pPr>
  </w:style>
  <w:style w:type="paragraph" w:customStyle="1" w:styleId="15">
    <w:name w:val="td1"/>
    <w:basedOn w:val="1"/>
    <w:next w:val="1"/>
    <w:autoRedefine/>
    <w:qFormat/>
    <w:uiPriority w:val="0"/>
    <w:pPr>
      <w:widowControl/>
      <w:spacing w:before="280" w:after="280" w:line="300" w:lineRule="atLeast"/>
      <w:ind w:firstLine="200"/>
    </w:pPr>
    <w:rPr>
      <w:rFonts w:ascii="Times New Roman"/>
      <w:color w:val="000000"/>
      <w:sz w:val="18"/>
    </w:rPr>
  </w:style>
  <w:style w:type="paragraph" w:styleId="16">
    <w:name w:val="Document Map"/>
    <w:basedOn w:val="1"/>
    <w:autoRedefine/>
    <w:qFormat/>
    <w:uiPriority w:val="0"/>
    <w:pPr>
      <w:shd w:val="clear" w:color="auto" w:fill="000080"/>
    </w:pPr>
  </w:style>
  <w:style w:type="paragraph" w:styleId="17">
    <w:name w:val="annotation text"/>
    <w:basedOn w:val="1"/>
    <w:link w:val="96"/>
    <w:autoRedefine/>
    <w:qFormat/>
    <w:uiPriority w:val="0"/>
    <w:pPr>
      <w:jc w:val="left"/>
    </w:pPr>
    <w:rPr>
      <w:rFonts w:cs="Times New Roman"/>
      <w:szCs w:val="24"/>
    </w:rPr>
  </w:style>
  <w:style w:type="paragraph" w:styleId="18">
    <w:name w:val="Body Text"/>
    <w:basedOn w:val="1"/>
    <w:next w:val="1"/>
    <w:autoRedefine/>
    <w:qFormat/>
    <w:uiPriority w:val="0"/>
    <w:pPr>
      <w:spacing w:after="120"/>
    </w:pPr>
  </w:style>
  <w:style w:type="paragraph" w:styleId="19">
    <w:name w:val="toc 5"/>
    <w:basedOn w:val="1"/>
    <w:next w:val="1"/>
    <w:autoRedefine/>
    <w:unhideWhenUsed/>
    <w:qFormat/>
    <w:uiPriority w:val="39"/>
    <w:pPr>
      <w:ind w:left="1120"/>
      <w:jc w:val="left"/>
    </w:pPr>
    <w:rPr>
      <w:rFonts w:asciiTheme="minorHAnsi" w:hAnsiTheme="minorHAnsi" w:cstheme="minorHAnsi"/>
      <w:sz w:val="18"/>
      <w:szCs w:val="18"/>
    </w:rPr>
  </w:style>
  <w:style w:type="paragraph" w:styleId="20">
    <w:name w:val="toc 3"/>
    <w:basedOn w:val="1"/>
    <w:next w:val="1"/>
    <w:autoRedefine/>
    <w:qFormat/>
    <w:uiPriority w:val="39"/>
    <w:pPr>
      <w:spacing w:line="400" w:lineRule="exact"/>
      <w:jc w:val="left"/>
    </w:pPr>
    <w:rPr>
      <w:rFonts w:asciiTheme="minorHAnsi" w:hAnsiTheme="minorHAnsi" w:cstheme="minorHAnsi"/>
      <w:iCs/>
      <w:sz w:val="24"/>
    </w:rPr>
  </w:style>
  <w:style w:type="paragraph" w:styleId="21">
    <w:name w:val="Plain Text"/>
    <w:basedOn w:val="1"/>
    <w:link w:val="79"/>
    <w:autoRedefine/>
    <w:qFormat/>
    <w:uiPriority w:val="0"/>
    <w:pPr>
      <w:snapToGrid/>
      <w:spacing w:line="240" w:lineRule="auto"/>
    </w:pPr>
    <w:rPr>
      <w:rFonts w:hAnsi="Courier New" w:cs="Times New Roman"/>
    </w:rPr>
  </w:style>
  <w:style w:type="paragraph" w:styleId="22">
    <w:name w:val="toc 8"/>
    <w:basedOn w:val="1"/>
    <w:next w:val="1"/>
    <w:autoRedefine/>
    <w:unhideWhenUsed/>
    <w:qFormat/>
    <w:uiPriority w:val="39"/>
    <w:pPr>
      <w:ind w:left="1960"/>
      <w:jc w:val="left"/>
    </w:pPr>
    <w:rPr>
      <w:rFonts w:asciiTheme="minorHAnsi" w:hAnsiTheme="minorHAnsi" w:cstheme="minorHAnsi"/>
      <w:sz w:val="18"/>
      <w:szCs w:val="18"/>
    </w:rPr>
  </w:style>
  <w:style w:type="paragraph" w:styleId="23">
    <w:name w:val="footer"/>
    <w:basedOn w:val="1"/>
    <w:link w:val="85"/>
    <w:autoRedefine/>
    <w:qFormat/>
    <w:uiPriority w:val="99"/>
    <w:pPr>
      <w:pBdr>
        <w:top w:val="single" w:color="auto" w:sz="4" w:space="1"/>
      </w:pBdr>
      <w:tabs>
        <w:tab w:val="center" w:leader="underscore" w:pos="4153"/>
        <w:tab w:val="right" w:leader="middleDot" w:pos="8306"/>
      </w:tabs>
      <w:spacing w:line="260" w:lineRule="exact"/>
      <w:jc w:val="left"/>
    </w:pPr>
    <w:rPr>
      <w:sz w:val="21"/>
      <w:szCs w:val="18"/>
    </w:rPr>
  </w:style>
  <w:style w:type="paragraph" w:styleId="24">
    <w:name w:val="header"/>
    <w:basedOn w:val="1"/>
    <w:autoRedefine/>
    <w:qFormat/>
    <w:uiPriority w:val="99"/>
    <w:pPr>
      <w:pBdr>
        <w:bottom w:val="single" w:color="auto" w:sz="6" w:space="1"/>
      </w:pBdr>
      <w:tabs>
        <w:tab w:val="center" w:pos="4153"/>
        <w:tab w:val="right" w:pos="8306"/>
      </w:tabs>
      <w:spacing w:line="520" w:lineRule="exact"/>
      <w:jc w:val="center"/>
    </w:pPr>
    <w:rPr>
      <w:sz w:val="21"/>
      <w:szCs w:val="18"/>
    </w:rPr>
  </w:style>
  <w:style w:type="paragraph" w:styleId="25">
    <w:name w:val="toc 1"/>
    <w:basedOn w:val="1"/>
    <w:next w:val="1"/>
    <w:autoRedefine/>
    <w:qFormat/>
    <w:uiPriority w:val="39"/>
    <w:pPr>
      <w:spacing w:line="400" w:lineRule="exact"/>
      <w:ind w:firstLine="0" w:firstLineChars="0"/>
      <w:jc w:val="left"/>
    </w:pPr>
    <w:rPr>
      <w:rFonts w:asciiTheme="minorHAnsi" w:hAnsiTheme="minorHAnsi" w:cstheme="minorHAnsi"/>
      <w:bCs/>
      <w:caps/>
      <w:sz w:val="24"/>
    </w:rPr>
  </w:style>
  <w:style w:type="paragraph" w:styleId="26">
    <w:name w:val="toc 6"/>
    <w:basedOn w:val="1"/>
    <w:next w:val="1"/>
    <w:autoRedefine/>
    <w:unhideWhenUsed/>
    <w:qFormat/>
    <w:uiPriority w:val="39"/>
    <w:pPr>
      <w:ind w:left="1400"/>
      <w:jc w:val="left"/>
    </w:pPr>
    <w:rPr>
      <w:rFonts w:asciiTheme="minorHAnsi" w:hAnsiTheme="minorHAnsi" w:cstheme="minorHAnsi"/>
      <w:sz w:val="18"/>
      <w:szCs w:val="18"/>
    </w:rPr>
  </w:style>
  <w:style w:type="paragraph" w:styleId="27">
    <w:name w:val="toc 2"/>
    <w:basedOn w:val="1"/>
    <w:next w:val="7"/>
    <w:autoRedefine/>
    <w:qFormat/>
    <w:uiPriority w:val="39"/>
    <w:pPr>
      <w:spacing w:line="400" w:lineRule="exact"/>
      <w:ind w:firstLine="280" w:firstLineChars="100"/>
      <w:jc w:val="left"/>
    </w:pPr>
    <w:rPr>
      <w:rFonts w:asciiTheme="minorHAnsi" w:hAnsiTheme="minorHAnsi" w:cstheme="minorHAnsi"/>
      <w:smallCaps/>
      <w:sz w:val="24"/>
    </w:rPr>
  </w:style>
  <w:style w:type="paragraph" w:styleId="28">
    <w:name w:val="toc 9"/>
    <w:basedOn w:val="1"/>
    <w:next w:val="1"/>
    <w:autoRedefine/>
    <w:unhideWhenUsed/>
    <w:qFormat/>
    <w:uiPriority w:val="39"/>
    <w:pPr>
      <w:ind w:left="2240"/>
      <w:jc w:val="left"/>
    </w:pPr>
    <w:rPr>
      <w:rFonts w:asciiTheme="minorHAnsi" w:hAnsiTheme="minorHAnsi" w:cstheme="minorHAnsi"/>
      <w:sz w:val="18"/>
      <w:szCs w:val="18"/>
    </w:rPr>
  </w:style>
  <w:style w:type="paragraph" w:styleId="29">
    <w:name w:val="Normal (Web)"/>
    <w:basedOn w:val="1"/>
    <w:autoRedefine/>
    <w:qFormat/>
    <w:uiPriority w:val="99"/>
    <w:pPr>
      <w:widowControl/>
      <w:snapToGrid/>
      <w:spacing w:before="100" w:beforeAutospacing="1" w:after="100" w:afterAutospacing="1" w:line="240" w:lineRule="auto"/>
      <w:jc w:val="left"/>
    </w:pPr>
    <w:rPr>
      <w:kern w:val="0"/>
      <w:sz w:val="24"/>
      <w:szCs w:val="24"/>
    </w:rPr>
  </w:style>
  <w:style w:type="paragraph" w:styleId="30">
    <w:name w:val="Title"/>
    <w:basedOn w:val="1"/>
    <w:next w:val="1"/>
    <w:link w:val="86"/>
    <w:autoRedefine/>
    <w:qFormat/>
    <w:uiPriority w:val="0"/>
    <w:pPr>
      <w:spacing w:before="240" w:after="60"/>
      <w:jc w:val="center"/>
      <w:outlineLvl w:val="0"/>
    </w:pPr>
    <w:rPr>
      <w:rFonts w:ascii="Cambria" w:hAnsi="Cambria" w:cs="Times New Roman"/>
      <w:b/>
      <w:bCs/>
      <w:sz w:val="32"/>
      <w:szCs w:val="32"/>
    </w:rPr>
  </w:style>
  <w:style w:type="paragraph" w:styleId="31">
    <w:name w:val="annotation subject"/>
    <w:basedOn w:val="17"/>
    <w:next w:val="17"/>
    <w:link w:val="97"/>
    <w:autoRedefine/>
    <w:qFormat/>
    <w:uiPriority w:val="0"/>
    <w:rPr>
      <w:rFonts w:cs="宋体"/>
      <w:b/>
      <w:bCs/>
      <w:szCs w:val="20"/>
    </w:rPr>
  </w:style>
  <w:style w:type="paragraph" w:styleId="32">
    <w:name w:val="Body Text First Indent"/>
    <w:basedOn w:val="1"/>
    <w:autoRedefine/>
    <w:qFormat/>
    <w:uiPriority w:val="0"/>
    <w:pPr>
      <w:spacing w:line="240" w:lineRule="auto"/>
      <w:ind w:firstLine="0" w:firstLineChars="0"/>
      <w:jc w:val="center"/>
    </w:pPr>
    <w:rPr>
      <w:snapToGrid w:val="0"/>
      <w:kern w:val="0"/>
      <w:sz w:val="24"/>
    </w:r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autoRedefine/>
    <w:qFormat/>
    <w:uiPriority w:val="0"/>
    <w:rPr>
      <w:b/>
      <w:bCs/>
    </w:rPr>
  </w:style>
  <w:style w:type="character" w:styleId="37">
    <w:name w:val="Hyperlink"/>
    <w:basedOn w:val="35"/>
    <w:autoRedefine/>
    <w:unhideWhenUsed/>
    <w:qFormat/>
    <w:uiPriority w:val="99"/>
    <w:rPr>
      <w:color w:val="0563C1" w:themeColor="hyperlink"/>
      <w:u w:val="single"/>
      <w14:textFill>
        <w14:solidFill>
          <w14:schemeClr w14:val="hlink"/>
        </w14:solidFill>
      </w14:textFill>
    </w:rPr>
  </w:style>
  <w:style w:type="character" w:styleId="38">
    <w:name w:val="annotation reference"/>
    <w:autoRedefine/>
    <w:qFormat/>
    <w:uiPriority w:val="0"/>
    <w:rPr>
      <w:sz w:val="21"/>
      <w:szCs w:val="21"/>
    </w:rPr>
  </w:style>
  <w:style w:type="paragraph" w:customStyle="1" w:styleId="39">
    <w:name w:val="Default"/>
    <w:basedOn w:val="40"/>
    <w:next w:val="41"/>
    <w:autoRedefine/>
    <w:qFormat/>
    <w:uiPriority w:val="0"/>
    <w:pPr>
      <w:autoSpaceDE w:val="0"/>
      <w:autoSpaceDN w:val="0"/>
    </w:pPr>
    <w:rPr>
      <w:rFonts w:hAnsi="Times New Roman"/>
      <w:color w:val="000000"/>
      <w:sz w:val="24"/>
      <w:szCs w:val="24"/>
    </w:rPr>
  </w:style>
  <w:style w:type="paragraph" w:customStyle="1" w:styleId="40">
    <w:name w:val="纯文本1"/>
    <w:basedOn w:val="1"/>
    <w:autoRedefine/>
    <w:qFormat/>
    <w:uiPriority w:val="0"/>
    <w:pPr>
      <w:adjustRightInd w:val="0"/>
    </w:pPr>
    <w:rPr>
      <w:rFonts w:hAnsi="Courier New"/>
    </w:rPr>
  </w:style>
  <w:style w:type="paragraph" w:customStyle="1" w:styleId="41">
    <w:name w:val="标题4"/>
    <w:basedOn w:val="1"/>
    <w:next w:val="42"/>
    <w:autoRedefine/>
    <w:qFormat/>
    <w:uiPriority w:val="0"/>
    <w:pPr>
      <w:outlineLvl w:val="3"/>
    </w:pPr>
    <w:rPr>
      <w:b/>
      <w:bCs/>
    </w:rPr>
  </w:style>
  <w:style w:type="paragraph" w:customStyle="1" w:styleId="42">
    <w:name w:val="Char1"/>
    <w:basedOn w:val="1"/>
    <w:next w:val="43"/>
    <w:autoRedefine/>
    <w:qFormat/>
    <w:uiPriority w:val="0"/>
    <w:pPr>
      <w:adjustRightInd w:val="0"/>
      <w:spacing w:line="360" w:lineRule="auto"/>
      <w:ind w:firstLine="200"/>
    </w:pPr>
    <w:rPr>
      <w:rFonts w:eastAsia="华文中宋" w:cs="Courier New"/>
      <w:sz w:val="32"/>
      <w:szCs w:val="32"/>
    </w:rPr>
  </w:style>
  <w:style w:type="paragraph" w:customStyle="1" w:styleId="43">
    <w:name w:val="Char"/>
    <w:basedOn w:val="16"/>
    <w:next w:val="44"/>
    <w:autoRedefine/>
    <w:qFormat/>
    <w:uiPriority w:val="0"/>
    <w:pPr>
      <w:widowControl/>
      <w:spacing w:after="160" w:line="240" w:lineRule="exact"/>
      <w:ind w:firstLine="3584"/>
    </w:pPr>
  </w:style>
  <w:style w:type="paragraph" w:customStyle="1" w:styleId="44">
    <w:name w:val="首行缩进加粗"/>
    <w:basedOn w:val="45"/>
    <w:next w:val="46"/>
    <w:link w:val="67"/>
    <w:autoRedefine/>
    <w:qFormat/>
    <w:uiPriority w:val="0"/>
    <w:rPr>
      <w:rFonts w:eastAsia="黑体"/>
      <w:b/>
      <w:bCs/>
    </w:rPr>
  </w:style>
  <w:style w:type="paragraph" w:customStyle="1" w:styleId="45">
    <w:name w:val="首行缩进"/>
    <w:basedOn w:val="1"/>
    <w:link w:val="81"/>
    <w:autoRedefine/>
    <w:qFormat/>
    <w:uiPriority w:val="0"/>
    <w:pPr>
      <w:ind w:firstLine="561"/>
    </w:pPr>
    <w:rPr>
      <w:kern w:val="0"/>
    </w:rPr>
  </w:style>
  <w:style w:type="paragraph" w:customStyle="1" w:styleId="46">
    <w:name w:val="四级条标题"/>
    <w:basedOn w:val="47"/>
    <w:next w:val="4"/>
    <w:autoRedefine/>
    <w:qFormat/>
    <w:uiPriority w:val="0"/>
    <w:pPr>
      <w:spacing w:before="50" w:after="50"/>
      <w:ind w:left="1080" w:firstLine="14"/>
      <w:outlineLvl w:val="5"/>
    </w:pPr>
  </w:style>
  <w:style w:type="paragraph" w:customStyle="1" w:styleId="47">
    <w:name w:val="三级条标题"/>
    <w:basedOn w:val="48"/>
    <w:next w:val="1"/>
    <w:autoRedefine/>
    <w:qFormat/>
    <w:uiPriority w:val="0"/>
    <w:pPr>
      <w:numPr>
        <w:ilvl w:val="4"/>
        <w:numId w:val="3"/>
      </w:numPr>
      <w:ind w:left="945"/>
      <w:outlineLvl w:val="4"/>
    </w:pPr>
  </w:style>
  <w:style w:type="paragraph" w:customStyle="1" w:styleId="48">
    <w:name w:val="二级条标题"/>
    <w:basedOn w:val="49"/>
    <w:next w:val="1"/>
    <w:autoRedefine/>
    <w:qFormat/>
    <w:uiPriority w:val="0"/>
    <w:pPr>
      <w:ind w:left="945"/>
      <w:outlineLvl w:val="3"/>
    </w:pPr>
  </w:style>
  <w:style w:type="paragraph" w:customStyle="1" w:styleId="49">
    <w:name w:val="一级条标题"/>
    <w:basedOn w:val="50"/>
    <w:next w:val="1"/>
    <w:autoRedefine/>
    <w:qFormat/>
    <w:uiPriority w:val="0"/>
    <w:pPr>
      <w:spacing w:before="0" w:beforeLines="0" w:after="0" w:afterLines="0"/>
      <w:outlineLvl w:val="2"/>
    </w:pPr>
  </w:style>
  <w:style w:type="paragraph" w:customStyle="1" w:styleId="50">
    <w:name w:val="章标题"/>
    <w:next w:val="1"/>
    <w:autoRedefine/>
    <w:qFormat/>
    <w:uiPriority w:val="0"/>
    <w:pPr>
      <w:spacing w:before="156" w:beforeLines="50" w:after="156" w:afterLines="50"/>
      <w:jc w:val="both"/>
      <w:outlineLvl w:val="1"/>
    </w:pPr>
    <w:rPr>
      <w:rFonts w:ascii="黑体" w:hAnsi="Calibri" w:eastAsia="黑体" w:cs="Times New Roman"/>
      <w:sz w:val="21"/>
      <w:lang w:val="en-US" w:eastAsia="zh-CN" w:bidi="ar-SA"/>
    </w:rPr>
  </w:style>
  <w:style w:type="paragraph" w:customStyle="1" w:styleId="51">
    <w:name w:val="样式35"/>
    <w:basedOn w:val="52"/>
    <w:next w:val="56"/>
    <w:autoRedefine/>
    <w:qFormat/>
    <w:uiPriority w:val="0"/>
    <w:pPr>
      <w:tabs>
        <w:tab w:val="left" w:pos="0"/>
        <w:tab w:val="left" w:pos="360"/>
        <w:tab w:val="left" w:pos="540"/>
        <w:tab w:val="left" w:pos="567"/>
      </w:tabs>
      <w:spacing w:before="0" w:after="0" w:line="312" w:lineRule="auto"/>
      <w:ind w:left="0" w:firstLine="567"/>
    </w:pPr>
    <w:rPr>
      <w:rFonts w:ascii="宋体" w:eastAsia="宋体"/>
    </w:rPr>
  </w:style>
  <w:style w:type="paragraph" w:customStyle="1" w:styleId="52">
    <w:name w:val="样式26"/>
    <w:basedOn w:val="53"/>
    <w:autoRedefine/>
    <w:qFormat/>
    <w:uiPriority w:val="0"/>
    <w:pPr>
      <w:tabs>
        <w:tab w:val="left" w:pos="0"/>
        <w:tab w:val="left" w:pos="360"/>
        <w:tab w:val="left" w:pos="540"/>
        <w:tab w:val="left" w:pos="567"/>
      </w:tabs>
    </w:pPr>
  </w:style>
  <w:style w:type="paragraph" w:customStyle="1" w:styleId="53">
    <w:name w:val="样式21"/>
    <w:basedOn w:val="54"/>
    <w:autoRedefine/>
    <w:qFormat/>
    <w:uiPriority w:val="0"/>
    <w:pPr>
      <w:tabs>
        <w:tab w:val="left" w:pos="360"/>
        <w:tab w:val="left" w:pos="567"/>
      </w:tabs>
      <w:spacing w:before="120" w:beforeLines="0" w:after="120" w:afterLines="0"/>
      <w:ind w:hanging="992"/>
    </w:pPr>
  </w:style>
  <w:style w:type="paragraph" w:customStyle="1" w:styleId="54">
    <w:name w:val="样式5"/>
    <w:basedOn w:val="55"/>
    <w:autoRedefine/>
    <w:qFormat/>
    <w:uiPriority w:val="0"/>
    <w:pPr>
      <w:tabs>
        <w:tab w:val="left" w:pos="360"/>
        <w:tab w:val="left" w:pos="567"/>
      </w:tabs>
    </w:pPr>
  </w:style>
  <w:style w:type="paragraph" w:customStyle="1" w:styleId="55">
    <w:name w:val="样式12"/>
    <w:basedOn w:val="1"/>
    <w:autoRedefine/>
    <w:qFormat/>
    <w:uiPriority w:val="0"/>
    <w:pPr>
      <w:keepNext/>
      <w:keepLines/>
      <w:tabs>
        <w:tab w:val="left" w:pos="360"/>
      </w:tabs>
      <w:spacing w:before="156" w:beforeLines="50" w:after="156" w:afterLines="50" w:line="360" w:lineRule="auto"/>
      <w:ind w:left="567" w:hanging="567"/>
      <w:outlineLvl w:val="1"/>
    </w:pPr>
    <w:rPr>
      <w:rFonts w:ascii="Times New Roman" w:hAnsi="Times New Roman" w:eastAsia="MS Mincho"/>
      <w:kern w:val="0"/>
      <w:szCs w:val="28"/>
    </w:rPr>
  </w:style>
  <w:style w:type="paragraph" w:customStyle="1" w:styleId="56">
    <w:name w:val="font6"/>
    <w:basedOn w:val="1"/>
    <w:next w:val="27"/>
    <w:autoRedefine/>
    <w:qFormat/>
    <w:uiPriority w:val="0"/>
    <w:pPr>
      <w:widowControl/>
      <w:spacing w:before="100" w:beforeAutospacing="1" w:after="100" w:afterAutospacing="1"/>
      <w:jc w:val="left"/>
    </w:pPr>
    <w:rPr>
      <w:rFonts w:hint="eastAsia"/>
      <w:b/>
      <w:bCs/>
      <w:color w:val="0000FF"/>
      <w:kern w:val="0"/>
      <w:sz w:val="48"/>
      <w:szCs w:val="48"/>
    </w:rPr>
  </w:style>
  <w:style w:type="paragraph" w:customStyle="1" w:styleId="57">
    <w:name w:val="封面3"/>
    <w:basedOn w:val="1"/>
    <w:autoRedefine/>
    <w:qFormat/>
    <w:uiPriority w:val="0"/>
    <w:pPr>
      <w:jc w:val="center"/>
    </w:pPr>
    <w:rPr>
      <w:b/>
      <w:sz w:val="32"/>
      <w:szCs w:val="32"/>
    </w:rPr>
  </w:style>
  <w:style w:type="paragraph" w:customStyle="1" w:styleId="58">
    <w:name w:val="封面1"/>
    <w:basedOn w:val="1"/>
    <w:autoRedefine/>
    <w:qFormat/>
    <w:uiPriority w:val="0"/>
    <w:pPr>
      <w:jc w:val="center"/>
    </w:pPr>
    <w:rPr>
      <w:b/>
      <w:bCs/>
      <w:kern w:val="3"/>
      <w:sz w:val="44"/>
      <w:szCs w:val="48"/>
    </w:rPr>
  </w:style>
  <w:style w:type="paragraph" w:customStyle="1" w:styleId="59">
    <w:name w:val="表头红2"/>
    <w:basedOn w:val="1"/>
    <w:autoRedefine/>
    <w:qFormat/>
    <w:uiPriority w:val="0"/>
    <w:pPr>
      <w:widowControl/>
      <w:spacing w:after="100" w:afterAutospacing="1"/>
      <w:jc w:val="center"/>
      <w:textAlignment w:val="center"/>
    </w:pPr>
    <w:rPr>
      <w:rFonts w:eastAsia="黑体"/>
      <w:b/>
      <w:kern w:val="0"/>
      <w:sz w:val="32"/>
    </w:rPr>
  </w:style>
  <w:style w:type="paragraph" w:customStyle="1" w:styleId="60">
    <w:name w:val="填表4小中"/>
    <w:basedOn w:val="1"/>
    <w:next w:val="1"/>
    <w:autoRedefine/>
    <w:qFormat/>
    <w:uiPriority w:val="0"/>
    <w:pPr>
      <w:snapToGrid/>
      <w:spacing w:line="240" w:lineRule="auto"/>
      <w:jc w:val="center"/>
    </w:pPr>
    <w:rPr>
      <w:rFonts w:cs="Times New Roman"/>
      <w:sz w:val="24"/>
      <w:szCs w:val="24"/>
    </w:rPr>
  </w:style>
  <w:style w:type="paragraph" w:customStyle="1" w:styleId="61">
    <w:name w:val="样式 (西文) 仿宋_GB2312 (中文) 仿宋_GB2312 二号 加粗 居中 行距: 1.5 倍行距"/>
    <w:basedOn w:val="1"/>
    <w:autoRedefine/>
    <w:qFormat/>
    <w:uiPriority w:val="0"/>
    <w:pPr>
      <w:widowControl/>
      <w:snapToGrid/>
      <w:jc w:val="center"/>
    </w:pPr>
    <w:rPr>
      <w:rFonts w:ascii="仿宋_GB2312"/>
      <w:bCs/>
      <w:sz w:val="44"/>
    </w:rPr>
  </w:style>
  <w:style w:type="paragraph" w:customStyle="1" w:styleId="62">
    <w:name w:val="填表4小中2倍行距"/>
    <w:basedOn w:val="63"/>
    <w:autoRedefine/>
    <w:qFormat/>
    <w:uiPriority w:val="0"/>
    <w:pPr>
      <w:snapToGrid/>
      <w:spacing w:line="480" w:lineRule="auto"/>
    </w:pPr>
    <w:rPr>
      <w:rFonts w:cs="Times New Roman"/>
      <w:sz w:val="24"/>
      <w:szCs w:val="24"/>
    </w:rPr>
  </w:style>
  <w:style w:type="paragraph" w:customStyle="1" w:styleId="63">
    <w:name w:val="填表4中"/>
    <w:basedOn w:val="1"/>
    <w:next w:val="1"/>
    <w:autoRedefine/>
    <w:qFormat/>
    <w:uiPriority w:val="0"/>
    <w:pPr>
      <w:jc w:val="center"/>
    </w:pPr>
    <w:rPr>
      <w:szCs w:val="28"/>
    </w:rPr>
  </w:style>
  <w:style w:type="paragraph" w:customStyle="1" w:styleId="64">
    <w:name w:val="正文居中"/>
    <w:basedOn w:val="1"/>
    <w:autoRedefine/>
    <w:qFormat/>
    <w:uiPriority w:val="0"/>
    <w:pPr>
      <w:jc w:val="center"/>
    </w:pPr>
  </w:style>
  <w:style w:type="paragraph" w:customStyle="1" w:styleId="65">
    <w:name w:val="表头"/>
    <w:basedOn w:val="1"/>
    <w:next w:val="1"/>
    <w:link w:val="80"/>
    <w:autoRedefine/>
    <w:qFormat/>
    <w:uiPriority w:val="0"/>
    <w:pPr>
      <w:jc w:val="center"/>
    </w:pPr>
    <w:rPr>
      <w:rFonts w:cs="Times New Roman"/>
      <w:b/>
      <w:kern w:val="0"/>
    </w:rPr>
  </w:style>
  <w:style w:type="paragraph" w:customStyle="1" w:styleId="66">
    <w:name w:val="填表4小中单倍行距"/>
    <w:basedOn w:val="62"/>
    <w:link w:val="95"/>
    <w:autoRedefine/>
    <w:qFormat/>
    <w:uiPriority w:val="0"/>
    <w:pPr>
      <w:spacing w:line="240" w:lineRule="auto"/>
    </w:pPr>
    <w:rPr>
      <w:szCs w:val="20"/>
    </w:rPr>
  </w:style>
  <w:style w:type="character" w:customStyle="1" w:styleId="67">
    <w:name w:val="首行缩进加粗 Char"/>
    <w:link w:val="44"/>
    <w:autoRedefine/>
    <w:qFormat/>
    <w:uiPriority w:val="0"/>
    <w:rPr>
      <w:rFonts w:eastAsia="黑体"/>
      <w:b/>
      <w:bCs/>
    </w:rPr>
  </w:style>
  <w:style w:type="paragraph" w:customStyle="1" w:styleId="68">
    <w:name w:val="填表4小单倍行距"/>
    <w:basedOn w:val="69"/>
    <w:autoRedefine/>
    <w:qFormat/>
    <w:uiPriority w:val="0"/>
    <w:pPr>
      <w:snapToGrid/>
      <w:spacing w:line="240" w:lineRule="auto"/>
    </w:pPr>
    <w:rPr>
      <w:rFonts w:cs="Times New Roman"/>
      <w:szCs w:val="24"/>
    </w:rPr>
  </w:style>
  <w:style w:type="paragraph" w:customStyle="1" w:styleId="69">
    <w:name w:val="填表4小"/>
    <w:basedOn w:val="1"/>
    <w:next w:val="1"/>
    <w:autoRedefine/>
    <w:qFormat/>
    <w:uiPriority w:val="0"/>
    <w:rPr>
      <w:sz w:val="24"/>
    </w:rPr>
  </w:style>
  <w:style w:type="paragraph" w:customStyle="1" w:styleId="70">
    <w:name w:val="DefaultParagraphStyle"/>
    <w:basedOn w:val="1"/>
    <w:autoRedefine/>
    <w:qFormat/>
    <w:uiPriority w:val="0"/>
    <w:pPr>
      <w:widowControl/>
      <w:snapToGrid/>
      <w:ind w:firstLine="420"/>
      <w:jc w:val="left"/>
    </w:pPr>
    <w:rPr>
      <w:rFonts w:ascii="Arial" w:hAnsi="Arial" w:cs="Arial"/>
      <w:kern w:val="0"/>
      <w:sz w:val="20"/>
    </w:rPr>
  </w:style>
  <w:style w:type="paragraph" w:customStyle="1" w:styleId="71">
    <w:name w:val="填表4小14磅"/>
    <w:basedOn w:val="68"/>
    <w:autoRedefine/>
    <w:qFormat/>
    <w:uiPriority w:val="0"/>
    <w:pPr>
      <w:spacing w:line="280" w:lineRule="exact"/>
    </w:pPr>
  </w:style>
  <w:style w:type="paragraph" w:customStyle="1" w:styleId="72">
    <w:name w:val="正文加粗"/>
    <w:basedOn w:val="1"/>
    <w:autoRedefine/>
    <w:qFormat/>
    <w:uiPriority w:val="0"/>
    <w:rPr>
      <w:rFonts w:eastAsia="黑体"/>
      <w:b/>
    </w:rPr>
  </w:style>
  <w:style w:type="paragraph" w:customStyle="1" w:styleId="73">
    <w:name w:val="填表5"/>
    <w:basedOn w:val="1"/>
    <w:autoRedefine/>
    <w:qFormat/>
    <w:uiPriority w:val="0"/>
    <w:pPr>
      <w:snapToGrid/>
      <w:jc w:val="left"/>
    </w:pPr>
    <w:rPr>
      <w:rFonts w:cs="Times New Roman"/>
      <w:sz w:val="21"/>
    </w:rPr>
  </w:style>
  <w:style w:type="paragraph" w:customStyle="1" w:styleId="74">
    <w:name w:val="填表5中"/>
    <w:basedOn w:val="1"/>
    <w:next w:val="1"/>
    <w:link w:val="82"/>
    <w:autoRedefine/>
    <w:qFormat/>
    <w:uiPriority w:val="0"/>
    <w:pPr>
      <w:snapToGrid/>
      <w:jc w:val="center"/>
    </w:pPr>
    <w:rPr>
      <w:rFonts w:cs="Times New Roman"/>
      <w:sz w:val="21"/>
    </w:rPr>
  </w:style>
  <w:style w:type="paragraph" w:customStyle="1" w:styleId="75">
    <w:name w:val="表内容2"/>
    <w:basedOn w:val="1"/>
    <w:autoRedefine/>
    <w:qFormat/>
    <w:uiPriority w:val="0"/>
    <w:pPr>
      <w:adjustRightInd w:val="0"/>
      <w:spacing w:line="240" w:lineRule="auto"/>
      <w:jc w:val="center"/>
    </w:pPr>
    <w:rPr>
      <w:rFonts w:ascii="Times New Roman" w:eastAsia="仿宋_GB2312" w:cs="Times New Roman"/>
      <w:b/>
      <w:kern w:val="0"/>
      <w:sz w:val="21"/>
      <w:szCs w:val="18"/>
      <w:lang w:val="zh-CN"/>
    </w:rPr>
  </w:style>
  <w:style w:type="paragraph" w:customStyle="1" w:styleId="76">
    <w:name w:val="Table Paragraph"/>
    <w:basedOn w:val="1"/>
    <w:autoRedefine/>
    <w:qFormat/>
    <w:uiPriority w:val="1"/>
    <w:rPr>
      <w:lang w:val="zh-CN" w:bidi="zh-CN"/>
    </w:rPr>
  </w:style>
  <w:style w:type="paragraph" w:customStyle="1" w:styleId="77">
    <w:name w:val="小表格"/>
    <w:basedOn w:val="1"/>
    <w:autoRedefine/>
    <w:qFormat/>
    <w:uiPriority w:val="0"/>
    <w:pPr>
      <w:spacing w:line="240" w:lineRule="auto"/>
      <w:ind w:firstLine="0" w:firstLineChars="0"/>
      <w:jc w:val="center"/>
    </w:pPr>
    <w:rPr>
      <w:sz w:val="21"/>
      <w:szCs w:val="21"/>
    </w:rPr>
  </w:style>
  <w:style w:type="paragraph" w:customStyle="1" w:styleId="78">
    <w:name w:val="图表名"/>
    <w:basedOn w:val="1"/>
    <w:next w:val="1"/>
    <w:autoRedefine/>
    <w:qFormat/>
    <w:uiPriority w:val="0"/>
    <w:pPr>
      <w:spacing w:line="240" w:lineRule="auto"/>
      <w:ind w:firstLine="0" w:firstLineChars="0"/>
      <w:jc w:val="center"/>
    </w:pPr>
    <w:rPr>
      <w:b/>
      <w:kern w:val="0"/>
      <w:sz w:val="24"/>
    </w:rPr>
  </w:style>
  <w:style w:type="character" w:customStyle="1" w:styleId="79">
    <w:name w:val="纯文本 字符"/>
    <w:link w:val="21"/>
    <w:autoRedefine/>
    <w:qFormat/>
    <w:uiPriority w:val="0"/>
    <w:rPr>
      <w:rFonts w:ascii="宋体" w:hAnsi="Courier New"/>
      <w:kern w:val="2"/>
      <w:sz w:val="28"/>
    </w:rPr>
  </w:style>
  <w:style w:type="character" w:customStyle="1" w:styleId="80">
    <w:name w:val="表头 Char"/>
    <w:link w:val="65"/>
    <w:autoRedefine/>
    <w:qFormat/>
    <w:uiPriority w:val="0"/>
    <w:rPr>
      <w:rFonts w:ascii="宋体"/>
      <w:b/>
      <w:sz w:val="28"/>
    </w:rPr>
  </w:style>
  <w:style w:type="character" w:customStyle="1" w:styleId="81">
    <w:name w:val="首行缩进 Char"/>
    <w:link w:val="45"/>
    <w:autoRedefine/>
    <w:qFormat/>
    <w:uiPriority w:val="0"/>
    <w:rPr>
      <w:rFonts w:ascii="宋体" w:hAnsi="宋体" w:eastAsia="宋体" w:cs="宋体"/>
      <w:sz w:val="28"/>
    </w:rPr>
  </w:style>
  <w:style w:type="character" w:customStyle="1" w:styleId="82">
    <w:name w:val="填表5中 Char"/>
    <w:link w:val="74"/>
    <w:autoRedefine/>
    <w:qFormat/>
    <w:uiPriority w:val="0"/>
    <w:rPr>
      <w:rFonts w:ascii="宋体"/>
      <w:kern w:val="2"/>
      <w:sz w:val="21"/>
    </w:rPr>
  </w:style>
  <w:style w:type="paragraph" w:customStyle="1" w:styleId="83">
    <w:name w:val="附件封面2"/>
    <w:basedOn w:val="1"/>
    <w:autoRedefine/>
    <w:qFormat/>
    <w:uiPriority w:val="0"/>
    <w:pPr>
      <w:ind w:firstLine="562"/>
      <w:jc w:val="left"/>
      <w:outlineLvl w:val="2"/>
    </w:pPr>
    <w:rPr>
      <w:rFonts w:eastAsia="黑体"/>
      <w:b/>
      <w:bCs/>
    </w:rPr>
  </w:style>
  <w:style w:type="character" w:customStyle="1" w:styleId="84">
    <w:name w:val="未处理的提及1"/>
    <w:basedOn w:val="35"/>
    <w:autoRedefine/>
    <w:semiHidden/>
    <w:unhideWhenUsed/>
    <w:qFormat/>
    <w:uiPriority w:val="99"/>
    <w:rPr>
      <w:color w:val="605E5C"/>
      <w:shd w:val="clear" w:color="auto" w:fill="E1DFDD"/>
    </w:rPr>
  </w:style>
  <w:style w:type="character" w:customStyle="1" w:styleId="85">
    <w:name w:val="页脚 字符"/>
    <w:basedOn w:val="35"/>
    <w:link w:val="23"/>
    <w:autoRedefine/>
    <w:qFormat/>
    <w:uiPriority w:val="99"/>
    <w:rPr>
      <w:rFonts w:ascii="宋体" w:hAnsi="宋体" w:eastAsia="宋体" w:cs="宋体"/>
      <w:kern w:val="2"/>
      <w:sz w:val="21"/>
      <w:szCs w:val="18"/>
    </w:rPr>
  </w:style>
  <w:style w:type="character" w:customStyle="1" w:styleId="86">
    <w:name w:val="标题 字符"/>
    <w:basedOn w:val="35"/>
    <w:link w:val="30"/>
    <w:autoRedefine/>
    <w:qFormat/>
    <w:uiPriority w:val="0"/>
    <w:rPr>
      <w:rFonts w:ascii="Cambria" w:hAnsi="Cambria"/>
      <w:b/>
      <w:bCs/>
      <w:kern w:val="2"/>
      <w:sz w:val="32"/>
      <w:szCs w:val="32"/>
    </w:rPr>
  </w:style>
  <w:style w:type="paragraph" w:styleId="87">
    <w:name w:val="List Paragraph"/>
    <w:basedOn w:val="1"/>
    <w:autoRedefine/>
    <w:qFormat/>
    <w:uiPriority w:val="99"/>
    <w:pPr>
      <w:ind w:firstLine="420"/>
    </w:pPr>
  </w:style>
  <w:style w:type="character" w:customStyle="1" w:styleId="88">
    <w:name w:val="首行缩进 Char Char"/>
    <w:autoRedefine/>
    <w:qFormat/>
    <w:uiPriority w:val="0"/>
    <w:rPr>
      <w:rFonts w:ascii="宋体" w:eastAsia="宋体" w:cs="宋体"/>
      <w:kern w:val="2"/>
      <w:sz w:val="28"/>
      <w:lang w:val="en-US" w:eastAsia="zh-CN" w:bidi="ar-SA"/>
    </w:rPr>
  </w:style>
  <w:style w:type="paragraph" w:customStyle="1" w:styleId="89">
    <w:name w:val="填表4小中13磅"/>
    <w:basedOn w:val="62"/>
    <w:autoRedefine/>
    <w:qFormat/>
    <w:uiPriority w:val="0"/>
    <w:pPr>
      <w:spacing w:line="260" w:lineRule="exact"/>
    </w:pPr>
    <w:rPr>
      <w:rFonts w:cs="宋体"/>
      <w:szCs w:val="20"/>
    </w:rPr>
  </w:style>
  <w:style w:type="character" w:customStyle="1" w:styleId="90">
    <w:name w:val="正文6"/>
    <w:basedOn w:val="35"/>
    <w:autoRedefine/>
    <w:qFormat/>
    <w:uiPriority w:val="0"/>
    <w:rPr>
      <w:rFonts w:ascii="Times New Roman" w:hAnsi="Times New Roman" w:eastAsia="宋体"/>
      <w:sz w:val="28"/>
      <w:szCs w:val="28"/>
    </w:rPr>
  </w:style>
  <w:style w:type="paragraph" w:customStyle="1" w:styleId="91">
    <w:name w:val="默认段落字体 Para Char Char Char Char"/>
    <w:basedOn w:val="1"/>
    <w:autoRedefine/>
    <w:qFormat/>
    <w:uiPriority w:val="0"/>
  </w:style>
  <w:style w:type="paragraph" w:customStyle="1" w:styleId="92">
    <w:name w:val="表格"/>
    <w:basedOn w:val="1"/>
    <w:autoRedefine/>
    <w:qFormat/>
    <w:uiPriority w:val="0"/>
    <w:pPr>
      <w:spacing w:line="300" w:lineRule="exact"/>
      <w:ind w:firstLine="0" w:firstLineChars="0"/>
      <w:jc w:val="center"/>
    </w:pPr>
    <w:rPr>
      <w:rFonts w:ascii="Times New Roman" w:hAnsi="Times New Roman"/>
      <w:sz w:val="21"/>
    </w:rPr>
  </w:style>
  <w:style w:type="paragraph" w:customStyle="1" w:styleId="93">
    <w:name w:val="表格内容"/>
    <w:basedOn w:val="1"/>
    <w:autoRedefine/>
    <w:qFormat/>
    <w:uiPriority w:val="0"/>
    <w:pPr>
      <w:overflowPunct w:val="0"/>
      <w:adjustRightInd w:val="0"/>
      <w:spacing w:line="240" w:lineRule="auto"/>
      <w:ind w:firstLine="0" w:firstLineChars="0"/>
      <w:jc w:val="center"/>
      <w:textAlignment w:val="baseline"/>
    </w:pPr>
    <w:rPr>
      <w:rFonts w:ascii="Times New Roman" w:hAnsi="Times New Roman"/>
      <w:kern w:val="0"/>
      <w:sz w:val="21"/>
    </w:rPr>
  </w:style>
  <w:style w:type="character" w:customStyle="1" w:styleId="94">
    <w:name w:val="未处理的提及2"/>
    <w:basedOn w:val="35"/>
    <w:autoRedefine/>
    <w:semiHidden/>
    <w:unhideWhenUsed/>
    <w:qFormat/>
    <w:uiPriority w:val="99"/>
    <w:rPr>
      <w:color w:val="605E5C"/>
      <w:shd w:val="clear" w:color="auto" w:fill="E1DFDD"/>
    </w:rPr>
  </w:style>
  <w:style w:type="character" w:customStyle="1" w:styleId="95">
    <w:name w:val="填表4小中单倍行距 Char Char"/>
    <w:link w:val="66"/>
    <w:autoRedefine/>
    <w:qFormat/>
    <w:uiPriority w:val="0"/>
    <w:rPr>
      <w:rFonts w:ascii="宋体" w:hAnsi="宋体"/>
      <w:kern w:val="2"/>
      <w:sz w:val="24"/>
    </w:rPr>
  </w:style>
  <w:style w:type="character" w:customStyle="1" w:styleId="96">
    <w:name w:val="批注文字 字符"/>
    <w:basedOn w:val="35"/>
    <w:link w:val="17"/>
    <w:autoRedefine/>
    <w:qFormat/>
    <w:uiPriority w:val="0"/>
    <w:rPr>
      <w:rFonts w:ascii="宋体" w:hAnsi="宋体"/>
      <w:kern w:val="2"/>
      <w:sz w:val="28"/>
      <w:szCs w:val="24"/>
    </w:rPr>
  </w:style>
  <w:style w:type="character" w:customStyle="1" w:styleId="97">
    <w:name w:val="批注主题 字符"/>
    <w:basedOn w:val="96"/>
    <w:link w:val="31"/>
    <w:autoRedefine/>
    <w:qFormat/>
    <w:uiPriority w:val="0"/>
    <w:rPr>
      <w:rFonts w:ascii="宋体" w:hAnsi="宋体" w:cs="宋体"/>
      <w:b/>
      <w:bCs/>
      <w:kern w:val="2"/>
      <w:sz w:val="28"/>
      <w:szCs w:val="24"/>
    </w:rPr>
  </w:style>
  <w:style w:type="character" w:customStyle="1" w:styleId="98">
    <w:name w:val="Unresolved Mention"/>
    <w:basedOn w:val="35"/>
    <w:autoRedefine/>
    <w:semiHidden/>
    <w:unhideWhenUsed/>
    <w:qFormat/>
    <w:uiPriority w:val="99"/>
    <w:rPr>
      <w:color w:val="605E5C"/>
      <w:shd w:val="clear" w:color="auto" w:fill="E1DFDD"/>
    </w:rPr>
  </w:style>
  <w:style w:type="character" w:customStyle="1" w:styleId="99">
    <w:name w:val="标题 1 字符"/>
    <w:basedOn w:val="35"/>
    <w:link w:val="2"/>
    <w:autoRedefine/>
    <w:qFormat/>
    <w:uiPriority w:val="0"/>
    <w:rPr>
      <w:rFonts w:ascii="宋体" w:hAnsi="宋体" w:eastAsia="黑体" w:cs="宋体"/>
      <w:b/>
      <w:bCs/>
      <w:kern w:val="44"/>
      <w:sz w:val="32"/>
      <w:szCs w:val="44"/>
    </w:rPr>
  </w:style>
  <w:style w:type="character" w:customStyle="1" w:styleId="100">
    <w:name w:val="标题 2 字符"/>
    <w:basedOn w:val="35"/>
    <w:link w:val="3"/>
    <w:autoRedefine/>
    <w:qFormat/>
    <w:uiPriority w:val="0"/>
    <w:rPr>
      <w:rFonts w:ascii="宋体" w:hAnsi="宋体" w:eastAsia="楷体"/>
      <w:b/>
      <w:bCs/>
      <w:kern w:val="2"/>
      <w:sz w:val="32"/>
      <w:szCs w:val="32"/>
    </w:rPr>
  </w:style>
  <w:style w:type="paragraph" w:customStyle="1" w:styleId="10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40.emf"/><Relationship Id="rId54" Type="http://schemas.openxmlformats.org/officeDocument/2006/relationships/oleObject" Target="embeddings/oleObject2.bin"/><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emf"/><Relationship Id="rId5" Type="http://schemas.openxmlformats.org/officeDocument/2006/relationships/header" Target="header1.xml"/><Relationship Id="rId49" Type="http://schemas.openxmlformats.org/officeDocument/2006/relationships/oleObject" Target="embeddings/oleObject1.bin"/><Relationship Id="rId48" Type="http://schemas.openxmlformats.org/officeDocument/2006/relationships/image" Target="media/image35.jpeg"/><Relationship Id="rId47" Type="http://schemas.openxmlformats.org/officeDocument/2006/relationships/image" Target="media/image34.jpeg"/><Relationship Id="rId46" Type="http://schemas.openxmlformats.org/officeDocument/2006/relationships/image" Target="media/image33.jpeg"/><Relationship Id="rId45" Type="http://schemas.openxmlformats.org/officeDocument/2006/relationships/image" Target="media/image32.jpeg"/><Relationship Id="rId44" Type="http://schemas.openxmlformats.org/officeDocument/2006/relationships/image" Target="media/image31.jpeg"/><Relationship Id="rId43" Type="http://schemas.openxmlformats.org/officeDocument/2006/relationships/image" Target="media/image30.jpeg"/><Relationship Id="rId42" Type="http://schemas.openxmlformats.org/officeDocument/2006/relationships/image" Target="media/image29.jpeg"/><Relationship Id="rId41" Type="http://schemas.openxmlformats.org/officeDocument/2006/relationships/image" Target="media/image28.jpeg"/><Relationship Id="rId40" Type="http://schemas.openxmlformats.org/officeDocument/2006/relationships/image" Target="media/image27.jpeg"/><Relationship Id="rId4" Type="http://schemas.openxmlformats.org/officeDocument/2006/relationships/endnotes" Target="endnotes.xml"/><Relationship Id="rId39" Type="http://schemas.openxmlformats.org/officeDocument/2006/relationships/image" Target="media/image26.jpeg"/><Relationship Id="rId38" Type="http://schemas.openxmlformats.org/officeDocument/2006/relationships/image" Target="media/image25.jpeg"/><Relationship Id="rId37" Type="http://schemas.openxmlformats.org/officeDocument/2006/relationships/image" Target="media/image24.jpe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8DF95D-DFA2-466C-9C95-10EAB7C2DE9D}">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63650</Words>
  <Characters>68794</Characters>
  <Lines>573</Lines>
  <Paragraphs>161</Paragraphs>
  <TotalTime>9</TotalTime>
  <ScaleCrop>false</ScaleCrop>
  <LinksUpToDate>false</LinksUpToDate>
  <CharactersWithSpaces>71904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2022-07-06T01:32:00Z</dcterms:created>
  <dc:creator>Administrator.USER-20210203VE</dc:creator>
  <cp:lastModifiedBy>Administrator</cp:lastModifiedBy>
  <cp:lastPrinted>2024-04-22T01:19:00Z</cp:lastPrinted>
  <dcterms:modified xsi:type="dcterms:W3CDTF">2024-07-15T07:51:07Z</dcterms:modified>
  <cp:revision>702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D0498425AC8A495387619333F4B92DF5</vt:lpwstr>
  </property>
</Properties>
</file>