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sdt>
      <w:sdtPr>
        <w:rPr>
          <w:rFonts w:ascii="宋体" w:hAnsi="宋体" w:eastAsia="宋体" w:cs="Times New Roman"/>
          <w:kern w:val="2"/>
          <w:sz w:val="21"/>
          <w:szCs w:val="22"/>
          <w:lang w:val="en-US" w:eastAsia="zh-CN" w:bidi="ar-SA"/>
        </w:rPr>
        <w:id w:val="147470778"/>
        <w:docPartObj>
          <w:docPartGallery w:val="Table of Contents"/>
          <w:docPartUnique/>
        </w:docPartObj>
      </w:sdtPr>
      <w:sdtEndPr>
        <w:rPr>
          <w:rFonts w:ascii="Times New Roman" w:hAnsi="Times New Roman" w:eastAsia="宋体" w:cs="Times New Roman"/>
          <w:b/>
          <w:bCs/>
          <w:kern w:val="2"/>
          <w:sz w:val="21"/>
          <w:szCs w:val="22"/>
          <w:lang w:val="en-US" w:eastAsia="zh-CN" w:bidi="ar-SA"/>
        </w:rPr>
      </w:sdtEndPr>
      <w:sdtContent>
        <w:p>
          <w:pPr>
            <w:spacing w:before="0" w:beforeLines="0" w:after="0" w:afterLines="0" w:line="240" w:lineRule="auto"/>
            <w:ind w:left="0" w:leftChars="0" w:right="0" w:rightChars="0" w:firstLine="0" w:firstLineChars="0"/>
            <w:jc w:val="center"/>
          </w:pPr>
          <w:bookmarkStart w:id="0" w:name="_Toc13273_WPSOffice_Type2"/>
          <w:r>
            <w:rPr>
              <w:rFonts w:ascii="宋体" w:hAnsi="宋体" w:eastAsia="宋体"/>
              <w:sz w:val="21"/>
            </w:rPr>
            <w:t>目录</w:t>
          </w:r>
        </w:p>
        <w:p>
          <w:pPr>
            <w:pStyle w:val="116"/>
            <w:tabs>
              <w:tab w:val="right" w:leader="dot" w:pos="9185"/>
            </w:tabs>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fldChar w:fldCharType="begin"/>
          </w:r>
          <w:r>
            <w:rPr>
              <w:rFonts w:hint="eastAsia" w:asciiTheme="minorEastAsia" w:hAnsiTheme="minorEastAsia" w:eastAsiaTheme="minorEastAsia" w:cstheme="minorEastAsia"/>
              <w:sz w:val="28"/>
              <w:szCs w:val="28"/>
            </w:rPr>
            <w:instrText xml:space="preserve"> HYPERLINK \l _Toc3422_WPSOffice_Level1 </w:instrText>
          </w:r>
          <w:r>
            <w:rPr>
              <w:rFonts w:hint="eastAsia" w:asciiTheme="minorEastAsia" w:hAnsiTheme="minorEastAsia" w:eastAsiaTheme="minorEastAsia" w:cstheme="minorEastAsia"/>
              <w:b/>
              <w:bCs/>
              <w:sz w:val="28"/>
              <w:szCs w:val="28"/>
            </w:rPr>
            <w:fldChar w:fldCharType="separate"/>
          </w:r>
          <w:sdt>
            <w:sdtPr>
              <w:rPr>
                <w:rFonts w:hint="eastAsia" w:asciiTheme="minorEastAsia" w:hAnsiTheme="minorEastAsia" w:eastAsiaTheme="minorEastAsia" w:cstheme="minorEastAsia"/>
                <w:b/>
                <w:bCs/>
                <w:sz w:val="28"/>
                <w:szCs w:val="28"/>
                <w:lang w:val="en-US" w:eastAsia="zh-CN" w:bidi="ar-SA"/>
              </w:rPr>
              <w:id w:val="147465844"/>
              <w:placeholder>
                <w:docPart w:val="{999a22ba-e97b-4279-8920-dc5cb629b685}"/>
              </w:placeholder>
            </w:sdtPr>
            <w:sdtEndPr>
              <w:rPr>
                <w:rFonts w:hint="eastAsia" w:asciiTheme="minorEastAsia" w:hAnsiTheme="minorEastAsia" w:eastAsiaTheme="minorEastAsia" w:cstheme="minorEastAsia"/>
                <w:b/>
                <w:bCs/>
                <w:sz w:val="28"/>
                <w:szCs w:val="28"/>
                <w:lang w:val="en-US" w:eastAsia="zh-CN" w:bidi="ar-SA"/>
              </w:rPr>
            </w:sdtEndPr>
            <w:sdtContent>
              <w:r>
                <w:rPr>
                  <w:rFonts w:hint="eastAsia" w:asciiTheme="minorEastAsia" w:hAnsiTheme="minorEastAsia" w:eastAsiaTheme="minorEastAsia" w:cstheme="minorEastAsia"/>
                  <w:b/>
                  <w:bCs/>
                  <w:sz w:val="28"/>
                  <w:szCs w:val="28"/>
                </w:rPr>
                <w:t>第1章  编制说明</w:t>
              </w:r>
            </w:sdtContent>
          </w:sdt>
          <w:r>
            <w:rPr>
              <w:rFonts w:hint="eastAsia" w:asciiTheme="minorEastAsia" w:hAnsiTheme="minorEastAsia" w:eastAsiaTheme="minorEastAsia" w:cstheme="minorEastAsia"/>
              <w:b/>
              <w:bCs/>
              <w:sz w:val="28"/>
              <w:szCs w:val="28"/>
            </w:rPr>
            <w:tab/>
          </w:r>
          <w:bookmarkStart w:id="1" w:name="_Toc3422_WPSOffice_Level1Page"/>
          <w:r>
            <w:rPr>
              <w:rFonts w:hint="eastAsia" w:asciiTheme="minorEastAsia" w:hAnsiTheme="minorEastAsia" w:eastAsiaTheme="minorEastAsia" w:cstheme="minorEastAsia"/>
              <w:b/>
              <w:bCs/>
              <w:sz w:val="28"/>
              <w:szCs w:val="28"/>
            </w:rPr>
            <w:t>1</w:t>
          </w:r>
          <w:bookmarkEnd w:id="1"/>
          <w:r>
            <w:rPr>
              <w:rFonts w:hint="eastAsia" w:asciiTheme="minorEastAsia" w:hAnsiTheme="minorEastAsia" w:eastAsiaTheme="minorEastAsia" w:cstheme="minorEastAsia"/>
              <w:b/>
              <w:bCs/>
              <w:sz w:val="28"/>
              <w:szCs w:val="28"/>
            </w:rPr>
            <w:fldChar w:fldCharType="end"/>
          </w:r>
        </w:p>
        <w:p>
          <w:pPr>
            <w:pStyle w:val="117"/>
            <w:tabs>
              <w:tab w:val="right" w:leader="dot" w:pos="9185"/>
            </w:tabs>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_Toc2524_WPSOffice_Level2 </w:instrText>
          </w:r>
          <w:r>
            <w:rPr>
              <w:rFonts w:hint="eastAsia" w:asciiTheme="minorEastAsia" w:hAnsiTheme="minorEastAsia" w:eastAsiaTheme="minorEastAsia" w:cstheme="minorEastAsia"/>
              <w:sz w:val="28"/>
              <w:szCs w:val="28"/>
            </w:rPr>
            <w:fldChar w:fldCharType="separate"/>
          </w:r>
          <w:sdt>
            <w:sdtPr>
              <w:rPr>
                <w:rFonts w:hint="eastAsia" w:asciiTheme="minorEastAsia" w:hAnsiTheme="minorEastAsia" w:eastAsiaTheme="minorEastAsia" w:cstheme="minorEastAsia"/>
                <w:sz w:val="28"/>
                <w:szCs w:val="28"/>
                <w:lang w:val="en-US" w:eastAsia="zh-CN" w:bidi="ar-SA"/>
              </w:rPr>
              <w:id w:val="147480902"/>
              <w:placeholder>
                <w:docPart w:val="{9e1a34fb-4285-47bd-89f9-55874bfdd1e0}"/>
              </w:placeholder>
            </w:sdtPr>
            <w:sdtEndPr>
              <w:rPr>
                <w:rFonts w:hint="eastAsia" w:asciiTheme="minorEastAsia" w:hAnsiTheme="minorEastAsia" w:eastAsiaTheme="minorEastAsia" w:cstheme="minorEastAsia"/>
                <w:sz w:val="28"/>
                <w:szCs w:val="28"/>
                <w:lang w:val="en-US" w:eastAsia="zh-CN" w:bidi="ar-SA"/>
              </w:rPr>
            </w:sdtEndPr>
            <w:sdtContent>
              <w:r>
                <w:rPr>
                  <w:rFonts w:hint="eastAsia" w:asciiTheme="minorEastAsia" w:hAnsiTheme="minorEastAsia" w:eastAsiaTheme="minorEastAsia" w:cstheme="minorEastAsia"/>
                  <w:sz w:val="28"/>
                  <w:szCs w:val="28"/>
                </w:rPr>
                <w:t>1.1评价目的</w:t>
              </w:r>
            </w:sdtContent>
          </w:sdt>
          <w:r>
            <w:rPr>
              <w:rFonts w:hint="eastAsia" w:asciiTheme="minorEastAsia" w:hAnsiTheme="minorEastAsia" w:eastAsiaTheme="minorEastAsia" w:cstheme="minorEastAsia"/>
              <w:sz w:val="28"/>
              <w:szCs w:val="28"/>
            </w:rPr>
            <w:tab/>
          </w:r>
          <w:bookmarkStart w:id="2" w:name="_Toc2524_WPSOffice_Level2Page"/>
          <w:r>
            <w:rPr>
              <w:rFonts w:hint="eastAsia" w:asciiTheme="minorEastAsia" w:hAnsiTheme="minorEastAsia" w:eastAsiaTheme="minorEastAsia" w:cstheme="minorEastAsia"/>
              <w:sz w:val="28"/>
              <w:szCs w:val="28"/>
            </w:rPr>
            <w:t>1</w:t>
          </w:r>
          <w:bookmarkEnd w:id="2"/>
          <w:r>
            <w:rPr>
              <w:rFonts w:hint="eastAsia" w:asciiTheme="minorEastAsia" w:hAnsiTheme="minorEastAsia" w:eastAsiaTheme="minorEastAsia" w:cstheme="minorEastAsia"/>
              <w:sz w:val="28"/>
              <w:szCs w:val="28"/>
            </w:rPr>
            <w:fldChar w:fldCharType="end"/>
          </w:r>
        </w:p>
        <w:p>
          <w:pPr>
            <w:pStyle w:val="117"/>
            <w:tabs>
              <w:tab w:val="right" w:leader="dot" w:pos="9185"/>
            </w:tabs>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_Toc21003_WPSOffice_Level2 </w:instrText>
          </w:r>
          <w:r>
            <w:rPr>
              <w:rFonts w:hint="eastAsia" w:asciiTheme="minorEastAsia" w:hAnsiTheme="minorEastAsia" w:eastAsiaTheme="minorEastAsia" w:cstheme="minorEastAsia"/>
              <w:sz w:val="28"/>
              <w:szCs w:val="28"/>
            </w:rPr>
            <w:fldChar w:fldCharType="separate"/>
          </w:r>
          <w:sdt>
            <w:sdtPr>
              <w:rPr>
                <w:rFonts w:hint="eastAsia" w:asciiTheme="minorEastAsia" w:hAnsiTheme="minorEastAsia" w:eastAsiaTheme="minorEastAsia" w:cstheme="minorEastAsia"/>
                <w:sz w:val="28"/>
                <w:szCs w:val="28"/>
                <w:lang w:val="en-US" w:eastAsia="zh-CN" w:bidi="ar-SA"/>
              </w:rPr>
              <w:id w:val="147473465"/>
              <w:placeholder>
                <w:docPart w:val="{26c0d151-55eb-4afe-ac07-35d1c6d7ed34}"/>
              </w:placeholder>
            </w:sdtPr>
            <w:sdtEndPr>
              <w:rPr>
                <w:rFonts w:hint="eastAsia" w:asciiTheme="minorEastAsia" w:hAnsiTheme="minorEastAsia" w:eastAsiaTheme="minorEastAsia" w:cstheme="minorEastAsia"/>
                <w:sz w:val="28"/>
                <w:szCs w:val="28"/>
                <w:lang w:val="en-US" w:eastAsia="zh-CN" w:bidi="ar-SA"/>
              </w:rPr>
            </w:sdtEndPr>
            <w:sdtContent>
              <w:r>
                <w:rPr>
                  <w:rFonts w:hint="eastAsia" w:asciiTheme="minorEastAsia" w:hAnsiTheme="minorEastAsia" w:eastAsiaTheme="minorEastAsia" w:cstheme="minorEastAsia"/>
                  <w:sz w:val="28"/>
                  <w:szCs w:val="28"/>
                </w:rPr>
                <w:t>1.2评价依据</w:t>
              </w:r>
            </w:sdtContent>
          </w:sdt>
          <w:r>
            <w:rPr>
              <w:rFonts w:hint="eastAsia" w:asciiTheme="minorEastAsia" w:hAnsiTheme="minorEastAsia" w:eastAsiaTheme="minorEastAsia" w:cstheme="minorEastAsia"/>
              <w:sz w:val="28"/>
              <w:szCs w:val="28"/>
            </w:rPr>
            <w:tab/>
          </w:r>
          <w:bookmarkStart w:id="3" w:name="_Toc21003_WPSOffice_Level2Page"/>
          <w:r>
            <w:rPr>
              <w:rFonts w:hint="eastAsia" w:asciiTheme="minorEastAsia" w:hAnsiTheme="minorEastAsia" w:eastAsiaTheme="minorEastAsia" w:cstheme="minorEastAsia"/>
              <w:sz w:val="28"/>
              <w:szCs w:val="28"/>
            </w:rPr>
            <w:t>1</w:t>
          </w:r>
          <w:bookmarkEnd w:id="3"/>
          <w:r>
            <w:rPr>
              <w:rFonts w:hint="eastAsia" w:asciiTheme="minorEastAsia" w:hAnsiTheme="minorEastAsia" w:eastAsiaTheme="minorEastAsia" w:cstheme="minorEastAsia"/>
              <w:sz w:val="28"/>
              <w:szCs w:val="28"/>
            </w:rPr>
            <w:fldChar w:fldCharType="end"/>
          </w:r>
        </w:p>
        <w:p>
          <w:pPr>
            <w:pStyle w:val="117"/>
            <w:tabs>
              <w:tab w:val="right" w:leader="dot" w:pos="9185"/>
            </w:tabs>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_Toc25610_WPSOffice_Level2 </w:instrText>
          </w:r>
          <w:r>
            <w:rPr>
              <w:rFonts w:hint="eastAsia" w:asciiTheme="minorEastAsia" w:hAnsiTheme="minorEastAsia" w:eastAsiaTheme="minorEastAsia" w:cstheme="minorEastAsia"/>
              <w:sz w:val="28"/>
              <w:szCs w:val="28"/>
            </w:rPr>
            <w:fldChar w:fldCharType="separate"/>
          </w:r>
          <w:sdt>
            <w:sdtPr>
              <w:rPr>
                <w:rFonts w:hint="eastAsia" w:asciiTheme="minorEastAsia" w:hAnsiTheme="minorEastAsia" w:eastAsiaTheme="minorEastAsia" w:cstheme="minorEastAsia"/>
                <w:sz w:val="28"/>
                <w:szCs w:val="28"/>
                <w:lang w:val="en-US" w:eastAsia="zh-CN" w:bidi="ar-SA"/>
              </w:rPr>
              <w:id w:val="147476960"/>
              <w:placeholder>
                <w:docPart w:val="{7b80562b-5179-4e6a-a5bf-0d217b34b662}"/>
              </w:placeholder>
            </w:sdtPr>
            <w:sdtEndPr>
              <w:rPr>
                <w:rFonts w:hint="eastAsia" w:asciiTheme="minorEastAsia" w:hAnsiTheme="minorEastAsia" w:eastAsiaTheme="minorEastAsia" w:cstheme="minorEastAsia"/>
                <w:sz w:val="28"/>
                <w:szCs w:val="28"/>
                <w:lang w:val="en-US" w:eastAsia="zh-CN" w:bidi="ar-SA"/>
              </w:rPr>
            </w:sdtEndPr>
            <w:sdtContent>
              <w:r>
                <w:rPr>
                  <w:rFonts w:hint="eastAsia" w:asciiTheme="minorEastAsia" w:hAnsiTheme="minorEastAsia" w:eastAsiaTheme="minorEastAsia" w:cstheme="minorEastAsia"/>
                  <w:sz w:val="28"/>
                  <w:szCs w:val="28"/>
                </w:rPr>
                <w:t>1.3评价原则</w:t>
              </w:r>
            </w:sdtContent>
          </w:sdt>
          <w:r>
            <w:rPr>
              <w:rFonts w:hint="eastAsia" w:asciiTheme="minorEastAsia" w:hAnsiTheme="minorEastAsia" w:eastAsiaTheme="minorEastAsia" w:cstheme="minorEastAsia"/>
              <w:sz w:val="28"/>
              <w:szCs w:val="28"/>
            </w:rPr>
            <w:tab/>
          </w:r>
          <w:bookmarkStart w:id="4" w:name="_Toc25610_WPSOffice_Level2Page"/>
          <w:r>
            <w:rPr>
              <w:rFonts w:hint="eastAsia" w:asciiTheme="minorEastAsia" w:hAnsiTheme="minorEastAsia" w:eastAsiaTheme="minorEastAsia" w:cstheme="minorEastAsia"/>
              <w:sz w:val="28"/>
              <w:szCs w:val="28"/>
            </w:rPr>
            <w:t>7</w:t>
          </w:r>
          <w:bookmarkEnd w:id="4"/>
          <w:r>
            <w:rPr>
              <w:rFonts w:hint="eastAsia" w:asciiTheme="minorEastAsia" w:hAnsiTheme="minorEastAsia" w:eastAsiaTheme="minorEastAsia" w:cstheme="minorEastAsia"/>
              <w:sz w:val="28"/>
              <w:szCs w:val="28"/>
            </w:rPr>
            <w:fldChar w:fldCharType="end"/>
          </w:r>
        </w:p>
        <w:p>
          <w:pPr>
            <w:pStyle w:val="117"/>
            <w:tabs>
              <w:tab w:val="right" w:leader="dot" w:pos="9185"/>
            </w:tabs>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_Toc12445_WPSOffice_Level2 </w:instrText>
          </w:r>
          <w:r>
            <w:rPr>
              <w:rFonts w:hint="eastAsia" w:asciiTheme="minorEastAsia" w:hAnsiTheme="minorEastAsia" w:eastAsiaTheme="minorEastAsia" w:cstheme="minorEastAsia"/>
              <w:sz w:val="28"/>
              <w:szCs w:val="28"/>
            </w:rPr>
            <w:fldChar w:fldCharType="separate"/>
          </w:r>
          <w:sdt>
            <w:sdtPr>
              <w:rPr>
                <w:rFonts w:hint="eastAsia" w:asciiTheme="minorEastAsia" w:hAnsiTheme="minorEastAsia" w:eastAsiaTheme="minorEastAsia" w:cstheme="minorEastAsia"/>
                <w:sz w:val="28"/>
                <w:szCs w:val="28"/>
                <w:lang w:val="en-US" w:eastAsia="zh-CN" w:bidi="ar-SA"/>
              </w:rPr>
              <w:id w:val="147473464"/>
              <w:placeholder>
                <w:docPart w:val="{c53a6d96-d267-4533-93ea-00332c86fe4a}"/>
              </w:placeholder>
            </w:sdtPr>
            <w:sdtEndPr>
              <w:rPr>
                <w:rFonts w:hint="eastAsia" w:asciiTheme="minorEastAsia" w:hAnsiTheme="minorEastAsia" w:eastAsiaTheme="minorEastAsia" w:cstheme="minorEastAsia"/>
                <w:sz w:val="28"/>
                <w:szCs w:val="28"/>
                <w:lang w:val="en-US" w:eastAsia="zh-CN" w:bidi="ar-SA"/>
              </w:rPr>
            </w:sdtEndPr>
            <w:sdtContent>
              <w:r>
                <w:rPr>
                  <w:rFonts w:hint="eastAsia" w:asciiTheme="minorEastAsia" w:hAnsiTheme="minorEastAsia" w:eastAsiaTheme="minorEastAsia" w:cstheme="minorEastAsia"/>
                  <w:sz w:val="28"/>
                  <w:szCs w:val="28"/>
                </w:rPr>
                <w:t>1.4评价范围</w:t>
              </w:r>
            </w:sdtContent>
          </w:sdt>
          <w:r>
            <w:rPr>
              <w:rFonts w:hint="eastAsia" w:asciiTheme="minorEastAsia" w:hAnsiTheme="minorEastAsia" w:eastAsiaTheme="minorEastAsia" w:cstheme="minorEastAsia"/>
              <w:sz w:val="28"/>
              <w:szCs w:val="28"/>
            </w:rPr>
            <w:tab/>
          </w:r>
          <w:bookmarkStart w:id="5" w:name="_Toc12445_WPSOffice_Level2Page"/>
          <w:r>
            <w:rPr>
              <w:rFonts w:hint="eastAsia" w:asciiTheme="minorEastAsia" w:hAnsiTheme="minorEastAsia" w:eastAsiaTheme="minorEastAsia" w:cstheme="minorEastAsia"/>
              <w:sz w:val="28"/>
              <w:szCs w:val="28"/>
            </w:rPr>
            <w:t>8</w:t>
          </w:r>
          <w:bookmarkEnd w:id="5"/>
          <w:r>
            <w:rPr>
              <w:rFonts w:hint="eastAsia" w:asciiTheme="minorEastAsia" w:hAnsiTheme="minorEastAsia" w:eastAsiaTheme="minorEastAsia" w:cstheme="minorEastAsia"/>
              <w:sz w:val="28"/>
              <w:szCs w:val="28"/>
            </w:rPr>
            <w:fldChar w:fldCharType="end"/>
          </w:r>
        </w:p>
        <w:p>
          <w:pPr>
            <w:pStyle w:val="117"/>
            <w:tabs>
              <w:tab w:val="right" w:leader="dot" w:pos="9185"/>
            </w:tabs>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_Toc15524_WPSOffice_Level2 </w:instrText>
          </w:r>
          <w:r>
            <w:rPr>
              <w:rFonts w:hint="eastAsia" w:asciiTheme="minorEastAsia" w:hAnsiTheme="minorEastAsia" w:eastAsiaTheme="minorEastAsia" w:cstheme="minorEastAsia"/>
              <w:sz w:val="28"/>
              <w:szCs w:val="28"/>
            </w:rPr>
            <w:fldChar w:fldCharType="separate"/>
          </w:r>
          <w:sdt>
            <w:sdtPr>
              <w:rPr>
                <w:rFonts w:hint="eastAsia" w:asciiTheme="minorEastAsia" w:hAnsiTheme="minorEastAsia" w:eastAsiaTheme="minorEastAsia" w:cstheme="minorEastAsia"/>
                <w:sz w:val="28"/>
                <w:szCs w:val="28"/>
                <w:lang w:val="en-US" w:eastAsia="zh-CN" w:bidi="ar-SA"/>
              </w:rPr>
              <w:id w:val="147463900"/>
              <w:placeholder>
                <w:docPart w:val="{dd78e9ae-41c5-424e-98ee-3fe11592d1ad}"/>
              </w:placeholder>
            </w:sdtPr>
            <w:sdtEndPr>
              <w:rPr>
                <w:rFonts w:hint="eastAsia" w:asciiTheme="minorEastAsia" w:hAnsiTheme="minorEastAsia" w:eastAsiaTheme="minorEastAsia" w:cstheme="minorEastAsia"/>
                <w:sz w:val="28"/>
                <w:szCs w:val="28"/>
                <w:lang w:val="en-US" w:eastAsia="zh-CN" w:bidi="ar-SA"/>
              </w:rPr>
            </w:sdtEndPr>
            <w:sdtContent>
              <w:r>
                <w:rPr>
                  <w:rFonts w:hint="eastAsia" w:asciiTheme="minorEastAsia" w:hAnsiTheme="minorEastAsia" w:eastAsiaTheme="minorEastAsia" w:cstheme="minorEastAsia"/>
                  <w:sz w:val="28"/>
                  <w:szCs w:val="28"/>
                </w:rPr>
                <w:t>1.5评价程序</w:t>
              </w:r>
            </w:sdtContent>
          </w:sdt>
          <w:r>
            <w:rPr>
              <w:rFonts w:hint="eastAsia" w:asciiTheme="minorEastAsia" w:hAnsiTheme="minorEastAsia" w:eastAsiaTheme="minorEastAsia" w:cstheme="minorEastAsia"/>
              <w:sz w:val="28"/>
              <w:szCs w:val="28"/>
            </w:rPr>
            <w:tab/>
          </w:r>
          <w:bookmarkStart w:id="6" w:name="_Toc15524_WPSOffice_Level2Page"/>
          <w:r>
            <w:rPr>
              <w:rFonts w:hint="eastAsia" w:asciiTheme="minorEastAsia" w:hAnsiTheme="minorEastAsia" w:eastAsiaTheme="minorEastAsia" w:cstheme="minorEastAsia"/>
              <w:sz w:val="28"/>
              <w:szCs w:val="28"/>
            </w:rPr>
            <w:t>8</w:t>
          </w:r>
          <w:bookmarkEnd w:id="6"/>
          <w:r>
            <w:rPr>
              <w:rFonts w:hint="eastAsia" w:asciiTheme="minorEastAsia" w:hAnsiTheme="minorEastAsia" w:eastAsiaTheme="minorEastAsia" w:cstheme="minorEastAsia"/>
              <w:sz w:val="28"/>
              <w:szCs w:val="28"/>
            </w:rPr>
            <w:fldChar w:fldCharType="end"/>
          </w:r>
        </w:p>
        <w:p>
          <w:pPr>
            <w:pStyle w:val="117"/>
            <w:tabs>
              <w:tab w:val="right" w:leader="dot" w:pos="9185"/>
            </w:tabs>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_Toc5883_WPSOffice_Level2 </w:instrText>
          </w:r>
          <w:r>
            <w:rPr>
              <w:rFonts w:hint="eastAsia" w:asciiTheme="minorEastAsia" w:hAnsiTheme="minorEastAsia" w:eastAsiaTheme="minorEastAsia" w:cstheme="minorEastAsia"/>
              <w:sz w:val="28"/>
              <w:szCs w:val="28"/>
            </w:rPr>
            <w:fldChar w:fldCharType="separate"/>
          </w:r>
          <w:sdt>
            <w:sdtPr>
              <w:rPr>
                <w:rFonts w:hint="eastAsia" w:asciiTheme="minorEastAsia" w:hAnsiTheme="minorEastAsia" w:eastAsiaTheme="minorEastAsia" w:cstheme="minorEastAsia"/>
                <w:sz w:val="28"/>
                <w:szCs w:val="28"/>
                <w:lang w:val="en-US" w:eastAsia="zh-CN" w:bidi="ar-SA"/>
              </w:rPr>
              <w:id w:val="147468088"/>
              <w:placeholder>
                <w:docPart w:val="{97693941-3473-4474-9562-553e03051d26}"/>
              </w:placeholder>
            </w:sdtPr>
            <w:sdtEndPr>
              <w:rPr>
                <w:rFonts w:hint="eastAsia" w:asciiTheme="minorEastAsia" w:hAnsiTheme="minorEastAsia" w:eastAsiaTheme="minorEastAsia" w:cstheme="minorEastAsia"/>
                <w:sz w:val="28"/>
                <w:szCs w:val="28"/>
                <w:lang w:val="en-US" w:eastAsia="zh-CN" w:bidi="ar-SA"/>
              </w:rPr>
            </w:sdtEndPr>
            <w:sdtContent>
              <w:r>
                <w:rPr>
                  <w:rFonts w:hint="eastAsia" w:asciiTheme="minorEastAsia" w:hAnsiTheme="minorEastAsia" w:eastAsiaTheme="minorEastAsia" w:cstheme="minorEastAsia"/>
                  <w:sz w:val="28"/>
                  <w:szCs w:val="28"/>
                </w:rPr>
                <w:t>1.6评价基准日</w:t>
              </w:r>
            </w:sdtContent>
          </w:sdt>
          <w:r>
            <w:rPr>
              <w:rFonts w:hint="eastAsia" w:asciiTheme="minorEastAsia" w:hAnsiTheme="minorEastAsia" w:eastAsiaTheme="minorEastAsia" w:cstheme="minorEastAsia"/>
              <w:sz w:val="28"/>
              <w:szCs w:val="28"/>
            </w:rPr>
            <w:tab/>
          </w:r>
          <w:bookmarkStart w:id="7" w:name="_Toc5883_WPSOffice_Level2Page"/>
          <w:r>
            <w:rPr>
              <w:rFonts w:hint="eastAsia" w:asciiTheme="minorEastAsia" w:hAnsiTheme="minorEastAsia" w:eastAsiaTheme="minorEastAsia" w:cstheme="minorEastAsia"/>
              <w:sz w:val="28"/>
              <w:szCs w:val="28"/>
            </w:rPr>
            <w:t>9</w:t>
          </w:r>
          <w:bookmarkEnd w:id="7"/>
          <w:r>
            <w:rPr>
              <w:rFonts w:hint="eastAsia" w:asciiTheme="minorEastAsia" w:hAnsiTheme="minorEastAsia" w:eastAsiaTheme="minorEastAsia" w:cstheme="minorEastAsia"/>
              <w:sz w:val="28"/>
              <w:szCs w:val="28"/>
            </w:rPr>
            <w:fldChar w:fldCharType="end"/>
          </w:r>
        </w:p>
        <w:p>
          <w:pPr>
            <w:pStyle w:val="117"/>
            <w:tabs>
              <w:tab w:val="right" w:leader="dot" w:pos="9185"/>
            </w:tabs>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_Toc20898_WPSOffice_Level2 </w:instrText>
          </w:r>
          <w:r>
            <w:rPr>
              <w:rFonts w:hint="eastAsia" w:asciiTheme="minorEastAsia" w:hAnsiTheme="minorEastAsia" w:eastAsiaTheme="minorEastAsia" w:cstheme="minorEastAsia"/>
              <w:sz w:val="28"/>
              <w:szCs w:val="28"/>
            </w:rPr>
            <w:fldChar w:fldCharType="separate"/>
          </w:r>
          <w:sdt>
            <w:sdtPr>
              <w:rPr>
                <w:rFonts w:hint="eastAsia" w:asciiTheme="minorEastAsia" w:hAnsiTheme="minorEastAsia" w:eastAsiaTheme="minorEastAsia" w:cstheme="minorEastAsia"/>
                <w:sz w:val="28"/>
                <w:szCs w:val="28"/>
                <w:lang w:val="en-US" w:eastAsia="zh-CN" w:bidi="ar-SA"/>
              </w:rPr>
              <w:id w:val="147471706"/>
              <w:placeholder>
                <w:docPart w:val="{164d2be3-73fb-4821-8064-3f7a3d948144}"/>
              </w:placeholder>
            </w:sdtPr>
            <w:sdtEndPr>
              <w:rPr>
                <w:rFonts w:hint="eastAsia" w:asciiTheme="minorEastAsia" w:hAnsiTheme="minorEastAsia" w:eastAsiaTheme="minorEastAsia" w:cstheme="minorEastAsia"/>
                <w:sz w:val="28"/>
                <w:szCs w:val="28"/>
                <w:lang w:val="en-US" w:eastAsia="zh-CN" w:bidi="ar-SA"/>
              </w:rPr>
            </w:sdtEndPr>
            <w:sdtContent>
              <w:r>
                <w:rPr>
                  <w:rFonts w:hint="eastAsia" w:asciiTheme="minorEastAsia" w:hAnsiTheme="minorEastAsia" w:eastAsiaTheme="minorEastAsia" w:cstheme="minorEastAsia"/>
                  <w:sz w:val="28"/>
                  <w:szCs w:val="28"/>
                </w:rPr>
                <w:t>1.7 评价报告使用权声明</w:t>
              </w:r>
            </w:sdtContent>
          </w:sdt>
          <w:r>
            <w:rPr>
              <w:rFonts w:hint="eastAsia" w:asciiTheme="minorEastAsia" w:hAnsiTheme="minorEastAsia" w:eastAsiaTheme="minorEastAsia" w:cstheme="minorEastAsia"/>
              <w:sz w:val="28"/>
              <w:szCs w:val="28"/>
            </w:rPr>
            <w:tab/>
          </w:r>
          <w:bookmarkStart w:id="8" w:name="_Toc20898_WPSOffice_Level2Page"/>
          <w:r>
            <w:rPr>
              <w:rFonts w:hint="eastAsia" w:asciiTheme="minorEastAsia" w:hAnsiTheme="minorEastAsia" w:eastAsiaTheme="minorEastAsia" w:cstheme="minorEastAsia"/>
              <w:sz w:val="28"/>
              <w:szCs w:val="28"/>
            </w:rPr>
            <w:t>9</w:t>
          </w:r>
          <w:bookmarkEnd w:id="8"/>
          <w:r>
            <w:rPr>
              <w:rFonts w:hint="eastAsia" w:asciiTheme="minorEastAsia" w:hAnsiTheme="minorEastAsia" w:eastAsiaTheme="minorEastAsia" w:cstheme="minorEastAsia"/>
              <w:sz w:val="28"/>
              <w:szCs w:val="28"/>
            </w:rPr>
            <w:fldChar w:fldCharType="end"/>
          </w:r>
        </w:p>
        <w:p>
          <w:pPr>
            <w:pStyle w:val="116"/>
            <w:tabs>
              <w:tab w:val="right" w:leader="dot" w:pos="9185"/>
            </w:tabs>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fldChar w:fldCharType="begin"/>
          </w:r>
          <w:r>
            <w:rPr>
              <w:rFonts w:hint="eastAsia" w:asciiTheme="minorEastAsia" w:hAnsiTheme="minorEastAsia" w:eastAsiaTheme="minorEastAsia" w:cstheme="minorEastAsia"/>
              <w:sz w:val="28"/>
              <w:szCs w:val="28"/>
            </w:rPr>
            <w:instrText xml:space="preserve"> HYPERLINK \l _Toc2524_WPSOffice_Level1 </w:instrText>
          </w:r>
          <w:r>
            <w:rPr>
              <w:rFonts w:hint="eastAsia" w:asciiTheme="minorEastAsia" w:hAnsiTheme="minorEastAsia" w:eastAsiaTheme="minorEastAsia" w:cstheme="minorEastAsia"/>
              <w:b/>
              <w:bCs/>
              <w:sz w:val="28"/>
              <w:szCs w:val="28"/>
            </w:rPr>
            <w:fldChar w:fldCharType="separate"/>
          </w:r>
          <w:sdt>
            <w:sdtPr>
              <w:rPr>
                <w:rFonts w:hint="eastAsia" w:asciiTheme="minorEastAsia" w:hAnsiTheme="minorEastAsia" w:eastAsiaTheme="minorEastAsia" w:cstheme="minorEastAsia"/>
                <w:b/>
                <w:bCs/>
                <w:sz w:val="28"/>
                <w:szCs w:val="28"/>
                <w:lang w:val="en-US" w:eastAsia="zh-CN" w:bidi="ar-SA"/>
              </w:rPr>
              <w:id w:val="147469602"/>
              <w:placeholder>
                <w:docPart w:val="{0d58a21b-b661-4beb-8623-1e7798f57d41}"/>
              </w:placeholder>
            </w:sdtPr>
            <w:sdtEndPr>
              <w:rPr>
                <w:rFonts w:hint="eastAsia" w:asciiTheme="minorEastAsia" w:hAnsiTheme="minorEastAsia" w:eastAsiaTheme="minorEastAsia" w:cstheme="minorEastAsia"/>
                <w:b/>
                <w:bCs/>
                <w:sz w:val="28"/>
                <w:szCs w:val="28"/>
                <w:lang w:val="en-US" w:eastAsia="zh-CN" w:bidi="ar-SA"/>
              </w:rPr>
            </w:sdtEndPr>
            <w:sdtContent>
              <w:r>
                <w:rPr>
                  <w:rFonts w:hint="eastAsia" w:asciiTheme="minorEastAsia" w:hAnsiTheme="minorEastAsia" w:eastAsiaTheme="minorEastAsia" w:cstheme="minorEastAsia"/>
                  <w:b/>
                  <w:bCs/>
                  <w:sz w:val="28"/>
                  <w:szCs w:val="28"/>
                </w:rPr>
                <w:t>第2章 评价项目概况</w:t>
              </w:r>
            </w:sdtContent>
          </w:sdt>
          <w:r>
            <w:rPr>
              <w:rFonts w:hint="eastAsia" w:asciiTheme="minorEastAsia" w:hAnsiTheme="minorEastAsia" w:eastAsiaTheme="minorEastAsia" w:cstheme="minorEastAsia"/>
              <w:b/>
              <w:bCs/>
              <w:sz w:val="28"/>
              <w:szCs w:val="28"/>
            </w:rPr>
            <w:tab/>
          </w:r>
          <w:bookmarkStart w:id="9" w:name="_Toc2524_WPSOffice_Level1Page"/>
          <w:r>
            <w:rPr>
              <w:rFonts w:hint="eastAsia" w:asciiTheme="minorEastAsia" w:hAnsiTheme="minorEastAsia" w:eastAsiaTheme="minorEastAsia" w:cstheme="minorEastAsia"/>
              <w:b/>
              <w:bCs/>
              <w:sz w:val="28"/>
              <w:szCs w:val="28"/>
            </w:rPr>
            <w:t>11</w:t>
          </w:r>
          <w:bookmarkEnd w:id="9"/>
          <w:r>
            <w:rPr>
              <w:rFonts w:hint="eastAsia" w:asciiTheme="minorEastAsia" w:hAnsiTheme="minorEastAsia" w:eastAsiaTheme="minorEastAsia" w:cstheme="minorEastAsia"/>
              <w:b/>
              <w:bCs/>
              <w:sz w:val="28"/>
              <w:szCs w:val="28"/>
            </w:rPr>
            <w:fldChar w:fldCharType="end"/>
          </w:r>
        </w:p>
        <w:p>
          <w:pPr>
            <w:pStyle w:val="117"/>
            <w:tabs>
              <w:tab w:val="right" w:leader="dot" w:pos="9185"/>
            </w:tabs>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_Toc13789_WPSOffice_Level2 </w:instrText>
          </w:r>
          <w:r>
            <w:rPr>
              <w:rFonts w:hint="eastAsia" w:asciiTheme="minorEastAsia" w:hAnsiTheme="minorEastAsia" w:eastAsiaTheme="minorEastAsia" w:cstheme="minorEastAsia"/>
              <w:sz w:val="28"/>
              <w:szCs w:val="28"/>
            </w:rPr>
            <w:fldChar w:fldCharType="separate"/>
          </w:r>
          <w:sdt>
            <w:sdtPr>
              <w:rPr>
                <w:rFonts w:hint="eastAsia" w:asciiTheme="minorEastAsia" w:hAnsiTheme="minorEastAsia" w:eastAsiaTheme="minorEastAsia" w:cstheme="minorEastAsia"/>
                <w:sz w:val="28"/>
                <w:szCs w:val="28"/>
                <w:lang w:val="en-US" w:eastAsia="zh-CN" w:bidi="ar-SA"/>
              </w:rPr>
              <w:id w:val="147457998"/>
              <w:placeholder>
                <w:docPart w:val="{df50d24c-af9b-48e6-a2e9-a7a05bb38fc4}"/>
              </w:placeholder>
            </w:sdtPr>
            <w:sdtEndPr>
              <w:rPr>
                <w:rFonts w:hint="eastAsia" w:asciiTheme="minorEastAsia" w:hAnsiTheme="minorEastAsia" w:eastAsiaTheme="minorEastAsia" w:cstheme="minorEastAsia"/>
                <w:sz w:val="28"/>
                <w:szCs w:val="28"/>
                <w:lang w:val="en-US" w:eastAsia="zh-CN" w:bidi="ar-SA"/>
              </w:rPr>
            </w:sdtEndPr>
            <w:sdtContent>
              <w:r>
                <w:rPr>
                  <w:rFonts w:hint="eastAsia" w:asciiTheme="minorEastAsia" w:hAnsiTheme="minorEastAsia" w:eastAsiaTheme="minorEastAsia" w:cstheme="minorEastAsia"/>
                  <w:sz w:val="28"/>
                  <w:szCs w:val="28"/>
                </w:rPr>
                <w:t>2.1企业概况</w:t>
              </w:r>
            </w:sdtContent>
          </w:sdt>
          <w:r>
            <w:rPr>
              <w:rFonts w:hint="eastAsia" w:asciiTheme="minorEastAsia" w:hAnsiTheme="minorEastAsia" w:eastAsiaTheme="minorEastAsia" w:cstheme="minorEastAsia"/>
              <w:sz w:val="28"/>
              <w:szCs w:val="28"/>
            </w:rPr>
            <w:tab/>
          </w:r>
          <w:bookmarkStart w:id="10" w:name="_Toc13789_WPSOffice_Level2Page"/>
          <w:r>
            <w:rPr>
              <w:rFonts w:hint="eastAsia" w:asciiTheme="minorEastAsia" w:hAnsiTheme="minorEastAsia" w:eastAsiaTheme="minorEastAsia" w:cstheme="minorEastAsia"/>
              <w:sz w:val="28"/>
              <w:szCs w:val="28"/>
            </w:rPr>
            <w:t>11</w:t>
          </w:r>
          <w:bookmarkEnd w:id="10"/>
          <w:r>
            <w:rPr>
              <w:rFonts w:hint="eastAsia" w:asciiTheme="minorEastAsia" w:hAnsiTheme="minorEastAsia" w:eastAsiaTheme="minorEastAsia" w:cstheme="minorEastAsia"/>
              <w:sz w:val="28"/>
              <w:szCs w:val="28"/>
            </w:rPr>
            <w:fldChar w:fldCharType="end"/>
          </w:r>
        </w:p>
        <w:p>
          <w:pPr>
            <w:pStyle w:val="117"/>
            <w:tabs>
              <w:tab w:val="right" w:leader="dot" w:pos="9185"/>
            </w:tabs>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_Toc14603_WPSOffice_Level2 </w:instrText>
          </w:r>
          <w:r>
            <w:rPr>
              <w:rFonts w:hint="eastAsia" w:asciiTheme="minorEastAsia" w:hAnsiTheme="minorEastAsia" w:eastAsiaTheme="minorEastAsia" w:cstheme="minorEastAsia"/>
              <w:sz w:val="28"/>
              <w:szCs w:val="28"/>
            </w:rPr>
            <w:fldChar w:fldCharType="separate"/>
          </w:r>
          <w:sdt>
            <w:sdtPr>
              <w:rPr>
                <w:rFonts w:hint="eastAsia" w:asciiTheme="minorEastAsia" w:hAnsiTheme="minorEastAsia" w:eastAsiaTheme="minorEastAsia" w:cstheme="minorEastAsia"/>
                <w:sz w:val="28"/>
                <w:szCs w:val="28"/>
                <w:lang w:val="en-US" w:eastAsia="zh-CN" w:bidi="ar-SA"/>
              </w:rPr>
              <w:id w:val="147472401"/>
              <w:placeholder>
                <w:docPart w:val="{d1e65922-d6ed-42f7-8f9f-e60479de7fdd}"/>
              </w:placeholder>
            </w:sdtPr>
            <w:sdtEndPr>
              <w:rPr>
                <w:rFonts w:hint="eastAsia" w:asciiTheme="minorEastAsia" w:hAnsiTheme="minorEastAsia" w:eastAsiaTheme="minorEastAsia" w:cstheme="minorEastAsia"/>
                <w:sz w:val="28"/>
                <w:szCs w:val="28"/>
                <w:lang w:val="en-US" w:eastAsia="zh-CN" w:bidi="ar-SA"/>
              </w:rPr>
            </w:sdtEndPr>
            <w:sdtContent>
              <w:r>
                <w:rPr>
                  <w:rFonts w:hint="eastAsia" w:asciiTheme="minorEastAsia" w:hAnsiTheme="minorEastAsia" w:eastAsiaTheme="minorEastAsia" w:cstheme="minorEastAsia"/>
                  <w:sz w:val="28"/>
                  <w:szCs w:val="28"/>
                </w:rPr>
                <w:t>2.2项目概况</w:t>
              </w:r>
            </w:sdtContent>
          </w:sdt>
          <w:r>
            <w:rPr>
              <w:rFonts w:hint="eastAsia" w:asciiTheme="minorEastAsia" w:hAnsiTheme="minorEastAsia" w:eastAsiaTheme="minorEastAsia" w:cstheme="minorEastAsia"/>
              <w:sz w:val="28"/>
              <w:szCs w:val="28"/>
            </w:rPr>
            <w:tab/>
          </w:r>
          <w:bookmarkStart w:id="11" w:name="_Toc14603_WPSOffice_Level2Page"/>
          <w:r>
            <w:rPr>
              <w:rFonts w:hint="eastAsia" w:asciiTheme="minorEastAsia" w:hAnsiTheme="minorEastAsia" w:eastAsiaTheme="minorEastAsia" w:cstheme="minorEastAsia"/>
              <w:sz w:val="28"/>
              <w:szCs w:val="28"/>
            </w:rPr>
            <w:t>12</w:t>
          </w:r>
          <w:bookmarkEnd w:id="11"/>
          <w:r>
            <w:rPr>
              <w:rFonts w:hint="eastAsia" w:asciiTheme="minorEastAsia" w:hAnsiTheme="minorEastAsia" w:eastAsiaTheme="minorEastAsia" w:cstheme="minorEastAsia"/>
              <w:sz w:val="28"/>
              <w:szCs w:val="28"/>
            </w:rPr>
            <w:fldChar w:fldCharType="end"/>
          </w:r>
        </w:p>
        <w:p>
          <w:pPr>
            <w:pStyle w:val="117"/>
            <w:tabs>
              <w:tab w:val="right" w:leader="dot" w:pos="9185"/>
            </w:tabs>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_Toc6802_WPSOffice_Level2 </w:instrText>
          </w:r>
          <w:r>
            <w:rPr>
              <w:rFonts w:hint="eastAsia" w:asciiTheme="minorEastAsia" w:hAnsiTheme="minorEastAsia" w:eastAsiaTheme="minorEastAsia" w:cstheme="minorEastAsia"/>
              <w:sz w:val="28"/>
              <w:szCs w:val="28"/>
            </w:rPr>
            <w:fldChar w:fldCharType="separate"/>
          </w:r>
          <w:sdt>
            <w:sdtPr>
              <w:rPr>
                <w:rFonts w:hint="eastAsia" w:asciiTheme="minorEastAsia" w:hAnsiTheme="minorEastAsia" w:eastAsiaTheme="minorEastAsia" w:cstheme="minorEastAsia"/>
                <w:sz w:val="28"/>
                <w:szCs w:val="28"/>
                <w:lang w:val="en-US" w:eastAsia="zh-CN" w:bidi="ar-SA"/>
              </w:rPr>
              <w:id w:val="147467142"/>
              <w:placeholder>
                <w:docPart w:val="{67284868-b475-4f4a-a386-4cf2f73cfd06}"/>
              </w:placeholder>
            </w:sdtPr>
            <w:sdtEndPr>
              <w:rPr>
                <w:rFonts w:hint="eastAsia" w:asciiTheme="minorEastAsia" w:hAnsiTheme="minorEastAsia" w:eastAsiaTheme="minorEastAsia" w:cstheme="minorEastAsia"/>
                <w:sz w:val="28"/>
                <w:szCs w:val="28"/>
                <w:lang w:val="en-US" w:eastAsia="zh-CN" w:bidi="ar-SA"/>
              </w:rPr>
            </w:sdtEndPr>
            <w:sdtContent>
              <w:r>
                <w:rPr>
                  <w:rFonts w:hint="eastAsia" w:asciiTheme="minorEastAsia" w:hAnsiTheme="minorEastAsia" w:eastAsiaTheme="minorEastAsia" w:cstheme="minorEastAsia"/>
                  <w:sz w:val="28"/>
                  <w:szCs w:val="28"/>
                </w:rPr>
                <w:t>2.3自然条件</w:t>
              </w:r>
            </w:sdtContent>
          </w:sdt>
          <w:r>
            <w:rPr>
              <w:rFonts w:hint="eastAsia" w:asciiTheme="minorEastAsia" w:hAnsiTheme="minorEastAsia" w:eastAsiaTheme="minorEastAsia" w:cstheme="minorEastAsia"/>
              <w:sz w:val="28"/>
              <w:szCs w:val="28"/>
            </w:rPr>
            <w:tab/>
          </w:r>
          <w:bookmarkStart w:id="12" w:name="_Toc6802_WPSOffice_Level2Page"/>
          <w:r>
            <w:rPr>
              <w:rFonts w:hint="eastAsia" w:asciiTheme="minorEastAsia" w:hAnsiTheme="minorEastAsia" w:eastAsiaTheme="minorEastAsia" w:cstheme="minorEastAsia"/>
              <w:sz w:val="28"/>
              <w:szCs w:val="28"/>
            </w:rPr>
            <w:t>15</w:t>
          </w:r>
          <w:bookmarkEnd w:id="12"/>
          <w:r>
            <w:rPr>
              <w:rFonts w:hint="eastAsia" w:asciiTheme="minorEastAsia" w:hAnsiTheme="minorEastAsia" w:eastAsiaTheme="minorEastAsia" w:cstheme="minorEastAsia"/>
              <w:sz w:val="28"/>
              <w:szCs w:val="28"/>
            </w:rPr>
            <w:fldChar w:fldCharType="end"/>
          </w:r>
        </w:p>
        <w:p>
          <w:pPr>
            <w:pStyle w:val="117"/>
            <w:tabs>
              <w:tab w:val="right" w:leader="dot" w:pos="9185"/>
            </w:tabs>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_Toc1204_WPSOffice_Level2 </w:instrText>
          </w:r>
          <w:r>
            <w:rPr>
              <w:rFonts w:hint="eastAsia" w:asciiTheme="minorEastAsia" w:hAnsiTheme="minorEastAsia" w:eastAsiaTheme="minorEastAsia" w:cstheme="minorEastAsia"/>
              <w:sz w:val="28"/>
              <w:szCs w:val="28"/>
            </w:rPr>
            <w:fldChar w:fldCharType="separate"/>
          </w:r>
          <w:sdt>
            <w:sdtPr>
              <w:rPr>
                <w:rFonts w:hint="eastAsia" w:asciiTheme="minorEastAsia" w:hAnsiTheme="minorEastAsia" w:eastAsiaTheme="minorEastAsia" w:cstheme="minorEastAsia"/>
                <w:sz w:val="28"/>
                <w:szCs w:val="28"/>
                <w:lang w:val="en-US" w:eastAsia="zh-CN" w:bidi="ar-SA"/>
              </w:rPr>
              <w:id w:val="147455293"/>
              <w:placeholder>
                <w:docPart w:val="{aabf606f-92d4-4035-bb5a-7b0e77f80ada}"/>
              </w:placeholder>
            </w:sdtPr>
            <w:sdtEndPr>
              <w:rPr>
                <w:rFonts w:hint="eastAsia" w:asciiTheme="minorEastAsia" w:hAnsiTheme="minorEastAsia" w:eastAsiaTheme="minorEastAsia" w:cstheme="minorEastAsia"/>
                <w:sz w:val="28"/>
                <w:szCs w:val="28"/>
                <w:lang w:val="en-US" w:eastAsia="zh-CN" w:bidi="ar-SA"/>
              </w:rPr>
            </w:sdtEndPr>
            <w:sdtContent>
              <w:r>
                <w:rPr>
                  <w:rFonts w:hint="eastAsia" w:asciiTheme="minorEastAsia" w:hAnsiTheme="minorEastAsia" w:eastAsiaTheme="minorEastAsia" w:cstheme="minorEastAsia"/>
                  <w:sz w:val="28"/>
                  <w:szCs w:val="28"/>
                </w:rPr>
                <w:t>2.3总图运输</w:t>
              </w:r>
            </w:sdtContent>
          </w:sdt>
          <w:r>
            <w:rPr>
              <w:rFonts w:hint="eastAsia" w:asciiTheme="minorEastAsia" w:hAnsiTheme="minorEastAsia" w:eastAsiaTheme="minorEastAsia" w:cstheme="minorEastAsia"/>
              <w:sz w:val="28"/>
              <w:szCs w:val="28"/>
            </w:rPr>
            <w:tab/>
          </w:r>
          <w:bookmarkStart w:id="13" w:name="_Toc1204_WPSOffice_Level2Page"/>
          <w:r>
            <w:rPr>
              <w:rFonts w:hint="eastAsia" w:asciiTheme="minorEastAsia" w:hAnsiTheme="minorEastAsia" w:eastAsiaTheme="minorEastAsia" w:cstheme="minorEastAsia"/>
              <w:sz w:val="28"/>
              <w:szCs w:val="28"/>
            </w:rPr>
            <w:t>16</w:t>
          </w:r>
          <w:bookmarkEnd w:id="13"/>
          <w:r>
            <w:rPr>
              <w:rFonts w:hint="eastAsia" w:asciiTheme="minorEastAsia" w:hAnsiTheme="minorEastAsia" w:eastAsiaTheme="minorEastAsia" w:cstheme="minorEastAsia"/>
              <w:sz w:val="28"/>
              <w:szCs w:val="28"/>
            </w:rPr>
            <w:fldChar w:fldCharType="end"/>
          </w:r>
        </w:p>
        <w:p>
          <w:pPr>
            <w:pStyle w:val="117"/>
            <w:tabs>
              <w:tab w:val="right" w:leader="dot" w:pos="9185"/>
            </w:tabs>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_Toc27227_WPSOffice_Level2 </w:instrText>
          </w:r>
          <w:r>
            <w:rPr>
              <w:rFonts w:hint="eastAsia" w:asciiTheme="minorEastAsia" w:hAnsiTheme="minorEastAsia" w:eastAsiaTheme="minorEastAsia" w:cstheme="minorEastAsia"/>
              <w:sz w:val="28"/>
              <w:szCs w:val="28"/>
            </w:rPr>
            <w:fldChar w:fldCharType="separate"/>
          </w:r>
          <w:sdt>
            <w:sdtPr>
              <w:rPr>
                <w:rFonts w:hint="eastAsia" w:asciiTheme="minorEastAsia" w:hAnsiTheme="minorEastAsia" w:eastAsiaTheme="minorEastAsia" w:cstheme="minorEastAsia"/>
                <w:sz w:val="28"/>
                <w:szCs w:val="28"/>
                <w:lang w:val="en-US" w:eastAsia="zh-CN" w:bidi="ar-SA"/>
              </w:rPr>
              <w:id w:val="147462502"/>
              <w:placeholder>
                <w:docPart w:val="{df9a697c-6229-4d4c-9e20-011f01093a61}"/>
              </w:placeholder>
            </w:sdtPr>
            <w:sdtEndPr>
              <w:rPr>
                <w:rFonts w:hint="eastAsia" w:asciiTheme="minorEastAsia" w:hAnsiTheme="minorEastAsia" w:eastAsiaTheme="minorEastAsia" w:cstheme="minorEastAsia"/>
                <w:sz w:val="28"/>
                <w:szCs w:val="28"/>
                <w:lang w:val="en-US" w:eastAsia="zh-CN" w:bidi="ar-SA"/>
              </w:rPr>
            </w:sdtEndPr>
            <w:sdtContent>
              <w:r>
                <w:rPr>
                  <w:rFonts w:hint="eastAsia" w:asciiTheme="minorEastAsia" w:hAnsiTheme="minorEastAsia" w:eastAsiaTheme="minorEastAsia" w:cstheme="minorEastAsia"/>
                  <w:sz w:val="28"/>
                  <w:szCs w:val="28"/>
                </w:rPr>
                <w:t>2.4原辅料及产品</w:t>
              </w:r>
            </w:sdtContent>
          </w:sdt>
          <w:r>
            <w:rPr>
              <w:rFonts w:hint="eastAsia" w:asciiTheme="minorEastAsia" w:hAnsiTheme="minorEastAsia" w:eastAsiaTheme="minorEastAsia" w:cstheme="minorEastAsia"/>
              <w:sz w:val="28"/>
              <w:szCs w:val="28"/>
            </w:rPr>
            <w:tab/>
          </w:r>
          <w:bookmarkStart w:id="14" w:name="_Toc27227_WPSOffice_Level2Page"/>
          <w:r>
            <w:rPr>
              <w:rFonts w:hint="eastAsia" w:asciiTheme="minorEastAsia" w:hAnsiTheme="minorEastAsia" w:eastAsiaTheme="minorEastAsia" w:cstheme="minorEastAsia"/>
              <w:sz w:val="28"/>
              <w:szCs w:val="28"/>
            </w:rPr>
            <w:t>18</w:t>
          </w:r>
          <w:bookmarkEnd w:id="14"/>
          <w:r>
            <w:rPr>
              <w:rFonts w:hint="eastAsia" w:asciiTheme="minorEastAsia" w:hAnsiTheme="minorEastAsia" w:eastAsiaTheme="minorEastAsia" w:cstheme="minorEastAsia"/>
              <w:sz w:val="28"/>
              <w:szCs w:val="28"/>
            </w:rPr>
            <w:fldChar w:fldCharType="end"/>
          </w:r>
        </w:p>
        <w:p>
          <w:pPr>
            <w:pStyle w:val="117"/>
            <w:tabs>
              <w:tab w:val="right" w:leader="dot" w:pos="9185"/>
            </w:tabs>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_Toc7343_WPSOffice_Level2 </w:instrText>
          </w:r>
          <w:r>
            <w:rPr>
              <w:rFonts w:hint="eastAsia" w:asciiTheme="minorEastAsia" w:hAnsiTheme="minorEastAsia" w:eastAsiaTheme="minorEastAsia" w:cstheme="minorEastAsia"/>
              <w:sz w:val="28"/>
              <w:szCs w:val="28"/>
            </w:rPr>
            <w:fldChar w:fldCharType="separate"/>
          </w:r>
          <w:sdt>
            <w:sdtPr>
              <w:rPr>
                <w:rFonts w:hint="eastAsia" w:asciiTheme="minorEastAsia" w:hAnsiTheme="minorEastAsia" w:eastAsiaTheme="minorEastAsia" w:cstheme="minorEastAsia"/>
                <w:sz w:val="28"/>
                <w:szCs w:val="28"/>
                <w:lang w:val="en-US" w:eastAsia="zh-CN" w:bidi="ar-SA"/>
              </w:rPr>
              <w:id w:val="147482705"/>
              <w:placeholder>
                <w:docPart w:val="{fb82c5af-ea28-463c-ac57-c0416cd343ee}"/>
              </w:placeholder>
            </w:sdtPr>
            <w:sdtEndPr>
              <w:rPr>
                <w:rFonts w:hint="eastAsia" w:asciiTheme="minorEastAsia" w:hAnsiTheme="minorEastAsia" w:eastAsiaTheme="minorEastAsia" w:cstheme="minorEastAsia"/>
                <w:sz w:val="28"/>
                <w:szCs w:val="28"/>
                <w:lang w:val="en-US" w:eastAsia="zh-CN" w:bidi="ar-SA"/>
              </w:rPr>
            </w:sdtEndPr>
            <w:sdtContent>
              <w:r>
                <w:rPr>
                  <w:rFonts w:hint="eastAsia" w:asciiTheme="minorEastAsia" w:hAnsiTheme="minorEastAsia" w:eastAsiaTheme="minorEastAsia" w:cstheme="minorEastAsia"/>
                  <w:sz w:val="28"/>
                  <w:szCs w:val="28"/>
                </w:rPr>
                <w:t>2.5工艺简介</w:t>
              </w:r>
            </w:sdtContent>
          </w:sdt>
          <w:r>
            <w:rPr>
              <w:rFonts w:hint="eastAsia" w:asciiTheme="minorEastAsia" w:hAnsiTheme="minorEastAsia" w:eastAsiaTheme="minorEastAsia" w:cstheme="minorEastAsia"/>
              <w:sz w:val="28"/>
              <w:szCs w:val="28"/>
            </w:rPr>
            <w:tab/>
          </w:r>
          <w:bookmarkStart w:id="15" w:name="_Toc7343_WPSOffice_Level2Page"/>
          <w:r>
            <w:rPr>
              <w:rFonts w:hint="eastAsia" w:asciiTheme="minorEastAsia" w:hAnsiTheme="minorEastAsia" w:eastAsiaTheme="minorEastAsia" w:cstheme="minorEastAsia"/>
              <w:sz w:val="28"/>
              <w:szCs w:val="28"/>
            </w:rPr>
            <w:t>18</w:t>
          </w:r>
          <w:bookmarkEnd w:id="15"/>
          <w:r>
            <w:rPr>
              <w:rFonts w:hint="eastAsia" w:asciiTheme="minorEastAsia" w:hAnsiTheme="minorEastAsia" w:eastAsiaTheme="minorEastAsia" w:cstheme="minorEastAsia"/>
              <w:sz w:val="28"/>
              <w:szCs w:val="28"/>
            </w:rPr>
            <w:fldChar w:fldCharType="end"/>
          </w:r>
        </w:p>
        <w:p>
          <w:pPr>
            <w:pStyle w:val="117"/>
            <w:tabs>
              <w:tab w:val="right" w:leader="dot" w:pos="9185"/>
            </w:tabs>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_Toc11658_WPSOffice_Level2 </w:instrText>
          </w:r>
          <w:r>
            <w:rPr>
              <w:rFonts w:hint="eastAsia" w:asciiTheme="minorEastAsia" w:hAnsiTheme="minorEastAsia" w:eastAsiaTheme="minorEastAsia" w:cstheme="minorEastAsia"/>
              <w:sz w:val="28"/>
              <w:szCs w:val="28"/>
            </w:rPr>
            <w:fldChar w:fldCharType="separate"/>
          </w:r>
          <w:sdt>
            <w:sdtPr>
              <w:rPr>
                <w:rFonts w:hint="eastAsia" w:asciiTheme="minorEastAsia" w:hAnsiTheme="minorEastAsia" w:eastAsiaTheme="minorEastAsia" w:cstheme="minorEastAsia"/>
                <w:sz w:val="28"/>
                <w:szCs w:val="28"/>
                <w:lang w:val="en-US" w:eastAsia="zh-CN" w:bidi="ar-SA"/>
              </w:rPr>
              <w:id w:val="147475307"/>
              <w:placeholder>
                <w:docPart w:val="{b937a903-ed5b-4d20-9e19-a6952c5a2c89}"/>
              </w:placeholder>
            </w:sdtPr>
            <w:sdtEndPr>
              <w:rPr>
                <w:rFonts w:hint="eastAsia" w:asciiTheme="minorEastAsia" w:hAnsiTheme="minorEastAsia" w:eastAsiaTheme="minorEastAsia" w:cstheme="minorEastAsia"/>
                <w:sz w:val="28"/>
                <w:szCs w:val="28"/>
                <w:lang w:val="en-US" w:eastAsia="zh-CN" w:bidi="ar-SA"/>
              </w:rPr>
            </w:sdtEndPr>
            <w:sdtContent>
              <w:r>
                <w:rPr>
                  <w:rFonts w:hint="eastAsia" w:asciiTheme="minorEastAsia" w:hAnsiTheme="minorEastAsia" w:eastAsiaTheme="minorEastAsia" w:cstheme="minorEastAsia"/>
                  <w:sz w:val="28"/>
                  <w:szCs w:val="28"/>
                </w:rPr>
                <w:t>2.6 主要设备、设施及建（构）筑物</w:t>
              </w:r>
            </w:sdtContent>
          </w:sdt>
          <w:r>
            <w:rPr>
              <w:rFonts w:hint="eastAsia" w:asciiTheme="minorEastAsia" w:hAnsiTheme="minorEastAsia" w:eastAsiaTheme="minorEastAsia" w:cstheme="minorEastAsia"/>
              <w:sz w:val="28"/>
              <w:szCs w:val="28"/>
            </w:rPr>
            <w:tab/>
          </w:r>
          <w:bookmarkStart w:id="16" w:name="_Toc11658_WPSOffice_Level2Page"/>
          <w:r>
            <w:rPr>
              <w:rFonts w:hint="eastAsia" w:asciiTheme="minorEastAsia" w:hAnsiTheme="minorEastAsia" w:eastAsiaTheme="minorEastAsia" w:cstheme="minorEastAsia"/>
              <w:sz w:val="28"/>
              <w:szCs w:val="28"/>
            </w:rPr>
            <w:t>19</w:t>
          </w:r>
          <w:bookmarkEnd w:id="16"/>
          <w:r>
            <w:rPr>
              <w:rFonts w:hint="eastAsia" w:asciiTheme="minorEastAsia" w:hAnsiTheme="minorEastAsia" w:eastAsiaTheme="minorEastAsia" w:cstheme="minorEastAsia"/>
              <w:sz w:val="28"/>
              <w:szCs w:val="28"/>
            </w:rPr>
            <w:fldChar w:fldCharType="end"/>
          </w:r>
        </w:p>
        <w:p>
          <w:pPr>
            <w:pStyle w:val="117"/>
            <w:tabs>
              <w:tab w:val="right" w:leader="dot" w:pos="9185"/>
            </w:tabs>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_Toc20071_WPSOffice_Level2 </w:instrText>
          </w:r>
          <w:r>
            <w:rPr>
              <w:rFonts w:hint="eastAsia" w:asciiTheme="minorEastAsia" w:hAnsiTheme="minorEastAsia" w:eastAsiaTheme="minorEastAsia" w:cstheme="minorEastAsia"/>
              <w:sz w:val="28"/>
              <w:szCs w:val="28"/>
            </w:rPr>
            <w:fldChar w:fldCharType="separate"/>
          </w:r>
          <w:sdt>
            <w:sdtPr>
              <w:rPr>
                <w:rFonts w:hint="eastAsia" w:asciiTheme="minorEastAsia" w:hAnsiTheme="minorEastAsia" w:eastAsiaTheme="minorEastAsia" w:cstheme="minorEastAsia"/>
                <w:sz w:val="28"/>
                <w:szCs w:val="28"/>
                <w:lang w:val="en-US" w:eastAsia="zh-CN" w:bidi="ar-SA"/>
              </w:rPr>
              <w:id w:val="147473502"/>
              <w:placeholder>
                <w:docPart w:val="{b698042f-33ee-4bd5-9926-45c62f1fd62f}"/>
              </w:placeholder>
            </w:sdtPr>
            <w:sdtEndPr>
              <w:rPr>
                <w:rFonts w:hint="eastAsia" w:asciiTheme="minorEastAsia" w:hAnsiTheme="minorEastAsia" w:eastAsiaTheme="minorEastAsia" w:cstheme="minorEastAsia"/>
                <w:sz w:val="28"/>
                <w:szCs w:val="28"/>
                <w:lang w:val="en-US" w:eastAsia="zh-CN" w:bidi="ar-SA"/>
              </w:rPr>
            </w:sdtEndPr>
            <w:sdtContent>
              <w:r>
                <w:rPr>
                  <w:rFonts w:hint="eastAsia" w:asciiTheme="minorEastAsia" w:hAnsiTheme="minorEastAsia" w:eastAsiaTheme="minorEastAsia" w:cstheme="minorEastAsia"/>
                  <w:sz w:val="28"/>
                  <w:szCs w:val="28"/>
                </w:rPr>
                <w:t>2.7 公用工程及辅助设施</w:t>
              </w:r>
            </w:sdtContent>
          </w:sdt>
          <w:r>
            <w:rPr>
              <w:rFonts w:hint="eastAsia" w:asciiTheme="minorEastAsia" w:hAnsiTheme="minorEastAsia" w:eastAsiaTheme="minorEastAsia" w:cstheme="minorEastAsia"/>
              <w:sz w:val="28"/>
              <w:szCs w:val="28"/>
            </w:rPr>
            <w:tab/>
          </w:r>
          <w:bookmarkStart w:id="17" w:name="_Toc20071_WPSOffice_Level2Page"/>
          <w:r>
            <w:rPr>
              <w:rFonts w:hint="eastAsia" w:asciiTheme="minorEastAsia" w:hAnsiTheme="minorEastAsia" w:eastAsiaTheme="minorEastAsia" w:cstheme="minorEastAsia"/>
              <w:sz w:val="28"/>
              <w:szCs w:val="28"/>
            </w:rPr>
            <w:t>21</w:t>
          </w:r>
          <w:bookmarkEnd w:id="17"/>
          <w:r>
            <w:rPr>
              <w:rFonts w:hint="eastAsia" w:asciiTheme="minorEastAsia" w:hAnsiTheme="minorEastAsia" w:eastAsiaTheme="minorEastAsia" w:cstheme="minorEastAsia"/>
              <w:sz w:val="28"/>
              <w:szCs w:val="28"/>
            </w:rPr>
            <w:fldChar w:fldCharType="end"/>
          </w:r>
        </w:p>
        <w:p>
          <w:pPr>
            <w:pStyle w:val="117"/>
            <w:tabs>
              <w:tab w:val="right" w:leader="dot" w:pos="9185"/>
            </w:tabs>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_Toc20662_WPSOffice_Level2 </w:instrText>
          </w:r>
          <w:r>
            <w:rPr>
              <w:rFonts w:hint="eastAsia" w:asciiTheme="minorEastAsia" w:hAnsiTheme="minorEastAsia" w:eastAsiaTheme="minorEastAsia" w:cstheme="minorEastAsia"/>
              <w:sz w:val="28"/>
              <w:szCs w:val="28"/>
            </w:rPr>
            <w:fldChar w:fldCharType="separate"/>
          </w:r>
          <w:sdt>
            <w:sdtPr>
              <w:rPr>
                <w:rFonts w:hint="eastAsia" w:asciiTheme="minorEastAsia" w:hAnsiTheme="minorEastAsia" w:eastAsiaTheme="minorEastAsia" w:cstheme="minorEastAsia"/>
                <w:sz w:val="28"/>
                <w:szCs w:val="28"/>
                <w:lang w:val="en-US" w:eastAsia="zh-CN" w:bidi="ar-SA"/>
              </w:rPr>
              <w:id w:val="147455314"/>
              <w:placeholder>
                <w:docPart w:val="{0acec32c-52e7-4a18-a9d3-3d4f033b6663}"/>
              </w:placeholder>
            </w:sdtPr>
            <w:sdtEndPr>
              <w:rPr>
                <w:rFonts w:hint="eastAsia" w:asciiTheme="minorEastAsia" w:hAnsiTheme="minorEastAsia" w:eastAsiaTheme="minorEastAsia" w:cstheme="minorEastAsia"/>
                <w:sz w:val="28"/>
                <w:szCs w:val="28"/>
                <w:lang w:val="en-US" w:eastAsia="zh-CN" w:bidi="ar-SA"/>
              </w:rPr>
            </w:sdtEndPr>
            <w:sdtContent>
              <w:r>
                <w:rPr>
                  <w:rFonts w:hint="eastAsia" w:asciiTheme="minorEastAsia" w:hAnsiTheme="minorEastAsia" w:eastAsiaTheme="minorEastAsia" w:cstheme="minorEastAsia"/>
                  <w:sz w:val="28"/>
                  <w:szCs w:val="28"/>
                </w:rPr>
                <w:t>2.8安全设施、措施</w:t>
              </w:r>
            </w:sdtContent>
          </w:sdt>
          <w:r>
            <w:rPr>
              <w:rFonts w:hint="eastAsia" w:asciiTheme="minorEastAsia" w:hAnsiTheme="minorEastAsia" w:eastAsiaTheme="minorEastAsia" w:cstheme="minorEastAsia"/>
              <w:sz w:val="28"/>
              <w:szCs w:val="28"/>
            </w:rPr>
            <w:tab/>
          </w:r>
          <w:bookmarkStart w:id="18" w:name="_Toc20662_WPSOffice_Level2Page"/>
          <w:r>
            <w:rPr>
              <w:rFonts w:hint="eastAsia" w:asciiTheme="minorEastAsia" w:hAnsiTheme="minorEastAsia" w:eastAsiaTheme="minorEastAsia" w:cstheme="minorEastAsia"/>
              <w:sz w:val="28"/>
              <w:szCs w:val="28"/>
            </w:rPr>
            <w:t>22</w:t>
          </w:r>
          <w:bookmarkEnd w:id="18"/>
          <w:r>
            <w:rPr>
              <w:rFonts w:hint="eastAsia" w:asciiTheme="minorEastAsia" w:hAnsiTheme="minorEastAsia" w:eastAsiaTheme="minorEastAsia" w:cstheme="minorEastAsia"/>
              <w:sz w:val="28"/>
              <w:szCs w:val="28"/>
            </w:rPr>
            <w:fldChar w:fldCharType="end"/>
          </w:r>
        </w:p>
        <w:p>
          <w:pPr>
            <w:pStyle w:val="117"/>
            <w:tabs>
              <w:tab w:val="right" w:leader="dot" w:pos="9185"/>
            </w:tabs>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_Toc15751_WPSOffice_Level2 </w:instrText>
          </w:r>
          <w:r>
            <w:rPr>
              <w:rFonts w:hint="eastAsia" w:asciiTheme="minorEastAsia" w:hAnsiTheme="minorEastAsia" w:eastAsiaTheme="minorEastAsia" w:cstheme="minorEastAsia"/>
              <w:sz w:val="28"/>
              <w:szCs w:val="28"/>
            </w:rPr>
            <w:fldChar w:fldCharType="separate"/>
          </w:r>
          <w:sdt>
            <w:sdtPr>
              <w:rPr>
                <w:rFonts w:hint="eastAsia" w:asciiTheme="minorEastAsia" w:hAnsiTheme="minorEastAsia" w:eastAsiaTheme="minorEastAsia" w:cstheme="minorEastAsia"/>
                <w:sz w:val="28"/>
                <w:szCs w:val="28"/>
                <w:lang w:val="en-US" w:eastAsia="zh-CN" w:bidi="ar-SA"/>
              </w:rPr>
              <w:id w:val="147457891"/>
              <w:placeholder>
                <w:docPart w:val="{1f16ca7b-290b-4562-b61e-29186be1340b}"/>
              </w:placeholder>
            </w:sdtPr>
            <w:sdtEndPr>
              <w:rPr>
                <w:rFonts w:hint="eastAsia" w:asciiTheme="minorEastAsia" w:hAnsiTheme="minorEastAsia" w:eastAsiaTheme="minorEastAsia" w:cstheme="minorEastAsia"/>
                <w:sz w:val="28"/>
                <w:szCs w:val="28"/>
                <w:lang w:val="en-US" w:eastAsia="zh-CN" w:bidi="ar-SA"/>
              </w:rPr>
            </w:sdtEndPr>
            <w:sdtContent>
              <w:r>
                <w:rPr>
                  <w:rFonts w:hint="eastAsia" w:asciiTheme="minorEastAsia" w:hAnsiTheme="minorEastAsia" w:eastAsiaTheme="minorEastAsia" w:cstheme="minorEastAsia"/>
                  <w:sz w:val="28"/>
                  <w:szCs w:val="28"/>
                </w:rPr>
                <w:t>2.9安全管理</w:t>
              </w:r>
            </w:sdtContent>
          </w:sdt>
          <w:r>
            <w:rPr>
              <w:rFonts w:hint="eastAsia" w:asciiTheme="minorEastAsia" w:hAnsiTheme="minorEastAsia" w:eastAsiaTheme="minorEastAsia" w:cstheme="minorEastAsia"/>
              <w:sz w:val="28"/>
              <w:szCs w:val="28"/>
            </w:rPr>
            <w:tab/>
          </w:r>
          <w:bookmarkStart w:id="19" w:name="_Toc15751_WPSOffice_Level2Page"/>
          <w:r>
            <w:rPr>
              <w:rFonts w:hint="eastAsia" w:asciiTheme="minorEastAsia" w:hAnsiTheme="minorEastAsia" w:eastAsiaTheme="minorEastAsia" w:cstheme="minorEastAsia"/>
              <w:sz w:val="28"/>
              <w:szCs w:val="28"/>
            </w:rPr>
            <w:t>25</w:t>
          </w:r>
          <w:bookmarkEnd w:id="19"/>
          <w:r>
            <w:rPr>
              <w:rFonts w:hint="eastAsia" w:asciiTheme="minorEastAsia" w:hAnsiTheme="minorEastAsia" w:eastAsiaTheme="minorEastAsia" w:cstheme="minorEastAsia"/>
              <w:sz w:val="28"/>
              <w:szCs w:val="28"/>
            </w:rPr>
            <w:fldChar w:fldCharType="end"/>
          </w:r>
        </w:p>
        <w:p>
          <w:pPr>
            <w:pStyle w:val="117"/>
            <w:tabs>
              <w:tab w:val="right" w:leader="dot" w:pos="9185"/>
            </w:tabs>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_Toc29833_WPSOffice_Level2 </w:instrText>
          </w:r>
          <w:r>
            <w:rPr>
              <w:rFonts w:hint="eastAsia" w:asciiTheme="minorEastAsia" w:hAnsiTheme="minorEastAsia" w:eastAsiaTheme="minorEastAsia" w:cstheme="minorEastAsia"/>
              <w:sz w:val="28"/>
              <w:szCs w:val="28"/>
            </w:rPr>
            <w:fldChar w:fldCharType="separate"/>
          </w:r>
          <w:sdt>
            <w:sdtPr>
              <w:rPr>
                <w:rFonts w:hint="eastAsia" w:asciiTheme="minorEastAsia" w:hAnsiTheme="minorEastAsia" w:eastAsiaTheme="minorEastAsia" w:cstheme="minorEastAsia"/>
                <w:sz w:val="28"/>
                <w:szCs w:val="28"/>
                <w:lang w:val="en-US" w:eastAsia="zh-CN" w:bidi="ar-SA"/>
              </w:rPr>
              <w:id w:val="147466617"/>
              <w:placeholder>
                <w:docPart w:val="{1b54094c-430b-4347-87b8-7e8f69b7503b}"/>
              </w:placeholder>
            </w:sdtPr>
            <w:sdtEndPr>
              <w:rPr>
                <w:rFonts w:hint="eastAsia" w:asciiTheme="minorEastAsia" w:hAnsiTheme="minorEastAsia" w:eastAsiaTheme="minorEastAsia" w:cstheme="minorEastAsia"/>
                <w:sz w:val="28"/>
                <w:szCs w:val="28"/>
                <w:lang w:val="en-US" w:eastAsia="zh-CN" w:bidi="ar-SA"/>
              </w:rPr>
            </w:sdtEndPr>
            <w:sdtContent>
              <w:r>
                <w:rPr>
                  <w:rFonts w:hint="eastAsia" w:asciiTheme="minorEastAsia" w:hAnsiTheme="minorEastAsia" w:eastAsiaTheme="minorEastAsia" w:cstheme="minorEastAsia"/>
                  <w:sz w:val="28"/>
                  <w:szCs w:val="28"/>
                </w:rPr>
                <w:t>2.10取证以来安全经营条件变化情况</w:t>
              </w:r>
            </w:sdtContent>
          </w:sdt>
          <w:r>
            <w:rPr>
              <w:rFonts w:hint="eastAsia" w:asciiTheme="minorEastAsia" w:hAnsiTheme="minorEastAsia" w:eastAsiaTheme="minorEastAsia" w:cstheme="minorEastAsia"/>
              <w:sz w:val="28"/>
              <w:szCs w:val="28"/>
            </w:rPr>
            <w:tab/>
          </w:r>
          <w:bookmarkStart w:id="20" w:name="_Toc29833_WPSOffice_Level2Page"/>
          <w:r>
            <w:rPr>
              <w:rFonts w:hint="eastAsia" w:asciiTheme="minorEastAsia" w:hAnsiTheme="minorEastAsia" w:eastAsiaTheme="minorEastAsia" w:cstheme="minorEastAsia"/>
              <w:sz w:val="28"/>
              <w:szCs w:val="28"/>
            </w:rPr>
            <w:t>27</w:t>
          </w:r>
          <w:bookmarkEnd w:id="20"/>
          <w:r>
            <w:rPr>
              <w:rFonts w:hint="eastAsia" w:asciiTheme="minorEastAsia" w:hAnsiTheme="minorEastAsia" w:eastAsiaTheme="minorEastAsia" w:cstheme="minorEastAsia"/>
              <w:sz w:val="28"/>
              <w:szCs w:val="28"/>
            </w:rPr>
            <w:fldChar w:fldCharType="end"/>
          </w:r>
        </w:p>
        <w:p>
          <w:pPr>
            <w:pStyle w:val="116"/>
            <w:tabs>
              <w:tab w:val="right" w:leader="dot" w:pos="9185"/>
            </w:tabs>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fldChar w:fldCharType="begin"/>
          </w:r>
          <w:r>
            <w:rPr>
              <w:rFonts w:hint="eastAsia" w:asciiTheme="minorEastAsia" w:hAnsiTheme="minorEastAsia" w:eastAsiaTheme="minorEastAsia" w:cstheme="minorEastAsia"/>
              <w:sz w:val="28"/>
              <w:szCs w:val="28"/>
            </w:rPr>
            <w:instrText xml:space="preserve"> HYPERLINK \l _Toc21003_WPSOffice_Level1 </w:instrText>
          </w:r>
          <w:r>
            <w:rPr>
              <w:rFonts w:hint="eastAsia" w:asciiTheme="minorEastAsia" w:hAnsiTheme="minorEastAsia" w:eastAsiaTheme="minorEastAsia" w:cstheme="minorEastAsia"/>
              <w:b/>
              <w:bCs/>
              <w:sz w:val="28"/>
              <w:szCs w:val="28"/>
            </w:rPr>
            <w:fldChar w:fldCharType="separate"/>
          </w:r>
          <w:sdt>
            <w:sdtPr>
              <w:rPr>
                <w:rFonts w:hint="eastAsia" w:asciiTheme="minorEastAsia" w:hAnsiTheme="minorEastAsia" w:eastAsiaTheme="minorEastAsia" w:cstheme="minorEastAsia"/>
                <w:b/>
                <w:bCs/>
                <w:sz w:val="28"/>
                <w:szCs w:val="28"/>
                <w:lang w:val="en-US" w:eastAsia="zh-CN" w:bidi="ar-SA"/>
              </w:rPr>
              <w:id w:val="147465512"/>
              <w:placeholder>
                <w:docPart w:val="{17a1a929-0eb2-4b16-935f-ef218aa0f370}"/>
              </w:placeholder>
            </w:sdtPr>
            <w:sdtEndPr>
              <w:rPr>
                <w:rFonts w:hint="eastAsia" w:asciiTheme="minorEastAsia" w:hAnsiTheme="minorEastAsia" w:eastAsiaTheme="minorEastAsia" w:cstheme="minorEastAsia"/>
                <w:b/>
                <w:bCs/>
                <w:sz w:val="28"/>
                <w:szCs w:val="28"/>
                <w:lang w:val="en-US" w:eastAsia="zh-CN" w:bidi="ar-SA"/>
              </w:rPr>
            </w:sdtEndPr>
            <w:sdtContent>
              <w:r>
                <w:rPr>
                  <w:rFonts w:hint="eastAsia" w:asciiTheme="minorEastAsia" w:hAnsiTheme="minorEastAsia" w:eastAsiaTheme="minorEastAsia" w:cstheme="minorEastAsia"/>
                  <w:b/>
                  <w:bCs/>
                  <w:sz w:val="28"/>
                  <w:szCs w:val="28"/>
                </w:rPr>
                <w:t>第3章 主要危险、有害因素辨识与分析</w:t>
              </w:r>
            </w:sdtContent>
          </w:sdt>
          <w:r>
            <w:rPr>
              <w:rFonts w:hint="eastAsia" w:asciiTheme="minorEastAsia" w:hAnsiTheme="minorEastAsia" w:eastAsiaTheme="minorEastAsia" w:cstheme="minorEastAsia"/>
              <w:b/>
              <w:bCs/>
              <w:sz w:val="28"/>
              <w:szCs w:val="28"/>
            </w:rPr>
            <w:tab/>
          </w:r>
          <w:bookmarkStart w:id="21" w:name="_Toc21003_WPSOffice_Level1Page"/>
          <w:r>
            <w:rPr>
              <w:rFonts w:hint="eastAsia" w:asciiTheme="minorEastAsia" w:hAnsiTheme="minorEastAsia" w:eastAsiaTheme="minorEastAsia" w:cstheme="minorEastAsia"/>
              <w:b/>
              <w:bCs/>
              <w:sz w:val="28"/>
              <w:szCs w:val="28"/>
            </w:rPr>
            <w:t>29</w:t>
          </w:r>
          <w:bookmarkEnd w:id="21"/>
          <w:r>
            <w:rPr>
              <w:rFonts w:hint="eastAsia" w:asciiTheme="minorEastAsia" w:hAnsiTheme="minorEastAsia" w:eastAsiaTheme="minorEastAsia" w:cstheme="minorEastAsia"/>
              <w:b/>
              <w:bCs/>
              <w:sz w:val="28"/>
              <w:szCs w:val="28"/>
            </w:rPr>
            <w:fldChar w:fldCharType="end"/>
          </w:r>
        </w:p>
        <w:p>
          <w:pPr>
            <w:pStyle w:val="117"/>
            <w:tabs>
              <w:tab w:val="right" w:leader="dot" w:pos="9185"/>
            </w:tabs>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_Toc3349_WPSOffice_Level2 </w:instrText>
          </w:r>
          <w:r>
            <w:rPr>
              <w:rFonts w:hint="eastAsia" w:asciiTheme="minorEastAsia" w:hAnsiTheme="minorEastAsia" w:eastAsiaTheme="minorEastAsia" w:cstheme="minorEastAsia"/>
              <w:sz w:val="28"/>
              <w:szCs w:val="28"/>
            </w:rPr>
            <w:fldChar w:fldCharType="separate"/>
          </w:r>
          <w:sdt>
            <w:sdtPr>
              <w:rPr>
                <w:rFonts w:hint="eastAsia" w:asciiTheme="minorEastAsia" w:hAnsiTheme="minorEastAsia" w:eastAsiaTheme="minorEastAsia" w:cstheme="minorEastAsia"/>
                <w:sz w:val="28"/>
                <w:szCs w:val="28"/>
                <w:lang w:val="en-US" w:eastAsia="zh-CN" w:bidi="ar-SA"/>
              </w:rPr>
              <w:id w:val="147481561"/>
              <w:placeholder>
                <w:docPart w:val="{641e9d3e-15e4-44ef-8716-5f585dab84a0}"/>
              </w:placeholder>
            </w:sdtPr>
            <w:sdtEndPr>
              <w:rPr>
                <w:rFonts w:hint="eastAsia" w:asciiTheme="minorEastAsia" w:hAnsiTheme="minorEastAsia" w:eastAsiaTheme="minorEastAsia" w:cstheme="minorEastAsia"/>
                <w:sz w:val="28"/>
                <w:szCs w:val="28"/>
                <w:lang w:val="en-US" w:eastAsia="zh-CN" w:bidi="ar-SA"/>
              </w:rPr>
            </w:sdtEndPr>
            <w:sdtContent>
              <w:r>
                <w:rPr>
                  <w:rFonts w:hint="eastAsia" w:asciiTheme="minorEastAsia" w:hAnsiTheme="minorEastAsia" w:eastAsiaTheme="minorEastAsia" w:cstheme="minorEastAsia"/>
                  <w:sz w:val="28"/>
                  <w:szCs w:val="28"/>
                </w:rPr>
                <w:t>3.1辨识与分析的目的</w:t>
              </w:r>
            </w:sdtContent>
          </w:sdt>
          <w:r>
            <w:rPr>
              <w:rFonts w:hint="eastAsia" w:asciiTheme="minorEastAsia" w:hAnsiTheme="minorEastAsia" w:eastAsiaTheme="minorEastAsia" w:cstheme="minorEastAsia"/>
              <w:sz w:val="28"/>
              <w:szCs w:val="28"/>
            </w:rPr>
            <w:tab/>
          </w:r>
          <w:bookmarkStart w:id="22" w:name="_Toc3349_WPSOffice_Level2Page"/>
          <w:r>
            <w:rPr>
              <w:rFonts w:hint="eastAsia" w:asciiTheme="minorEastAsia" w:hAnsiTheme="minorEastAsia" w:eastAsiaTheme="minorEastAsia" w:cstheme="minorEastAsia"/>
              <w:sz w:val="28"/>
              <w:szCs w:val="28"/>
            </w:rPr>
            <w:t>29</w:t>
          </w:r>
          <w:bookmarkEnd w:id="22"/>
          <w:r>
            <w:rPr>
              <w:rFonts w:hint="eastAsia" w:asciiTheme="minorEastAsia" w:hAnsiTheme="minorEastAsia" w:eastAsiaTheme="minorEastAsia" w:cstheme="minorEastAsia"/>
              <w:sz w:val="28"/>
              <w:szCs w:val="28"/>
            </w:rPr>
            <w:fldChar w:fldCharType="end"/>
          </w:r>
        </w:p>
        <w:p>
          <w:pPr>
            <w:pStyle w:val="117"/>
            <w:tabs>
              <w:tab w:val="right" w:leader="dot" w:pos="9185"/>
            </w:tabs>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_Toc10474_WPSOffice_Level2 </w:instrText>
          </w:r>
          <w:r>
            <w:rPr>
              <w:rFonts w:hint="eastAsia" w:asciiTheme="minorEastAsia" w:hAnsiTheme="minorEastAsia" w:eastAsiaTheme="minorEastAsia" w:cstheme="minorEastAsia"/>
              <w:sz w:val="28"/>
              <w:szCs w:val="28"/>
            </w:rPr>
            <w:fldChar w:fldCharType="separate"/>
          </w:r>
          <w:sdt>
            <w:sdtPr>
              <w:rPr>
                <w:rFonts w:hint="eastAsia" w:asciiTheme="minorEastAsia" w:hAnsiTheme="minorEastAsia" w:eastAsiaTheme="minorEastAsia" w:cstheme="minorEastAsia"/>
                <w:sz w:val="28"/>
                <w:szCs w:val="28"/>
                <w:lang w:val="en-US" w:eastAsia="zh-CN" w:bidi="ar-SA"/>
              </w:rPr>
              <w:id w:val="147465841"/>
              <w:placeholder>
                <w:docPart w:val="{6683fd3a-80ef-4587-bc5c-c31fbb58f1f5}"/>
              </w:placeholder>
            </w:sdtPr>
            <w:sdtEndPr>
              <w:rPr>
                <w:rFonts w:hint="eastAsia" w:asciiTheme="minorEastAsia" w:hAnsiTheme="minorEastAsia" w:eastAsiaTheme="minorEastAsia" w:cstheme="minorEastAsia"/>
                <w:sz w:val="28"/>
                <w:szCs w:val="28"/>
                <w:lang w:val="en-US" w:eastAsia="zh-CN" w:bidi="ar-SA"/>
              </w:rPr>
            </w:sdtEndPr>
            <w:sdtContent>
              <w:r>
                <w:rPr>
                  <w:rFonts w:hint="eastAsia" w:asciiTheme="minorEastAsia" w:hAnsiTheme="minorEastAsia" w:eastAsiaTheme="minorEastAsia" w:cstheme="minorEastAsia"/>
                  <w:sz w:val="28"/>
                  <w:szCs w:val="28"/>
                </w:rPr>
                <w:t>3.2辨识与分析的方法</w:t>
              </w:r>
            </w:sdtContent>
          </w:sdt>
          <w:r>
            <w:rPr>
              <w:rFonts w:hint="eastAsia" w:asciiTheme="minorEastAsia" w:hAnsiTheme="minorEastAsia" w:eastAsiaTheme="minorEastAsia" w:cstheme="minorEastAsia"/>
              <w:sz w:val="28"/>
              <w:szCs w:val="28"/>
            </w:rPr>
            <w:tab/>
          </w:r>
          <w:bookmarkStart w:id="23" w:name="_Toc10474_WPSOffice_Level2Page"/>
          <w:r>
            <w:rPr>
              <w:rFonts w:hint="eastAsia" w:asciiTheme="minorEastAsia" w:hAnsiTheme="minorEastAsia" w:eastAsiaTheme="minorEastAsia" w:cstheme="minorEastAsia"/>
              <w:sz w:val="28"/>
              <w:szCs w:val="28"/>
            </w:rPr>
            <w:t>29</w:t>
          </w:r>
          <w:bookmarkEnd w:id="23"/>
          <w:r>
            <w:rPr>
              <w:rFonts w:hint="eastAsia" w:asciiTheme="minorEastAsia" w:hAnsiTheme="minorEastAsia" w:eastAsiaTheme="minorEastAsia" w:cstheme="minorEastAsia"/>
              <w:sz w:val="28"/>
              <w:szCs w:val="28"/>
            </w:rPr>
            <w:fldChar w:fldCharType="end"/>
          </w:r>
        </w:p>
        <w:p>
          <w:pPr>
            <w:pStyle w:val="117"/>
            <w:tabs>
              <w:tab w:val="right" w:leader="dot" w:pos="9185"/>
            </w:tabs>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_Toc13273_WPSOffice_Level2 </w:instrText>
          </w:r>
          <w:r>
            <w:rPr>
              <w:rFonts w:hint="eastAsia" w:asciiTheme="minorEastAsia" w:hAnsiTheme="minorEastAsia" w:eastAsiaTheme="minorEastAsia" w:cstheme="minorEastAsia"/>
              <w:sz w:val="28"/>
              <w:szCs w:val="28"/>
            </w:rPr>
            <w:fldChar w:fldCharType="separate"/>
          </w:r>
          <w:sdt>
            <w:sdtPr>
              <w:rPr>
                <w:rFonts w:hint="eastAsia" w:asciiTheme="minorEastAsia" w:hAnsiTheme="minorEastAsia" w:eastAsiaTheme="minorEastAsia" w:cstheme="minorEastAsia"/>
                <w:sz w:val="28"/>
                <w:szCs w:val="28"/>
                <w:lang w:val="en-US" w:eastAsia="zh-CN" w:bidi="ar-SA"/>
              </w:rPr>
              <w:id w:val="147475420"/>
              <w:placeholder>
                <w:docPart w:val="{c9ec67fc-9c4c-405c-9085-5ade7713463f}"/>
              </w:placeholder>
            </w:sdtPr>
            <w:sdtEndPr>
              <w:rPr>
                <w:rFonts w:hint="eastAsia" w:asciiTheme="minorEastAsia" w:hAnsiTheme="minorEastAsia" w:eastAsiaTheme="minorEastAsia" w:cstheme="minorEastAsia"/>
                <w:sz w:val="28"/>
                <w:szCs w:val="28"/>
                <w:lang w:val="en-US" w:eastAsia="zh-CN" w:bidi="ar-SA"/>
              </w:rPr>
            </w:sdtEndPr>
            <w:sdtContent>
              <w:r>
                <w:rPr>
                  <w:rFonts w:hint="eastAsia" w:asciiTheme="minorEastAsia" w:hAnsiTheme="minorEastAsia" w:eastAsiaTheme="minorEastAsia" w:cstheme="minorEastAsia"/>
                  <w:sz w:val="28"/>
                  <w:szCs w:val="28"/>
                </w:rPr>
                <w:t>3.3危险、有害因素产生的原因</w:t>
              </w:r>
            </w:sdtContent>
          </w:sdt>
          <w:r>
            <w:rPr>
              <w:rFonts w:hint="eastAsia" w:asciiTheme="minorEastAsia" w:hAnsiTheme="minorEastAsia" w:eastAsiaTheme="minorEastAsia" w:cstheme="minorEastAsia"/>
              <w:sz w:val="28"/>
              <w:szCs w:val="28"/>
            </w:rPr>
            <w:tab/>
          </w:r>
          <w:bookmarkStart w:id="24" w:name="_Toc13273_WPSOffice_Level2Page"/>
          <w:r>
            <w:rPr>
              <w:rFonts w:hint="eastAsia" w:asciiTheme="minorEastAsia" w:hAnsiTheme="minorEastAsia" w:eastAsiaTheme="minorEastAsia" w:cstheme="minorEastAsia"/>
              <w:sz w:val="28"/>
              <w:szCs w:val="28"/>
            </w:rPr>
            <w:t>30</w:t>
          </w:r>
          <w:bookmarkEnd w:id="24"/>
          <w:r>
            <w:rPr>
              <w:rFonts w:hint="eastAsia" w:asciiTheme="minorEastAsia" w:hAnsiTheme="minorEastAsia" w:eastAsiaTheme="minorEastAsia" w:cstheme="minorEastAsia"/>
              <w:sz w:val="28"/>
              <w:szCs w:val="28"/>
            </w:rPr>
            <w:fldChar w:fldCharType="end"/>
          </w:r>
        </w:p>
        <w:p>
          <w:pPr>
            <w:pStyle w:val="117"/>
            <w:tabs>
              <w:tab w:val="right" w:leader="dot" w:pos="9185"/>
            </w:tabs>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_Toc6099_WPSOffice_Level2 </w:instrText>
          </w:r>
          <w:r>
            <w:rPr>
              <w:rFonts w:hint="eastAsia" w:asciiTheme="minorEastAsia" w:hAnsiTheme="minorEastAsia" w:eastAsiaTheme="minorEastAsia" w:cstheme="minorEastAsia"/>
              <w:sz w:val="28"/>
              <w:szCs w:val="28"/>
            </w:rPr>
            <w:fldChar w:fldCharType="separate"/>
          </w:r>
          <w:sdt>
            <w:sdtPr>
              <w:rPr>
                <w:rFonts w:hint="eastAsia" w:asciiTheme="minorEastAsia" w:hAnsiTheme="minorEastAsia" w:eastAsiaTheme="minorEastAsia" w:cstheme="minorEastAsia"/>
                <w:sz w:val="28"/>
                <w:szCs w:val="28"/>
                <w:lang w:val="en-US" w:eastAsia="zh-CN" w:bidi="ar-SA"/>
              </w:rPr>
              <w:id w:val="147471265"/>
              <w:placeholder>
                <w:docPart w:val="{ac10cc88-b409-4eb5-a844-c796ec5ae73a}"/>
              </w:placeholder>
            </w:sdtPr>
            <w:sdtEndPr>
              <w:rPr>
                <w:rFonts w:hint="eastAsia" w:asciiTheme="minorEastAsia" w:hAnsiTheme="minorEastAsia" w:eastAsiaTheme="minorEastAsia" w:cstheme="minorEastAsia"/>
                <w:sz w:val="28"/>
                <w:szCs w:val="28"/>
                <w:lang w:val="en-US" w:eastAsia="zh-CN" w:bidi="ar-SA"/>
              </w:rPr>
            </w:sdtEndPr>
            <w:sdtContent>
              <w:r>
                <w:rPr>
                  <w:rFonts w:hint="eastAsia" w:asciiTheme="minorEastAsia" w:hAnsiTheme="minorEastAsia" w:eastAsiaTheme="minorEastAsia" w:cstheme="minorEastAsia"/>
                  <w:sz w:val="28"/>
                  <w:szCs w:val="28"/>
                </w:rPr>
                <w:t>3.4主要危险、有害物质辨识</w:t>
              </w:r>
            </w:sdtContent>
          </w:sdt>
          <w:r>
            <w:rPr>
              <w:rFonts w:hint="eastAsia" w:asciiTheme="minorEastAsia" w:hAnsiTheme="minorEastAsia" w:eastAsiaTheme="minorEastAsia" w:cstheme="minorEastAsia"/>
              <w:sz w:val="28"/>
              <w:szCs w:val="28"/>
            </w:rPr>
            <w:tab/>
          </w:r>
          <w:bookmarkStart w:id="25" w:name="_Toc6099_WPSOffice_Level2Page"/>
          <w:r>
            <w:rPr>
              <w:rFonts w:hint="eastAsia" w:asciiTheme="minorEastAsia" w:hAnsiTheme="minorEastAsia" w:eastAsiaTheme="minorEastAsia" w:cstheme="minorEastAsia"/>
              <w:sz w:val="28"/>
              <w:szCs w:val="28"/>
            </w:rPr>
            <w:t>31</w:t>
          </w:r>
          <w:bookmarkEnd w:id="25"/>
          <w:r>
            <w:rPr>
              <w:rFonts w:hint="eastAsia" w:asciiTheme="minorEastAsia" w:hAnsiTheme="minorEastAsia" w:eastAsiaTheme="minorEastAsia" w:cstheme="minorEastAsia"/>
              <w:sz w:val="28"/>
              <w:szCs w:val="28"/>
            </w:rPr>
            <w:fldChar w:fldCharType="end"/>
          </w:r>
        </w:p>
        <w:p>
          <w:pPr>
            <w:pStyle w:val="117"/>
            <w:tabs>
              <w:tab w:val="right" w:leader="dot" w:pos="9185"/>
            </w:tabs>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_Toc16905_WPSOffice_Level2 </w:instrText>
          </w:r>
          <w:r>
            <w:rPr>
              <w:rFonts w:hint="eastAsia" w:asciiTheme="minorEastAsia" w:hAnsiTheme="minorEastAsia" w:eastAsiaTheme="minorEastAsia" w:cstheme="minorEastAsia"/>
              <w:sz w:val="28"/>
              <w:szCs w:val="28"/>
            </w:rPr>
            <w:fldChar w:fldCharType="separate"/>
          </w:r>
          <w:sdt>
            <w:sdtPr>
              <w:rPr>
                <w:rFonts w:hint="eastAsia" w:asciiTheme="minorEastAsia" w:hAnsiTheme="minorEastAsia" w:eastAsiaTheme="minorEastAsia" w:cstheme="minorEastAsia"/>
                <w:sz w:val="28"/>
                <w:szCs w:val="28"/>
                <w:lang w:val="en-US" w:eastAsia="zh-CN" w:bidi="ar-SA"/>
              </w:rPr>
              <w:id w:val="147454133"/>
              <w:placeholder>
                <w:docPart w:val="{082c66a0-be07-42f5-b5b8-bc97a58fdfff}"/>
              </w:placeholder>
            </w:sdtPr>
            <w:sdtEndPr>
              <w:rPr>
                <w:rFonts w:hint="eastAsia" w:asciiTheme="minorEastAsia" w:hAnsiTheme="minorEastAsia" w:eastAsiaTheme="minorEastAsia" w:cstheme="minorEastAsia"/>
                <w:sz w:val="28"/>
                <w:szCs w:val="28"/>
                <w:lang w:val="en-US" w:eastAsia="zh-CN" w:bidi="ar-SA"/>
              </w:rPr>
            </w:sdtEndPr>
            <w:sdtContent>
              <w:r>
                <w:rPr>
                  <w:rFonts w:hint="eastAsia" w:asciiTheme="minorEastAsia" w:hAnsiTheme="minorEastAsia" w:eastAsiaTheme="minorEastAsia" w:cstheme="minorEastAsia"/>
                  <w:sz w:val="28"/>
                  <w:szCs w:val="28"/>
                </w:rPr>
                <w:t>3.5主要危险、有害因素分析</w:t>
              </w:r>
            </w:sdtContent>
          </w:sdt>
          <w:r>
            <w:rPr>
              <w:rFonts w:hint="eastAsia" w:asciiTheme="minorEastAsia" w:hAnsiTheme="minorEastAsia" w:eastAsiaTheme="minorEastAsia" w:cstheme="minorEastAsia"/>
              <w:sz w:val="28"/>
              <w:szCs w:val="28"/>
            </w:rPr>
            <w:tab/>
          </w:r>
          <w:bookmarkStart w:id="26" w:name="_Toc16905_WPSOffice_Level2Page"/>
          <w:r>
            <w:rPr>
              <w:rFonts w:hint="eastAsia" w:asciiTheme="minorEastAsia" w:hAnsiTheme="minorEastAsia" w:eastAsiaTheme="minorEastAsia" w:cstheme="minorEastAsia"/>
              <w:sz w:val="28"/>
              <w:szCs w:val="28"/>
            </w:rPr>
            <w:t>35</w:t>
          </w:r>
          <w:bookmarkEnd w:id="26"/>
          <w:r>
            <w:rPr>
              <w:rFonts w:hint="eastAsia" w:asciiTheme="minorEastAsia" w:hAnsiTheme="minorEastAsia" w:eastAsiaTheme="minorEastAsia" w:cstheme="minorEastAsia"/>
              <w:sz w:val="28"/>
              <w:szCs w:val="28"/>
            </w:rPr>
            <w:fldChar w:fldCharType="end"/>
          </w:r>
        </w:p>
        <w:p>
          <w:pPr>
            <w:pStyle w:val="117"/>
            <w:tabs>
              <w:tab w:val="right" w:leader="dot" w:pos="9185"/>
            </w:tabs>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_Toc22759_WPSOffice_Level2 </w:instrText>
          </w:r>
          <w:r>
            <w:rPr>
              <w:rFonts w:hint="eastAsia" w:asciiTheme="minorEastAsia" w:hAnsiTheme="minorEastAsia" w:eastAsiaTheme="minorEastAsia" w:cstheme="minorEastAsia"/>
              <w:sz w:val="28"/>
              <w:szCs w:val="28"/>
            </w:rPr>
            <w:fldChar w:fldCharType="separate"/>
          </w:r>
          <w:sdt>
            <w:sdtPr>
              <w:rPr>
                <w:rFonts w:hint="eastAsia" w:asciiTheme="minorEastAsia" w:hAnsiTheme="minorEastAsia" w:eastAsiaTheme="minorEastAsia" w:cstheme="minorEastAsia"/>
                <w:sz w:val="28"/>
                <w:szCs w:val="28"/>
                <w:lang w:val="en-US" w:eastAsia="zh-CN" w:bidi="ar-SA"/>
              </w:rPr>
              <w:id w:val="147476702"/>
              <w:placeholder>
                <w:docPart w:val="{b9aee985-835c-4563-8ddd-65d60a9f9472}"/>
              </w:placeholder>
            </w:sdtPr>
            <w:sdtEndPr>
              <w:rPr>
                <w:rFonts w:hint="eastAsia" w:asciiTheme="minorEastAsia" w:hAnsiTheme="minorEastAsia" w:eastAsiaTheme="minorEastAsia" w:cstheme="minorEastAsia"/>
                <w:sz w:val="28"/>
                <w:szCs w:val="28"/>
                <w:lang w:val="en-US" w:eastAsia="zh-CN" w:bidi="ar-SA"/>
              </w:rPr>
            </w:sdtEndPr>
            <w:sdtContent>
              <w:r>
                <w:rPr>
                  <w:rFonts w:hint="eastAsia" w:asciiTheme="minorEastAsia" w:hAnsiTheme="minorEastAsia" w:eastAsiaTheme="minorEastAsia" w:cstheme="minorEastAsia"/>
                  <w:sz w:val="28"/>
                  <w:szCs w:val="28"/>
                </w:rPr>
                <w:t>3.6爆炸危险区划分</w:t>
              </w:r>
            </w:sdtContent>
          </w:sdt>
          <w:r>
            <w:rPr>
              <w:rFonts w:hint="eastAsia" w:asciiTheme="minorEastAsia" w:hAnsiTheme="minorEastAsia" w:eastAsiaTheme="minorEastAsia" w:cstheme="minorEastAsia"/>
              <w:sz w:val="28"/>
              <w:szCs w:val="28"/>
            </w:rPr>
            <w:tab/>
          </w:r>
          <w:bookmarkStart w:id="27" w:name="_Toc22759_WPSOffice_Level2Page"/>
          <w:r>
            <w:rPr>
              <w:rFonts w:hint="eastAsia" w:asciiTheme="minorEastAsia" w:hAnsiTheme="minorEastAsia" w:eastAsiaTheme="minorEastAsia" w:cstheme="minorEastAsia"/>
              <w:sz w:val="28"/>
              <w:szCs w:val="28"/>
            </w:rPr>
            <w:t>53</w:t>
          </w:r>
          <w:bookmarkEnd w:id="27"/>
          <w:r>
            <w:rPr>
              <w:rFonts w:hint="eastAsia" w:asciiTheme="minorEastAsia" w:hAnsiTheme="minorEastAsia" w:eastAsiaTheme="minorEastAsia" w:cstheme="minorEastAsia"/>
              <w:sz w:val="28"/>
              <w:szCs w:val="28"/>
            </w:rPr>
            <w:fldChar w:fldCharType="end"/>
          </w:r>
        </w:p>
        <w:p>
          <w:pPr>
            <w:pStyle w:val="117"/>
            <w:tabs>
              <w:tab w:val="right" w:leader="dot" w:pos="9185"/>
            </w:tabs>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_Toc19451_WPSOffice_Level2 </w:instrText>
          </w:r>
          <w:r>
            <w:rPr>
              <w:rFonts w:hint="eastAsia" w:asciiTheme="minorEastAsia" w:hAnsiTheme="minorEastAsia" w:eastAsiaTheme="minorEastAsia" w:cstheme="minorEastAsia"/>
              <w:sz w:val="28"/>
              <w:szCs w:val="28"/>
            </w:rPr>
            <w:fldChar w:fldCharType="separate"/>
          </w:r>
          <w:sdt>
            <w:sdtPr>
              <w:rPr>
                <w:rFonts w:hint="eastAsia" w:asciiTheme="minorEastAsia" w:hAnsiTheme="minorEastAsia" w:eastAsiaTheme="minorEastAsia" w:cstheme="minorEastAsia"/>
                <w:sz w:val="28"/>
                <w:szCs w:val="28"/>
                <w:lang w:val="en-US" w:eastAsia="zh-CN" w:bidi="ar-SA"/>
              </w:rPr>
              <w:id w:val="147471494"/>
              <w:placeholder>
                <w:docPart w:val="{9f7ec017-637a-452b-ba39-5c5edd5caa0e}"/>
              </w:placeholder>
            </w:sdtPr>
            <w:sdtEndPr>
              <w:rPr>
                <w:rFonts w:hint="eastAsia" w:asciiTheme="minorEastAsia" w:hAnsiTheme="minorEastAsia" w:eastAsiaTheme="minorEastAsia" w:cstheme="minorEastAsia"/>
                <w:sz w:val="28"/>
                <w:szCs w:val="28"/>
                <w:lang w:val="en-US" w:eastAsia="zh-CN" w:bidi="ar-SA"/>
              </w:rPr>
            </w:sdtEndPr>
            <w:sdtContent>
              <w:r>
                <w:rPr>
                  <w:rFonts w:hint="eastAsia" w:asciiTheme="minorEastAsia" w:hAnsiTheme="minorEastAsia" w:eastAsiaTheme="minorEastAsia" w:cstheme="minorEastAsia"/>
                  <w:sz w:val="28"/>
                  <w:szCs w:val="28"/>
                </w:rPr>
                <w:t>3.7主要危险、有害因素汇总</w:t>
              </w:r>
            </w:sdtContent>
          </w:sdt>
          <w:r>
            <w:rPr>
              <w:rFonts w:hint="eastAsia" w:asciiTheme="minorEastAsia" w:hAnsiTheme="minorEastAsia" w:eastAsiaTheme="minorEastAsia" w:cstheme="minorEastAsia"/>
              <w:sz w:val="28"/>
              <w:szCs w:val="28"/>
            </w:rPr>
            <w:tab/>
          </w:r>
          <w:bookmarkStart w:id="28" w:name="_Toc19451_WPSOffice_Level2Page"/>
          <w:r>
            <w:rPr>
              <w:rFonts w:hint="eastAsia" w:asciiTheme="minorEastAsia" w:hAnsiTheme="minorEastAsia" w:eastAsiaTheme="minorEastAsia" w:cstheme="minorEastAsia"/>
              <w:sz w:val="28"/>
              <w:szCs w:val="28"/>
            </w:rPr>
            <w:t>54</w:t>
          </w:r>
          <w:bookmarkEnd w:id="28"/>
          <w:r>
            <w:rPr>
              <w:rFonts w:hint="eastAsia" w:asciiTheme="minorEastAsia" w:hAnsiTheme="minorEastAsia" w:eastAsiaTheme="minorEastAsia" w:cstheme="minorEastAsia"/>
              <w:sz w:val="28"/>
              <w:szCs w:val="28"/>
            </w:rPr>
            <w:fldChar w:fldCharType="end"/>
          </w:r>
        </w:p>
        <w:p>
          <w:pPr>
            <w:pStyle w:val="117"/>
            <w:tabs>
              <w:tab w:val="right" w:leader="dot" w:pos="9185"/>
            </w:tabs>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_Toc8995_WPSOffice_Level2 </w:instrText>
          </w:r>
          <w:r>
            <w:rPr>
              <w:rFonts w:hint="eastAsia" w:asciiTheme="minorEastAsia" w:hAnsiTheme="minorEastAsia" w:eastAsiaTheme="minorEastAsia" w:cstheme="minorEastAsia"/>
              <w:sz w:val="28"/>
              <w:szCs w:val="28"/>
            </w:rPr>
            <w:fldChar w:fldCharType="separate"/>
          </w:r>
          <w:sdt>
            <w:sdtPr>
              <w:rPr>
                <w:rFonts w:hint="eastAsia" w:asciiTheme="minorEastAsia" w:hAnsiTheme="minorEastAsia" w:eastAsiaTheme="minorEastAsia" w:cstheme="minorEastAsia"/>
                <w:sz w:val="28"/>
                <w:szCs w:val="28"/>
                <w:lang w:val="en-US" w:eastAsia="zh-CN" w:bidi="ar-SA"/>
              </w:rPr>
              <w:id w:val="147453493"/>
              <w:placeholder>
                <w:docPart w:val="{fb6392b1-3530-499e-810e-01f5f660e174}"/>
              </w:placeholder>
            </w:sdtPr>
            <w:sdtEndPr>
              <w:rPr>
                <w:rFonts w:hint="eastAsia" w:asciiTheme="minorEastAsia" w:hAnsiTheme="minorEastAsia" w:eastAsiaTheme="minorEastAsia" w:cstheme="minorEastAsia"/>
                <w:sz w:val="28"/>
                <w:szCs w:val="28"/>
                <w:lang w:val="en-US" w:eastAsia="zh-CN" w:bidi="ar-SA"/>
              </w:rPr>
            </w:sdtEndPr>
            <w:sdtContent>
              <w:r>
                <w:rPr>
                  <w:rFonts w:hint="eastAsia" w:asciiTheme="minorEastAsia" w:hAnsiTheme="minorEastAsia" w:eastAsiaTheme="minorEastAsia" w:cstheme="minorEastAsia"/>
                  <w:sz w:val="28"/>
                  <w:szCs w:val="28"/>
                </w:rPr>
                <w:t>3.8危险化学品重大危险源辨识</w:t>
              </w:r>
            </w:sdtContent>
          </w:sdt>
          <w:r>
            <w:rPr>
              <w:rFonts w:hint="eastAsia" w:asciiTheme="minorEastAsia" w:hAnsiTheme="minorEastAsia" w:eastAsiaTheme="minorEastAsia" w:cstheme="minorEastAsia"/>
              <w:sz w:val="28"/>
              <w:szCs w:val="28"/>
            </w:rPr>
            <w:tab/>
          </w:r>
          <w:bookmarkStart w:id="29" w:name="_Toc8995_WPSOffice_Level2Page"/>
          <w:r>
            <w:rPr>
              <w:rFonts w:hint="eastAsia" w:asciiTheme="minorEastAsia" w:hAnsiTheme="minorEastAsia" w:eastAsiaTheme="minorEastAsia" w:cstheme="minorEastAsia"/>
              <w:sz w:val="28"/>
              <w:szCs w:val="28"/>
            </w:rPr>
            <w:t>54</w:t>
          </w:r>
          <w:bookmarkEnd w:id="29"/>
          <w:r>
            <w:rPr>
              <w:rFonts w:hint="eastAsia" w:asciiTheme="minorEastAsia" w:hAnsiTheme="minorEastAsia" w:eastAsiaTheme="minorEastAsia" w:cstheme="minorEastAsia"/>
              <w:sz w:val="28"/>
              <w:szCs w:val="28"/>
            </w:rPr>
            <w:fldChar w:fldCharType="end"/>
          </w:r>
        </w:p>
        <w:p>
          <w:pPr>
            <w:pStyle w:val="117"/>
            <w:tabs>
              <w:tab w:val="right" w:leader="dot" w:pos="9185"/>
            </w:tabs>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_Toc17971_WPSOffice_Level2 </w:instrText>
          </w:r>
          <w:r>
            <w:rPr>
              <w:rFonts w:hint="eastAsia" w:asciiTheme="minorEastAsia" w:hAnsiTheme="minorEastAsia" w:eastAsiaTheme="minorEastAsia" w:cstheme="minorEastAsia"/>
              <w:sz w:val="28"/>
              <w:szCs w:val="28"/>
            </w:rPr>
            <w:fldChar w:fldCharType="separate"/>
          </w:r>
          <w:sdt>
            <w:sdtPr>
              <w:rPr>
                <w:rFonts w:hint="eastAsia" w:asciiTheme="minorEastAsia" w:hAnsiTheme="minorEastAsia" w:eastAsiaTheme="minorEastAsia" w:cstheme="minorEastAsia"/>
                <w:sz w:val="28"/>
                <w:szCs w:val="28"/>
                <w:lang w:val="en-US" w:eastAsia="zh-CN" w:bidi="ar-SA"/>
              </w:rPr>
              <w:id w:val="147458051"/>
              <w:placeholder>
                <w:docPart w:val="{5f0308c8-94d2-4b41-9685-3a493aac1cc8}"/>
              </w:placeholder>
            </w:sdtPr>
            <w:sdtEndPr>
              <w:rPr>
                <w:rFonts w:hint="eastAsia" w:asciiTheme="minorEastAsia" w:hAnsiTheme="minorEastAsia" w:eastAsiaTheme="minorEastAsia" w:cstheme="minorEastAsia"/>
                <w:sz w:val="28"/>
                <w:szCs w:val="28"/>
                <w:lang w:val="en-US" w:eastAsia="zh-CN" w:bidi="ar-SA"/>
              </w:rPr>
            </w:sdtEndPr>
            <w:sdtContent>
              <w:r>
                <w:rPr>
                  <w:rFonts w:hint="eastAsia" w:asciiTheme="minorEastAsia" w:hAnsiTheme="minorEastAsia" w:eastAsiaTheme="minorEastAsia" w:cstheme="minorEastAsia"/>
                  <w:sz w:val="28"/>
                  <w:szCs w:val="28"/>
                </w:rPr>
                <w:t>3.9事故案例分析</w:t>
              </w:r>
            </w:sdtContent>
          </w:sdt>
          <w:r>
            <w:rPr>
              <w:rFonts w:hint="eastAsia" w:asciiTheme="minorEastAsia" w:hAnsiTheme="minorEastAsia" w:eastAsiaTheme="minorEastAsia" w:cstheme="minorEastAsia"/>
              <w:sz w:val="28"/>
              <w:szCs w:val="28"/>
            </w:rPr>
            <w:tab/>
          </w:r>
          <w:bookmarkStart w:id="30" w:name="_Toc17971_WPSOffice_Level2Page"/>
          <w:r>
            <w:rPr>
              <w:rFonts w:hint="eastAsia" w:asciiTheme="minorEastAsia" w:hAnsiTheme="minorEastAsia" w:eastAsiaTheme="minorEastAsia" w:cstheme="minorEastAsia"/>
              <w:sz w:val="28"/>
              <w:szCs w:val="28"/>
            </w:rPr>
            <w:t>56</w:t>
          </w:r>
          <w:bookmarkEnd w:id="30"/>
          <w:r>
            <w:rPr>
              <w:rFonts w:hint="eastAsia" w:asciiTheme="minorEastAsia" w:hAnsiTheme="minorEastAsia" w:eastAsiaTheme="minorEastAsia" w:cstheme="minorEastAsia"/>
              <w:sz w:val="28"/>
              <w:szCs w:val="28"/>
            </w:rPr>
            <w:fldChar w:fldCharType="end"/>
          </w:r>
        </w:p>
        <w:p>
          <w:pPr>
            <w:pStyle w:val="116"/>
            <w:tabs>
              <w:tab w:val="right" w:leader="dot" w:pos="9185"/>
            </w:tabs>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fldChar w:fldCharType="begin"/>
          </w:r>
          <w:r>
            <w:rPr>
              <w:rFonts w:hint="eastAsia" w:asciiTheme="minorEastAsia" w:hAnsiTheme="minorEastAsia" w:eastAsiaTheme="minorEastAsia" w:cstheme="minorEastAsia"/>
              <w:sz w:val="28"/>
              <w:szCs w:val="28"/>
            </w:rPr>
            <w:instrText xml:space="preserve"> HYPERLINK \l _Toc13273_WPSOffice_Level1 </w:instrText>
          </w:r>
          <w:r>
            <w:rPr>
              <w:rFonts w:hint="eastAsia" w:asciiTheme="minorEastAsia" w:hAnsiTheme="minorEastAsia" w:eastAsiaTheme="minorEastAsia" w:cstheme="minorEastAsia"/>
              <w:b/>
              <w:bCs/>
              <w:sz w:val="28"/>
              <w:szCs w:val="28"/>
            </w:rPr>
            <w:fldChar w:fldCharType="separate"/>
          </w:r>
          <w:sdt>
            <w:sdtPr>
              <w:rPr>
                <w:rFonts w:hint="eastAsia" w:asciiTheme="minorEastAsia" w:hAnsiTheme="minorEastAsia" w:eastAsiaTheme="minorEastAsia" w:cstheme="minorEastAsia"/>
                <w:b/>
                <w:bCs/>
                <w:sz w:val="28"/>
                <w:szCs w:val="28"/>
                <w:lang w:val="en-US" w:eastAsia="zh-CN" w:bidi="ar-SA"/>
              </w:rPr>
              <w:id w:val="147470232"/>
              <w:placeholder>
                <w:docPart w:val="{ad5bc4e9-070d-412c-810b-f2e0ba23d6c7}"/>
              </w:placeholder>
            </w:sdtPr>
            <w:sdtEndPr>
              <w:rPr>
                <w:rFonts w:hint="eastAsia" w:asciiTheme="minorEastAsia" w:hAnsiTheme="minorEastAsia" w:eastAsiaTheme="minorEastAsia" w:cstheme="minorEastAsia"/>
                <w:b/>
                <w:bCs/>
                <w:sz w:val="28"/>
                <w:szCs w:val="28"/>
                <w:lang w:val="en-US" w:eastAsia="zh-CN" w:bidi="ar-SA"/>
              </w:rPr>
            </w:sdtEndPr>
            <w:sdtContent>
              <w:r>
                <w:rPr>
                  <w:rFonts w:hint="eastAsia" w:asciiTheme="minorEastAsia" w:hAnsiTheme="minorEastAsia" w:eastAsiaTheme="minorEastAsia" w:cstheme="minorEastAsia"/>
                  <w:b/>
                  <w:bCs/>
                  <w:sz w:val="28"/>
                  <w:szCs w:val="28"/>
                </w:rPr>
                <w:t>第4章评价单元的划分和评价方法的选择</w:t>
              </w:r>
            </w:sdtContent>
          </w:sdt>
          <w:r>
            <w:rPr>
              <w:rFonts w:hint="eastAsia" w:asciiTheme="minorEastAsia" w:hAnsiTheme="minorEastAsia" w:eastAsiaTheme="minorEastAsia" w:cstheme="minorEastAsia"/>
              <w:b/>
              <w:bCs/>
              <w:sz w:val="28"/>
              <w:szCs w:val="28"/>
            </w:rPr>
            <w:tab/>
          </w:r>
          <w:bookmarkStart w:id="31" w:name="_Toc13273_WPSOffice_Level1Page"/>
          <w:r>
            <w:rPr>
              <w:rFonts w:hint="eastAsia" w:asciiTheme="minorEastAsia" w:hAnsiTheme="minorEastAsia" w:eastAsiaTheme="minorEastAsia" w:cstheme="minorEastAsia"/>
              <w:b/>
              <w:bCs/>
              <w:sz w:val="28"/>
              <w:szCs w:val="28"/>
            </w:rPr>
            <w:t>60</w:t>
          </w:r>
          <w:bookmarkEnd w:id="31"/>
          <w:r>
            <w:rPr>
              <w:rFonts w:hint="eastAsia" w:asciiTheme="minorEastAsia" w:hAnsiTheme="minorEastAsia" w:eastAsiaTheme="minorEastAsia" w:cstheme="minorEastAsia"/>
              <w:b/>
              <w:bCs/>
              <w:sz w:val="28"/>
              <w:szCs w:val="28"/>
            </w:rPr>
            <w:fldChar w:fldCharType="end"/>
          </w:r>
        </w:p>
        <w:p>
          <w:pPr>
            <w:pStyle w:val="117"/>
            <w:tabs>
              <w:tab w:val="right" w:leader="dot" w:pos="9185"/>
            </w:tabs>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_Toc30300_WPSOffice_Level2 </w:instrText>
          </w:r>
          <w:r>
            <w:rPr>
              <w:rFonts w:hint="eastAsia" w:asciiTheme="minorEastAsia" w:hAnsiTheme="minorEastAsia" w:eastAsiaTheme="minorEastAsia" w:cstheme="minorEastAsia"/>
              <w:sz w:val="28"/>
              <w:szCs w:val="28"/>
            </w:rPr>
            <w:fldChar w:fldCharType="separate"/>
          </w:r>
          <w:sdt>
            <w:sdtPr>
              <w:rPr>
                <w:rFonts w:hint="eastAsia" w:asciiTheme="minorEastAsia" w:hAnsiTheme="minorEastAsia" w:eastAsiaTheme="minorEastAsia" w:cstheme="minorEastAsia"/>
                <w:sz w:val="28"/>
                <w:szCs w:val="28"/>
                <w:lang w:val="en-US" w:eastAsia="zh-CN" w:bidi="ar-SA"/>
              </w:rPr>
              <w:id w:val="147477806"/>
              <w:placeholder>
                <w:docPart w:val="{255db29f-0fda-4636-b5a4-6c35088fcac1}"/>
              </w:placeholder>
            </w:sdtPr>
            <w:sdtEndPr>
              <w:rPr>
                <w:rFonts w:hint="eastAsia" w:asciiTheme="minorEastAsia" w:hAnsiTheme="minorEastAsia" w:eastAsiaTheme="minorEastAsia" w:cstheme="minorEastAsia"/>
                <w:sz w:val="28"/>
                <w:szCs w:val="28"/>
                <w:lang w:val="en-US" w:eastAsia="zh-CN" w:bidi="ar-SA"/>
              </w:rPr>
            </w:sdtEndPr>
            <w:sdtContent>
              <w:r>
                <w:rPr>
                  <w:rFonts w:hint="eastAsia" w:asciiTheme="minorEastAsia" w:hAnsiTheme="minorEastAsia" w:eastAsiaTheme="minorEastAsia" w:cstheme="minorEastAsia"/>
                  <w:sz w:val="28"/>
                  <w:szCs w:val="28"/>
                </w:rPr>
                <w:t>4.1评价单元划分</w:t>
              </w:r>
            </w:sdtContent>
          </w:sdt>
          <w:r>
            <w:rPr>
              <w:rFonts w:hint="eastAsia" w:asciiTheme="minorEastAsia" w:hAnsiTheme="minorEastAsia" w:eastAsiaTheme="minorEastAsia" w:cstheme="minorEastAsia"/>
              <w:sz w:val="28"/>
              <w:szCs w:val="28"/>
            </w:rPr>
            <w:tab/>
          </w:r>
          <w:bookmarkStart w:id="32" w:name="_Toc30300_WPSOffice_Level2Page"/>
          <w:r>
            <w:rPr>
              <w:rFonts w:hint="eastAsia" w:asciiTheme="minorEastAsia" w:hAnsiTheme="minorEastAsia" w:eastAsiaTheme="minorEastAsia" w:cstheme="minorEastAsia"/>
              <w:sz w:val="28"/>
              <w:szCs w:val="28"/>
            </w:rPr>
            <w:t>60</w:t>
          </w:r>
          <w:bookmarkEnd w:id="32"/>
          <w:r>
            <w:rPr>
              <w:rFonts w:hint="eastAsia" w:asciiTheme="minorEastAsia" w:hAnsiTheme="minorEastAsia" w:eastAsiaTheme="minorEastAsia" w:cstheme="minorEastAsia"/>
              <w:sz w:val="28"/>
              <w:szCs w:val="28"/>
            </w:rPr>
            <w:fldChar w:fldCharType="end"/>
          </w:r>
        </w:p>
        <w:p>
          <w:pPr>
            <w:pStyle w:val="117"/>
            <w:tabs>
              <w:tab w:val="right" w:leader="dot" w:pos="9185"/>
            </w:tabs>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_Toc8455_WPSOffice_Level2 </w:instrText>
          </w:r>
          <w:r>
            <w:rPr>
              <w:rFonts w:hint="eastAsia" w:asciiTheme="minorEastAsia" w:hAnsiTheme="minorEastAsia" w:eastAsiaTheme="minorEastAsia" w:cstheme="minorEastAsia"/>
              <w:sz w:val="28"/>
              <w:szCs w:val="28"/>
            </w:rPr>
            <w:fldChar w:fldCharType="separate"/>
          </w:r>
          <w:sdt>
            <w:sdtPr>
              <w:rPr>
                <w:rFonts w:hint="eastAsia" w:asciiTheme="minorEastAsia" w:hAnsiTheme="minorEastAsia" w:eastAsiaTheme="minorEastAsia" w:cstheme="minorEastAsia"/>
                <w:sz w:val="28"/>
                <w:szCs w:val="28"/>
                <w:lang w:val="en-US" w:eastAsia="zh-CN" w:bidi="ar-SA"/>
              </w:rPr>
              <w:id w:val="147465600"/>
              <w:placeholder>
                <w:docPart w:val="{b4d1dced-0f70-4148-a997-c55d9cb40a11}"/>
              </w:placeholder>
            </w:sdtPr>
            <w:sdtEndPr>
              <w:rPr>
                <w:rFonts w:hint="eastAsia" w:asciiTheme="minorEastAsia" w:hAnsiTheme="minorEastAsia" w:eastAsiaTheme="minorEastAsia" w:cstheme="minorEastAsia"/>
                <w:sz w:val="28"/>
                <w:szCs w:val="28"/>
                <w:lang w:val="en-US" w:eastAsia="zh-CN" w:bidi="ar-SA"/>
              </w:rPr>
            </w:sdtEndPr>
            <w:sdtContent>
              <w:r>
                <w:rPr>
                  <w:rFonts w:hint="eastAsia" w:asciiTheme="minorEastAsia" w:hAnsiTheme="minorEastAsia" w:eastAsiaTheme="minorEastAsia" w:cstheme="minorEastAsia"/>
                  <w:sz w:val="28"/>
                  <w:szCs w:val="28"/>
                </w:rPr>
                <w:t>4.2评价方法的选择</w:t>
              </w:r>
            </w:sdtContent>
          </w:sdt>
          <w:r>
            <w:rPr>
              <w:rFonts w:hint="eastAsia" w:asciiTheme="minorEastAsia" w:hAnsiTheme="minorEastAsia" w:eastAsiaTheme="minorEastAsia" w:cstheme="minorEastAsia"/>
              <w:sz w:val="28"/>
              <w:szCs w:val="28"/>
            </w:rPr>
            <w:tab/>
          </w:r>
          <w:bookmarkStart w:id="33" w:name="_Toc8455_WPSOffice_Level2Page"/>
          <w:r>
            <w:rPr>
              <w:rFonts w:hint="eastAsia" w:asciiTheme="minorEastAsia" w:hAnsiTheme="minorEastAsia" w:eastAsiaTheme="minorEastAsia" w:cstheme="minorEastAsia"/>
              <w:sz w:val="28"/>
              <w:szCs w:val="28"/>
            </w:rPr>
            <w:t>61</w:t>
          </w:r>
          <w:bookmarkEnd w:id="33"/>
          <w:r>
            <w:rPr>
              <w:rFonts w:hint="eastAsia" w:asciiTheme="minorEastAsia" w:hAnsiTheme="minorEastAsia" w:eastAsiaTheme="minorEastAsia" w:cstheme="minorEastAsia"/>
              <w:sz w:val="28"/>
              <w:szCs w:val="28"/>
            </w:rPr>
            <w:fldChar w:fldCharType="end"/>
          </w:r>
        </w:p>
        <w:p>
          <w:pPr>
            <w:pStyle w:val="117"/>
            <w:tabs>
              <w:tab w:val="right" w:leader="dot" w:pos="9185"/>
            </w:tabs>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_Toc6654_WPSOffice_Level2 </w:instrText>
          </w:r>
          <w:r>
            <w:rPr>
              <w:rFonts w:hint="eastAsia" w:asciiTheme="minorEastAsia" w:hAnsiTheme="minorEastAsia" w:eastAsiaTheme="minorEastAsia" w:cstheme="minorEastAsia"/>
              <w:sz w:val="28"/>
              <w:szCs w:val="28"/>
            </w:rPr>
            <w:fldChar w:fldCharType="separate"/>
          </w:r>
          <w:sdt>
            <w:sdtPr>
              <w:rPr>
                <w:rFonts w:hint="eastAsia" w:asciiTheme="minorEastAsia" w:hAnsiTheme="minorEastAsia" w:eastAsiaTheme="minorEastAsia" w:cstheme="minorEastAsia"/>
                <w:sz w:val="28"/>
                <w:szCs w:val="28"/>
                <w:lang w:val="en-US" w:eastAsia="zh-CN" w:bidi="ar-SA"/>
              </w:rPr>
              <w:id w:val="147451679"/>
              <w:placeholder>
                <w:docPart w:val="{5b8cac26-60df-470d-86fe-e8f114f66c1b}"/>
              </w:placeholder>
            </w:sdtPr>
            <w:sdtEndPr>
              <w:rPr>
                <w:rFonts w:hint="eastAsia" w:asciiTheme="minorEastAsia" w:hAnsiTheme="minorEastAsia" w:eastAsiaTheme="minorEastAsia" w:cstheme="minorEastAsia"/>
                <w:sz w:val="28"/>
                <w:szCs w:val="28"/>
                <w:lang w:val="en-US" w:eastAsia="zh-CN" w:bidi="ar-SA"/>
              </w:rPr>
            </w:sdtEndPr>
            <w:sdtContent>
              <w:r>
                <w:rPr>
                  <w:rFonts w:hint="eastAsia" w:asciiTheme="minorEastAsia" w:hAnsiTheme="minorEastAsia" w:eastAsiaTheme="minorEastAsia" w:cstheme="minorEastAsia"/>
                  <w:sz w:val="28"/>
                  <w:szCs w:val="28"/>
                </w:rPr>
                <w:t>4.3安全评价方法简介</w:t>
              </w:r>
            </w:sdtContent>
          </w:sdt>
          <w:r>
            <w:rPr>
              <w:rFonts w:hint="eastAsia" w:asciiTheme="minorEastAsia" w:hAnsiTheme="minorEastAsia" w:eastAsiaTheme="minorEastAsia" w:cstheme="minorEastAsia"/>
              <w:sz w:val="28"/>
              <w:szCs w:val="28"/>
            </w:rPr>
            <w:tab/>
          </w:r>
          <w:bookmarkStart w:id="34" w:name="_Toc6654_WPSOffice_Level2Page"/>
          <w:r>
            <w:rPr>
              <w:rFonts w:hint="eastAsia" w:asciiTheme="minorEastAsia" w:hAnsiTheme="minorEastAsia" w:eastAsiaTheme="minorEastAsia" w:cstheme="minorEastAsia"/>
              <w:sz w:val="28"/>
              <w:szCs w:val="28"/>
            </w:rPr>
            <w:t>61</w:t>
          </w:r>
          <w:bookmarkEnd w:id="34"/>
          <w:r>
            <w:rPr>
              <w:rFonts w:hint="eastAsia" w:asciiTheme="minorEastAsia" w:hAnsiTheme="minorEastAsia" w:eastAsiaTheme="minorEastAsia" w:cstheme="minorEastAsia"/>
              <w:sz w:val="28"/>
              <w:szCs w:val="28"/>
            </w:rPr>
            <w:fldChar w:fldCharType="end"/>
          </w:r>
        </w:p>
        <w:p>
          <w:pPr>
            <w:pStyle w:val="116"/>
            <w:tabs>
              <w:tab w:val="right" w:leader="dot" w:pos="9185"/>
            </w:tabs>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fldChar w:fldCharType="begin"/>
          </w:r>
          <w:r>
            <w:rPr>
              <w:rFonts w:hint="eastAsia" w:asciiTheme="minorEastAsia" w:hAnsiTheme="minorEastAsia" w:eastAsiaTheme="minorEastAsia" w:cstheme="minorEastAsia"/>
              <w:sz w:val="28"/>
              <w:szCs w:val="28"/>
            </w:rPr>
            <w:instrText xml:space="preserve"> HYPERLINK \l _Toc6099_WPSOffice_Level1 </w:instrText>
          </w:r>
          <w:r>
            <w:rPr>
              <w:rFonts w:hint="eastAsia" w:asciiTheme="minorEastAsia" w:hAnsiTheme="minorEastAsia" w:eastAsiaTheme="minorEastAsia" w:cstheme="minorEastAsia"/>
              <w:b/>
              <w:bCs/>
              <w:sz w:val="28"/>
              <w:szCs w:val="28"/>
            </w:rPr>
            <w:fldChar w:fldCharType="separate"/>
          </w:r>
          <w:sdt>
            <w:sdtPr>
              <w:rPr>
                <w:rFonts w:hint="eastAsia" w:asciiTheme="minorEastAsia" w:hAnsiTheme="minorEastAsia" w:eastAsiaTheme="minorEastAsia" w:cstheme="minorEastAsia"/>
                <w:b/>
                <w:bCs/>
                <w:sz w:val="28"/>
                <w:szCs w:val="28"/>
                <w:lang w:val="en-US" w:eastAsia="zh-CN" w:bidi="ar-SA"/>
              </w:rPr>
              <w:id w:val="147456270"/>
              <w:placeholder>
                <w:docPart w:val="{9262c514-66ec-47f1-b44c-4239c07fc980}"/>
              </w:placeholder>
            </w:sdtPr>
            <w:sdtEndPr>
              <w:rPr>
                <w:rFonts w:hint="eastAsia" w:asciiTheme="minorEastAsia" w:hAnsiTheme="minorEastAsia" w:eastAsiaTheme="minorEastAsia" w:cstheme="minorEastAsia"/>
                <w:b/>
                <w:bCs/>
                <w:sz w:val="28"/>
                <w:szCs w:val="28"/>
                <w:lang w:val="en-US" w:eastAsia="zh-CN" w:bidi="ar-SA"/>
              </w:rPr>
            </w:sdtEndPr>
            <w:sdtContent>
              <w:r>
                <w:rPr>
                  <w:rFonts w:hint="eastAsia" w:asciiTheme="minorEastAsia" w:hAnsiTheme="minorEastAsia" w:eastAsiaTheme="minorEastAsia" w:cstheme="minorEastAsia"/>
                  <w:b/>
                  <w:bCs/>
                  <w:sz w:val="28"/>
                  <w:szCs w:val="28"/>
                </w:rPr>
                <w:t>第5章 定性、定量分析评价</w:t>
              </w:r>
            </w:sdtContent>
          </w:sdt>
          <w:r>
            <w:rPr>
              <w:rFonts w:hint="eastAsia" w:asciiTheme="minorEastAsia" w:hAnsiTheme="minorEastAsia" w:eastAsiaTheme="minorEastAsia" w:cstheme="minorEastAsia"/>
              <w:b/>
              <w:bCs/>
              <w:sz w:val="28"/>
              <w:szCs w:val="28"/>
            </w:rPr>
            <w:tab/>
          </w:r>
          <w:bookmarkStart w:id="35" w:name="_Toc6099_WPSOffice_Level1Page"/>
          <w:r>
            <w:rPr>
              <w:rFonts w:hint="eastAsia" w:asciiTheme="minorEastAsia" w:hAnsiTheme="minorEastAsia" w:eastAsiaTheme="minorEastAsia" w:cstheme="minorEastAsia"/>
              <w:b/>
              <w:bCs/>
              <w:sz w:val="28"/>
              <w:szCs w:val="28"/>
            </w:rPr>
            <w:t>68</w:t>
          </w:r>
          <w:bookmarkEnd w:id="35"/>
          <w:r>
            <w:rPr>
              <w:rFonts w:hint="eastAsia" w:asciiTheme="minorEastAsia" w:hAnsiTheme="minorEastAsia" w:eastAsiaTheme="minorEastAsia" w:cstheme="minorEastAsia"/>
              <w:b/>
              <w:bCs/>
              <w:sz w:val="28"/>
              <w:szCs w:val="28"/>
            </w:rPr>
            <w:fldChar w:fldCharType="end"/>
          </w:r>
        </w:p>
        <w:p>
          <w:pPr>
            <w:pStyle w:val="117"/>
            <w:tabs>
              <w:tab w:val="right" w:leader="dot" w:pos="9185"/>
            </w:tabs>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_Toc21890_WPSOffice_Level2 </w:instrText>
          </w:r>
          <w:r>
            <w:rPr>
              <w:rFonts w:hint="eastAsia" w:asciiTheme="minorEastAsia" w:hAnsiTheme="minorEastAsia" w:eastAsiaTheme="minorEastAsia" w:cstheme="minorEastAsia"/>
              <w:sz w:val="28"/>
              <w:szCs w:val="28"/>
            </w:rPr>
            <w:fldChar w:fldCharType="separate"/>
          </w:r>
          <w:sdt>
            <w:sdtPr>
              <w:rPr>
                <w:rFonts w:hint="eastAsia" w:asciiTheme="minorEastAsia" w:hAnsiTheme="minorEastAsia" w:eastAsiaTheme="minorEastAsia" w:cstheme="minorEastAsia"/>
                <w:sz w:val="28"/>
                <w:szCs w:val="28"/>
                <w:lang w:val="en-US" w:eastAsia="zh-CN" w:bidi="ar-SA"/>
              </w:rPr>
              <w:id w:val="147481388"/>
              <w:placeholder>
                <w:docPart w:val="{deea4700-5a29-4a8b-8092-24d0c39a7b56}"/>
              </w:placeholder>
            </w:sdtPr>
            <w:sdtEndPr>
              <w:rPr>
                <w:rFonts w:hint="eastAsia" w:asciiTheme="minorEastAsia" w:hAnsiTheme="minorEastAsia" w:eastAsiaTheme="minorEastAsia" w:cstheme="minorEastAsia"/>
                <w:sz w:val="28"/>
                <w:szCs w:val="28"/>
                <w:lang w:val="en-US" w:eastAsia="zh-CN" w:bidi="ar-SA"/>
              </w:rPr>
            </w:sdtEndPr>
            <w:sdtContent>
              <w:r>
                <w:rPr>
                  <w:rFonts w:hint="eastAsia" w:asciiTheme="minorEastAsia" w:hAnsiTheme="minorEastAsia" w:eastAsiaTheme="minorEastAsia" w:cstheme="minorEastAsia"/>
                  <w:sz w:val="28"/>
                  <w:szCs w:val="28"/>
                </w:rPr>
                <w:t>5.1危险度评价</w:t>
              </w:r>
            </w:sdtContent>
          </w:sdt>
          <w:r>
            <w:rPr>
              <w:rFonts w:hint="eastAsia" w:asciiTheme="minorEastAsia" w:hAnsiTheme="minorEastAsia" w:eastAsiaTheme="minorEastAsia" w:cstheme="minorEastAsia"/>
              <w:sz w:val="28"/>
              <w:szCs w:val="28"/>
            </w:rPr>
            <w:tab/>
          </w:r>
          <w:bookmarkStart w:id="36" w:name="_Toc21890_WPSOffice_Level2Page"/>
          <w:r>
            <w:rPr>
              <w:rFonts w:hint="eastAsia" w:asciiTheme="minorEastAsia" w:hAnsiTheme="minorEastAsia" w:eastAsiaTheme="minorEastAsia" w:cstheme="minorEastAsia"/>
              <w:sz w:val="28"/>
              <w:szCs w:val="28"/>
            </w:rPr>
            <w:t>68</w:t>
          </w:r>
          <w:bookmarkEnd w:id="36"/>
          <w:r>
            <w:rPr>
              <w:rFonts w:hint="eastAsia" w:asciiTheme="minorEastAsia" w:hAnsiTheme="minorEastAsia" w:eastAsiaTheme="minorEastAsia" w:cstheme="minorEastAsia"/>
              <w:sz w:val="28"/>
              <w:szCs w:val="28"/>
            </w:rPr>
            <w:fldChar w:fldCharType="end"/>
          </w:r>
        </w:p>
        <w:p>
          <w:pPr>
            <w:pStyle w:val="117"/>
            <w:tabs>
              <w:tab w:val="right" w:leader="dot" w:pos="9185"/>
            </w:tabs>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_Toc18148_WPSOffice_Level2 </w:instrText>
          </w:r>
          <w:r>
            <w:rPr>
              <w:rFonts w:hint="eastAsia" w:asciiTheme="minorEastAsia" w:hAnsiTheme="minorEastAsia" w:eastAsiaTheme="minorEastAsia" w:cstheme="minorEastAsia"/>
              <w:sz w:val="28"/>
              <w:szCs w:val="28"/>
            </w:rPr>
            <w:fldChar w:fldCharType="separate"/>
          </w:r>
          <w:sdt>
            <w:sdtPr>
              <w:rPr>
                <w:rFonts w:hint="eastAsia" w:asciiTheme="minorEastAsia" w:hAnsiTheme="minorEastAsia" w:eastAsiaTheme="minorEastAsia" w:cstheme="minorEastAsia"/>
                <w:sz w:val="28"/>
                <w:szCs w:val="28"/>
                <w:lang w:val="en-US" w:eastAsia="zh-CN" w:bidi="ar-SA"/>
              </w:rPr>
              <w:id w:val="147458084"/>
              <w:placeholder>
                <w:docPart w:val="{b860e7eb-7a46-4897-b64b-408828c109f0}"/>
              </w:placeholder>
            </w:sdtPr>
            <w:sdtEndPr>
              <w:rPr>
                <w:rFonts w:hint="eastAsia" w:asciiTheme="minorEastAsia" w:hAnsiTheme="minorEastAsia" w:eastAsiaTheme="minorEastAsia" w:cstheme="minorEastAsia"/>
                <w:sz w:val="28"/>
                <w:szCs w:val="28"/>
                <w:lang w:val="en-US" w:eastAsia="zh-CN" w:bidi="ar-SA"/>
              </w:rPr>
            </w:sdtEndPr>
            <w:sdtContent>
              <w:r>
                <w:rPr>
                  <w:rFonts w:hint="eastAsia" w:asciiTheme="minorEastAsia" w:hAnsiTheme="minorEastAsia" w:eastAsiaTheme="minorEastAsia" w:cstheme="minorEastAsia"/>
                  <w:sz w:val="28"/>
                  <w:szCs w:val="28"/>
                </w:rPr>
                <w:t>5.2 LEC改进法危险性分析</w:t>
              </w:r>
            </w:sdtContent>
          </w:sdt>
          <w:r>
            <w:rPr>
              <w:rFonts w:hint="eastAsia" w:asciiTheme="minorEastAsia" w:hAnsiTheme="minorEastAsia" w:eastAsiaTheme="minorEastAsia" w:cstheme="minorEastAsia"/>
              <w:sz w:val="28"/>
              <w:szCs w:val="28"/>
            </w:rPr>
            <w:tab/>
          </w:r>
          <w:bookmarkStart w:id="37" w:name="_Toc18148_WPSOffice_Level2Page"/>
          <w:r>
            <w:rPr>
              <w:rFonts w:hint="eastAsia" w:asciiTheme="minorEastAsia" w:hAnsiTheme="minorEastAsia" w:eastAsiaTheme="minorEastAsia" w:cstheme="minorEastAsia"/>
              <w:sz w:val="28"/>
              <w:szCs w:val="28"/>
            </w:rPr>
            <w:t>68</w:t>
          </w:r>
          <w:bookmarkEnd w:id="37"/>
          <w:r>
            <w:rPr>
              <w:rFonts w:hint="eastAsia" w:asciiTheme="minorEastAsia" w:hAnsiTheme="minorEastAsia" w:eastAsiaTheme="minorEastAsia" w:cstheme="minorEastAsia"/>
              <w:sz w:val="28"/>
              <w:szCs w:val="28"/>
            </w:rPr>
            <w:fldChar w:fldCharType="end"/>
          </w:r>
        </w:p>
        <w:p>
          <w:pPr>
            <w:pStyle w:val="117"/>
            <w:tabs>
              <w:tab w:val="right" w:leader="dot" w:pos="9185"/>
            </w:tabs>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_Toc4414_WPSOffice_Level2 </w:instrText>
          </w:r>
          <w:r>
            <w:rPr>
              <w:rFonts w:hint="eastAsia" w:asciiTheme="minorEastAsia" w:hAnsiTheme="minorEastAsia" w:eastAsiaTheme="minorEastAsia" w:cstheme="minorEastAsia"/>
              <w:sz w:val="28"/>
              <w:szCs w:val="28"/>
            </w:rPr>
            <w:fldChar w:fldCharType="separate"/>
          </w:r>
          <w:sdt>
            <w:sdtPr>
              <w:rPr>
                <w:rFonts w:hint="eastAsia" w:asciiTheme="minorEastAsia" w:hAnsiTheme="minorEastAsia" w:eastAsiaTheme="minorEastAsia" w:cstheme="minorEastAsia"/>
                <w:sz w:val="28"/>
                <w:szCs w:val="28"/>
                <w:lang w:val="en-US" w:eastAsia="zh-CN" w:bidi="ar-SA"/>
              </w:rPr>
              <w:id w:val="147471891"/>
              <w:placeholder>
                <w:docPart w:val="{41ba9982-1c11-43c1-a040-6ff0c920c622}"/>
              </w:placeholder>
            </w:sdtPr>
            <w:sdtEndPr>
              <w:rPr>
                <w:rFonts w:hint="eastAsia" w:asciiTheme="minorEastAsia" w:hAnsiTheme="minorEastAsia" w:eastAsiaTheme="minorEastAsia" w:cstheme="minorEastAsia"/>
                <w:sz w:val="28"/>
                <w:szCs w:val="28"/>
                <w:lang w:val="en-US" w:eastAsia="zh-CN" w:bidi="ar-SA"/>
              </w:rPr>
            </w:sdtEndPr>
            <w:sdtContent>
              <w:r>
                <w:rPr>
                  <w:rFonts w:hint="eastAsia" w:asciiTheme="minorEastAsia" w:hAnsiTheme="minorEastAsia" w:eastAsiaTheme="minorEastAsia" w:cstheme="minorEastAsia"/>
                  <w:sz w:val="28"/>
                  <w:szCs w:val="28"/>
                </w:rPr>
                <w:t>5.3厂址及总平面布置评价单元</w:t>
              </w:r>
            </w:sdtContent>
          </w:sdt>
          <w:r>
            <w:rPr>
              <w:rFonts w:hint="eastAsia" w:asciiTheme="minorEastAsia" w:hAnsiTheme="minorEastAsia" w:eastAsiaTheme="minorEastAsia" w:cstheme="minorEastAsia"/>
              <w:sz w:val="28"/>
              <w:szCs w:val="28"/>
            </w:rPr>
            <w:tab/>
          </w:r>
          <w:bookmarkStart w:id="38" w:name="_Toc4414_WPSOffice_Level2Page"/>
          <w:r>
            <w:rPr>
              <w:rFonts w:hint="eastAsia" w:asciiTheme="minorEastAsia" w:hAnsiTheme="minorEastAsia" w:eastAsiaTheme="minorEastAsia" w:cstheme="minorEastAsia"/>
              <w:sz w:val="28"/>
              <w:szCs w:val="28"/>
            </w:rPr>
            <w:t>69</w:t>
          </w:r>
          <w:bookmarkEnd w:id="38"/>
          <w:r>
            <w:rPr>
              <w:rFonts w:hint="eastAsia" w:asciiTheme="minorEastAsia" w:hAnsiTheme="minorEastAsia" w:eastAsiaTheme="minorEastAsia" w:cstheme="minorEastAsia"/>
              <w:sz w:val="28"/>
              <w:szCs w:val="28"/>
            </w:rPr>
            <w:fldChar w:fldCharType="end"/>
          </w:r>
        </w:p>
        <w:p>
          <w:pPr>
            <w:pStyle w:val="117"/>
            <w:tabs>
              <w:tab w:val="right" w:leader="dot" w:pos="9185"/>
            </w:tabs>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_Toc19547_WPSOffice_Level2 </w:instrText>
          </w:r>
          <w:r>
            <w:rPr>
              <w:rFonts w:hint="eastAsia" w:asciiTheme="minorEastAsia" w:hAnsiTheme="minorEastAsia" w:eastAsiaTheme="minorEastAsia" w:cstheme="minorEastAsia"/>
              <w:sz w:val="28"/>
              <w:szCs w:val="28"/>
            </w:rPr>
            <w:fldChar w:fldCharType="separate"/>
          </w:r>
          <w:sdt>
            <w:sdtPr>
              <w:rPr>
                <w:rFonts w:hint="eastAsia" w:asciiTheme="minorEastAsia" w:hAnsiTheme="minorEastAsia" w:eastAsiaTheme="minorEastAsia" w:cstheme="minorEastAsia"/>
                <w:sz w:val="28"/>
                <w:szCs w:val="28"/>
                <w:lang w:val="en-US" w:eastAsia="zh-CN" w:bidi="ar-SA"/>
              </w:rPr>
              <w:id w:val="147478867"/>
              <w:placeholder>
                <w:docPart w:val="{ac8ac763-fdba-49d4-8c32-513e06555e61}"/>
              </w:placeholder>
            </w:sdtPr>
            <w:sdtEndPr>
              <w:rPr>
                <w:rFonts w:hint="eastAsia" w:asciiTheme="minorEastAsia" w:hAnsiTheme="minorEastAsia" w:eastAsiaTheme="minorEastAsia" w:cstheme="minorEastAsia"/>
                <w:sz w:val="28"/>
                <w:szCs w:val="28"/>
                <w:lang w:val="en-US" w:eastAsia="zh-CN" w:bidi="ar-SA"/>
              </w:rPr>
            </w:sdtEndPr>
            <w:sdtContent>
              <w:r>
                <w:rPr>
                  <w:rFonts w:hint="eastAsia" w:asciiTheme="minorEastAsia" w:hAnsiTheme="minorEastAsia" w:eastAsiaTheme="minorEastAsia" w:cstheme="minorEastAsia"/>
                  <w:sz w:val="28"/>
                  <w:szCs w:val="28"/>
                </w:rPr>
                <w:t>5.4甲醇储存工艺设备、设施单元分析评价</w:t>
              </w:r>
            </w:sdtContent>
          </w:sdt>
          <w:r>
            <w:rPr>
              <w:rFonts w:hint="eastAsia" w:asciiTheme="minorEastAsia" w:hAnsiTheme="minorEastAsia" w:eastAsiaTheme="minorEastAsia" w:cstheme="minorEastAsia"/>
              <w:sz w:val="28"/>
              <w:szCs w:val="28"/>
            </w:rPr>
            <w:tab/>
          </w:r>
          <w:bookmarkStart w:id="39" w:name="_Toc19547_WPSOffice_Level2Page"/>
          <w:r>
            <w:rPr>
              <w:rFonts w:hint="eastAsia" w:asciiTheme="minorEastAsia" w:hAnsiTheme="minorEastAsia" w:eastAsiaTheme="minorEastAsia" w:cstheme="minorEastAsia"/>
              <w:sz w:val="28"/>
              <w:szCs w:val="28"/>
            </w:rPr>
            <w:t>77</w:t>
          </w:r>
          <w:bookmarkEnd w:id="39"/>
          <w:r>
            <w:rPr>
              <w:rFonts w:hint="eastAsia" w:asciiTheme="minorEastAsia" w:hAnsiTheme="minorEastAsia" w:eastAsiaTheme="minorEastAsia" w:cstheme="minorEastAsia"/>
              <w:sz w:val="28"/>
              <w:szCs w:val="28"/>
            </w:rPr>
            <w:fldChar w:fldCharType="end"/>
          </w:r>
        </w:p>
        <w:p>
          <w:pPr>
            <w:pStyle w:val="117"/>
            <w:tabs>
              <w:tab w:val="right" w:leader="dot" w:pos="9185"/>
            </w:tabs>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_Toc11125_WPSOffice_Level2 </w:instrText>
          </w:r>
          <w:r>
            <w:rPr>
              <w:rFonts w:hint="eastAsia" w:asciiTheme="minorEastAsia" w:hAnsiTheme="minorEastAsia" w:eastAsiaTheme="minorEastAsia" w:cstheme="minorEastAsia"/>
              <w:sz w:val="28"/>
              <w:szCs w:val="28"/>
            </w:rPr>
            <w:fldChar w:fldCharType="separate"/>
          </w:r>
          <w:sdt>
            <w:sdtPr>
              <w:rPr>
                <w:rFonts w:hint="eastAsia" w:asciiTheme="minorEastAsia" w:hAnsiTheme="minorEastAsia" w:eastAsiaTheme="minorEastAsia" w:cstheme="minorEastAsia"/>
                <w:sz w:val="28"/>
                <w:szCs w:val="28"/>
                <w:lang w:val="en-US" w:eastAsia="zh-CN" w:bidi="ar-SA"/>
              </w:rPr>
              <w:id w:val="147459510"/>
              <w:placeholder>
                <w:docPart w:val="{0245b619-fe18-4dd3-96a8-19ab441e5988}"/>
              </w:placeholder>
            </w:sdtPr>
            <w:sdtEndPr>
              <w:rPr>
                <w:rFonts w:hint="eastAsia" w:asciiTheme="minorEastAsia" w:hAnsiTheme="minorEastAsia" w:eastAsiaTheme="minorEastAsia" w:cstheme="minorEastAsia"/>
                <w:sz w:val="28"/>
                <w:szCs w:val="28"/>
                <w:lang w:val="en-US" w:eastAsia="zh-CN" w:bidi="ar-SA"/>
              </w:rPr>
            </w:sdtEndPr>
            <w:sdtContent>
              <w:r>
                <w:rPr>
                  <w:rFonts w:hint="eastAsia" w:asciiTheme="minorEastAsia" w:hAnsiTheme="minorEastAsia" w:eastAsiaTheme="minorEastAsia" w:cstheme="minorEastAsia"/>
                  <w:sz w:val="28"/>
                  <w:szCs w:val="28"/>
                </w:rPr>
                <w:t>5.5公辅评价单元</w:t>
              </w:r>
            </w:sdtContent>
          </w:sdt>
          <w:r>
            <w:rPr>
              <w:rFonts w:hint="eastAsia" w:asciiTheme="minorEastAsia" w:hAnsiTheme="minorEastAsia" w:eastAsiaTheme="minorEastAsia" w:cstheme="minorEastAsia"/>
              <w:sz w:val="28"/>
              <w:szCs w:val="28"/>
            </w:rPr>
            <w:tab/>
          </w:r>
          <w:bookmarkStart w:id="40" w:name="_Toc11125_WPSOffice_Level2Page"/>
          <w:r>
            <w:rPr>
              <w:rFonts w:hint="eastAsia" w:asciiTheme="minorEastAsia" w:hAnsiTheme="minorEastAsia" w:eastAsiaTheme="minorEastAsia" w:cstheme="minorEastAsia"/>
              <w:sz w:val="28"/>
              <w:szCs w:val="28"/>
            </w:rPr>
            <w:t>80</w:t>
          </w:r>
          <w:bookmarkEnd w:id="40"/>
          <w:r>
            <w:rPr>
              <w:rFonts w:hint="eastAsia" w:asciiTheme="minorEastAsia" w:hAnsiTheme="minorEastAsia" w:eastAsiaTheme="minorEastAsia" w:cstheme="minorEastAsia"/>
              <w:sz w:val="28"/>
              <w:szCs w:val="28"/>
            </w:rPr>
            <w:fldChar w:fldCharType="end"/>
          </w:r>
        </w:p>
        <w:p>
          <w:pPr>
            <w:pStyle w:val="117"/>
            <w:tabs>
              <w:tab w:val="right" w:leader="dot" w:pos="9185"/>
            </w:tabs>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_Toc10_WPSOffice_Level2 </w:instrText>
          </w:r>
          <w:r>
            <w:rPr>
              <w:rFonts w:hint="eastAsia" w:asciiTheme="minorEastAsia" w:hAnsiTheme="minorEastAsia" w:eastAsiaTheme="minorEastAsia" w:cstheme="minorEastAsia"/>
              <w:sz w:val="28"/>
              <w:szCs w:val="28"/>
            </w:rPr>
            <w:fldChar w:fldCharType="separate"/>
          </w:r>
          <w:sdt>
            <w:sdtPr>
              <w:rPr>
                <w:rFonts w:hint="eastAsia" w:asciiTheme="minorEastAsia" w:hAnsiTheme="minorEastAsia" w:eastAsiaTheme="minorEastAsia" w:cstheme="minorEastAsia"/>
                <w:sz w:val="28"/>
                <w:szCs w:val="28"/>
                <w:lang w:val="en-US" w:eastAsia="zh-CN" w:bidi="ar-SA"/>
              </w:rPr>
              <w:id w:val="147482166"/>
              <w:placeholder>
                <w:docPart w:val="{9180d87e-f7f8-4cc7-8a57-e7831b16c971}"/>
              </w:placeholder>
            </w:sdtPr>
            <w:sdtEndPr>
              <w:rPr>
                <w:rFonts w:hint="eastAsia" w:asciiTheme="minorEastAsia" w:hAnsiTheme="minorEastAsia" w:eastAsiaTheme="minorEastAsia" w:cstheme="minorEastAsia"/>
                <w:sz w:val="28"/>
                <w:szCs w:val="28"/>
                <w:lang w:val="en-US" w:eastAsia="zh-CN" w:bidi="ar-SA"/>
              </w:rPr>
            </w:sdtEndPr>
            <w:sdtContent>
              <w:r>
                <w:rPr>
                  <w:rFonts w:hint="eastAsia" w:asciiTheme="minorEastAsia" w:hAnsiTheme="minorEastAsia" w:eastAsiaTheme="minorEastAsia" w:cstheme="minorEastAsia"/>
                  <w:sz w:val="28"/>
                  <w:szCs w:val="28"/>
                </w:rPr>
                <w:t>5.6安全设施评价单元</w:t>
              </w:r>
            </w:sdtContent>
          </w:sdt>
          <w:r>
            <w:rPr>
              <w:rFonts w:hint="eastAsia" w:asciiTheme="minorEastAsia" w:hAnsiTheme="minorEastAsia" w:eastAsiaTheme="minorEastAsia" w:cstheme="minorEastAsia"/>
              <w:sz w:val="28"/>
              <w:szCs w:val="28"/>
            </w:rPr>
            <w:tab/>
          </w:r>
          <w:bookmarkStart w:id="41" w:name="_Toc10_WPSOffice_Level2Page"/>
          <w:r>
            <w:rPr>
              <w:rFonts w:hint="eastAsia" w:asciiTheme="minorEastAsia" w:hAnsiTheme="minorEastAsia" w:eastAsiaTheme="minorEastAsia" w:cstheme="minorEastAsia"/>
              <w:sz w:val="28"/>
              <w:szCs w:val="28"/>
            </w:rPr>
            <w:t>86</w:t>
          </w:r>
          <w:bookmarkEnd w:id="41"/>
          <w:r>
            <w:rPr>
              <w:rFonts w:hint="eastAsia" w:asciiTheme="minorEastAsia" w:hAnsiTheme="minorEastAsia" w:eastAsiaTheme="minorEastAsia" w:cstheme="minorEastAsia"/>
              <w:sz w:val="28"/>
              <w:szCs w:val="28"/>
            </w:rPr>
            <w:fldChar w:fldCharType="end"/>
          </w:r>
        </w:p>
        <w:p>
          <w:pPr>
            <w:pStyle w:val="117"/>
            <w:tabs>
              <w:tab w:val="right" w:leader="dot" w:pos="9185"/>
            </w:tabs>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_Toc787_WPSOffice_Level2 </w:instrText>
          </w:r>
          <w:r>
            <w:rPr>
              <w:rFonts w:hint="eastAsia" w:asciiTheme="minorEastAsia" w:hAnsiTheme="minorEastAsia" w:eastAsiaTheme="minorEastAsia" w:cstheme="minorEastAsia"/>
              <w:sz w:val="28"/>
              <w:szCs w:val="28"/>
            </w:rPr>
            <w:fldChar w:fldCharType="separate"/>
          </w:r>
          <w:sdt>
            <w:sdtPr>
              <w:rPr>
                <w:rFonts w:hint="eastAsia" w:asciiTheme="minorEastAsia" w:hAnsiTheme="minorEastAsia" w:eastAsiaTheme="minorEastAsia" w:cstheme="minorEastAsia"/>
                <w:sz w:val="28"/>
                <w:szCs w:val="28"/>
                <w:lang w:val="en-US" w:eastAsia="zh-CN" w:bidi="ar-SA"/>
              </w:rPr>
              <w:id w:val="147465104"/>
              <w:placeholder>
                <w:docPart w:val="{017d8fc2-5129-4b19-adac-0d6a6962d675}"/>
              </w:placeholder>
            </w:sdtPr>
            <w:sdtEndPr>
              <w:rPr>
                <w:rFonts w:hint="eastAsia" w:asciiTheme="minorEastAsia" w:hAnsiTheme="minorEastAsia" w:eastAsiaTheme="minorEastAsia" w:cstheme="minorEastAsia"/>
                <w:sz w:val="28"/>
                <w:szCs w:val="28"/>
                <w:lang w:val="en-US" w:eastAsia="zh-CN" w:bidi="ar-SA"/>
              </w:rPr>
            </w:sdtEndPr>
            <w:sdtContent>
              <w:r>
                <w:rPr>
                  <w:rFonts w:hint="eastAsia" w:asciiTheme="minorEastAsia" w:hAnsiTheme="minorEastAsia" w:eastAsiaTheme="minorEastAsia" w:cstheme="minorEastAsia"/>
                  <w:sz w:val="28"/>
                  <w:szCs w:val="28"/>
                </w:rPr>
                <w:t>5.7安全管理评价单元</w:t>
              </w:r>
            </w:sdtContent>
          </w:sdt>
          <w:r>
            <w:rPr>
              <w:rFonts w:hint="eastAsia" w:asciiTheme="minorEastAsia" w:hAnsiTheme="minorEastAsia" w:eastAsiaTheme="minorEastAsia" w:cstheme="minorEastAsia"/>
              <w:sz w:val="28"/>
              <w:szCs w:val="28"/>
            </w:rPr>
            <w:tab/>
          </w:r>
          <w:bookmarkStart w:id="42" w:name="_Toc787_WPSOffice_Level2Page"/>
          <w:r>
            <w:rPr>
              <w:rFonts w:hint="eastAsia" w:asciiTheme="minorEastAsia" w:hAnsiTheme="minorEastAsia" w:eastAsiaTheme="minorEastAsia" w:cstheme="minorEastAsia"/>
              <w:sz w:val="28"/>
              <w:szCs w:val="28"/>
            </w:rPr>
            <w:t>89</w:t>
          </w:r>
          <w:bookmarkEnd w:id="42"/>
          <w:r>
            <w:rPr>
              <w:rFonts w:hint="eastAsia" w:asciiTheme="minorEastAsia" w:hAnsiTheme="minorEastAsia" w:eastAsiaTheme="minorEastAsia" w:cstheme="minorEastAsia"/>
              <w:sz w:val="28"/>
              <w:szCs w:val="28"/>
            </w:rPr>
            <w:fldChar w:fldCharType="end"/>
          </w:r>
        </w:p>
        <w:p>
          <w:pPr>
            <w:pStyle w:val="117"/>
            <w:tabs>
              <w:tab w:val="right" w:leader="dot" w:pos="9185"/>
            </w:tabs>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_Toc13393_WPSOffice_Level2 </w:instrText>
          </w:r>
          <w:r>
            <w:rPr>
              <w:rFonts w:hint="eastAsia" w:asciiTheme="minorEastAsia" w:hAnsiTheme="minorEastAsia" w:eastAsiaTheme="minorEastAsia" w:cstheme="minorEastAsia"/>
              <w:sz w:val="28"/>
              <w:szCs w:val="28"/>
            </w:rPr>
            <w:fldChar w:fldCharType="separate"/>
          </w:r>
          <w:sdt>
            <w:sdtPr>
              <w:rPr>
                <w:rFonts w:hint="eastAsia" w:asciiTheme="minorEastAsia" w:hAnsiTheme="minorEastAsia" w:eastAsiaTheme="minorEastAsia" w:cstheme="minorEastAsia"/>
                <w:sz w:val="28"/>
                <w:szCs w:val="28"/>
                <w:lang w:val="en-US" w:eastAsia="zh-CN" w:bidi="ar-SA"/>
              </w:rPr>
              <w:id w:val="147480454"/>
              <w:placeholder>
                <w:docPart w:val="{4bb58e4f-0fcb-4469-b508-4bb87f35c90e}"/>
              </w:placeholder>
            </w:sdtPr>
            <w:sdtEndPr>
              <w:rPr>
                <w:rFonts w:hint="eastAsia" w:asciiTheme="minorEastAsia" w:hAnsiTheme="minorEastAsia" w:eastAsiaTheme="minorEastAsia" w:cstheme="minorEastAsia"/>
                <w:sz w:val="28"/>
                <w:szCs w:val="28"/>
                <w:lang w:val="en-US" w:eastAsia="zh-CN" w:bidi="ar-SA"/>
              </w:rPr>
            </w:sdtEndPr>
            <w:sdtContent>
              <w:r>
                <w:rPr>
                  <w:rFonts w:hint="eastAsia" w:asciiTheme="minorEastAsia" w:hAnsiTheme="minorEastAsia" w:eastAsiaTheme="minorEastAsia" w:cstheme="minorEastAsia"/>
                  <w:sz w:val="28"/>
                  <w:szCs w:val="28"/>
                </w:rPr>
                <w:t>5.8换证安全条件评价单元</w:t>
              </w:r>
            </w:sdtContent>
          </w:sdt>
          <w:r>
            <w:rPr>
              <w:rFonts w:hint="eastAsia" w:asciiTheme="minorEastAsia" w:hAnsiTheme="minorEastAsia" w:eastAsiaTheme="minorEastAsia" w:cstheme="minorEastAsia"/>
              <w:sz w:val="28"/>
              <w:szCs w:val="28"/>
            </w:rPr>
            <w:tab/>
          </w:r>
          <w:bookmarkStart w:id="43" w:name="_Toc13393_WPSOffice_Level2Page"/>
          <w:r>
            <w:rPr>
              <w:rFonts w:hint="eastAsia" w:asciiTheme="minorEastAsia" w:hAnsiTheme="minorEastAsia" w:eastAsiaTheme="minorEastAsia" w:cstheme="minorEastAsia"/>
              <w:sz w:val="28"/>
              <w:szCs w:val="28"/>
            </w:rPr>
            <w:t>94</w:t>
          </w:r>
          <w:bookmarkEnd w:id="43"/>
          <w:r>
            <w:rPr>
              <w:rFonts w:hint="eastAsia" w:asciiTheme="minorEastAsia" w:hAnsiTheme="minorEastAsia" w:eastAsiaTheme="minorEastAsia" w:cstheme="minorEastAsia"/>
              <w:sz w:val="28"/>
              <w:szCs w:val="28"/>
            </w:rPr>
            <w:fldChar w:fldCharType="end"/>
          </w:r>
        </w:p>
        <w:p>
          <w:pPr>
            <w:pStyle w:val="116"/>
            <w:tabs>
              <w:tab w:val="right" w:leader="dot" w:pos="9185"/>
            </w:tabs>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fldChar w:fldCharType="begin"/>
          </w:r>
          <w:r>
            <w:rPr>
              <w:rFonts w:hint="eastAsia" w:asciiTheme="minorEastAsia" w:hAnsiTheme="minorEastAsia" w:eastAsiaTheme="minorEastAsia" w:cstheme="minorEastAsia"/>
              <w:sz w:val="28"/>
              <w:szCs w:val="28"/>
            </w:rPr>
            <w:instrText xml:space="preserve"> HYPERLINK \l _Toc16905_WPSOffice_Level1 </w:instrText>
          </w:r>
          <w:r>
            <w:rPr>
              <w:rFonts w:hint="eastAsia" w:asciiTheme="minorEastAsia" w:hAnsiTheme="minorEastAsia" w:eastAsiaTheme="minorEastAsia" w:cstheme="minorEastAsia"/>
              <w:b/>
              <w:bCs/>
              <w:sz w:val="28"/>
              <w:szCs w:val="28"/>
            </w:rPr>
            <w:fldChar w:fldCharType="separate"/>
          </w:r>
          <w:sdt>
            <w:sdtPr>
              <w:rPr>
                <w:rFonts w:hint="eastAsia" w:asciiTheme="minorEastAsia" w:hAnsiTheme="minorEastAsia" w:eastAsiaTheme="minorEastAsia" w:cstheme="minorEastAsia"/>
                <w:b/>
                <w:bCs/>
                <w:sz w:val="28"/>
                <w:szCs w:val="28"/>
                <w:lang w:val="en-US" w:eastAsia="zh-CN" w:bidi="ar-SA"/>
              </w:rPr>
              <w:id w:val="147469796"/>
              <w:placeholder>
                <w:docPart w:val="{49859e44-1262-4d73-bf41-88d66fd14867}"/>
              </w:placeholder>
            </w:sdtPr>
            <w:sdtEndPr>
              <w:rPr>
                <w:rFonts w:hint="eastAsia" w:asciiTheme="minorEastAsia" w:hAnsiTheme="minorEastAsia" w:eastAsiaTheme="minorEastAsia" w:cstheme="minorEastAsia"/>
                <w:b/>
                <w:bCs/>
                <w:sz w:val="28"/>
                <w:szCs w:val="28"/>
                <w:lang w:val="en-US" w:eastAsia="zh-CN" w:bidi="ar-SA"/>
              </w:rPr>
            </w:sdtEndPr>
            <w:sdtContent>
              <w:r>
                <w:rPr>
                  <w:rFonts w:hint="eastAsia" w:asciiTheme="minorEastAsia" w:hAnsiTheme="minorEastAsia" w:eastAsiaTheme="minorEastAsia" w:cstheme="minorEastAsia"/>
                  <w:b/>
                  <w:bCs/>
                  <w:sz w:val="28"/>
                  <w:szCs w:val="28"/>
                </w:rPr>
                <w:t>第6章 存在的主要隐患问题及整改情况、安全对策措施及建议</w:t>
              </w:r>
            </w:sdtContent>
          </w:sdt>
          <w:r>
            <w:rPr>
              <w:rFonts w:hint="eastAsia" w:asciiTheme="minorEastAsia" w:hAnsiTheme="minorEastAsia" w:eastAsiaTheme="minorEastAsia" w:cstheme="minorEastAsia"/>
              <w:b/>
              <w:bCs/>
              <w:sz w:val="28"/>
              <w:szCs w:val="28"/>
            </w:rPr>
            <w:tab/>
          </w:r>
          <w:bookmarkStart w:id="44" w:name="_Toc16905_WPSOffice_Level1Page"/>
          <w:r>
            <w:rPr>
              <w:rFonts w:hint="eastAsia" w:asciiTheme="minorEastAsia" w:hAnsiTheme="minorEastAsia" w:eastAsiaTheme="minorEastAsia" w:cstheme="minorEastAsia"/>
              <w:b/>
              <w:bCs/>
              <w:sz w:val="28"/>
              <w:szCs w:val="28"/>
            </w:rPr>
            <w:t>97</w:t>
          </w:r>
          <w:bookmarkEnd w:id="44"/>
          <w:r>
            <w:rPr>
              <w:rFonts w:hint="eastAsia" w:asciiTheme="minorEastAsia" w:hAnsiTheme="minorEastAsia" w:eastAsiaTheme="minorEastAsia" w:cstheme="minorEastAsia"/>
              <w:b/>
              <w:bCs/>
              <w:sz w:val="28"/>
              <w:szCs w:val="28"/>
            </w:rPr>
            <w:fldChar w:fldCharType="end"/>
          </w:r>
        </w:p>
        <w:p>
          <w:pPr>
            <w:pStyle w:val="117"/>
            <w:tabs>
              <w:tab w:val="right" w:leader="dot" w:pos="9185"/>
            </w:tabs>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_Toc31608_WPSOffice_Level2 </w:instrText>
          </w:r>
          <w:r>
            <w:rPr>
              <w:rFonts w:hint="eastAsia" w:asciiTheme="minorEastAsia" w:hAnsiTheme="minorEastAsia" w:eastAsiaTheme="minorEastAsia" w:cstheme="minorEastAsia"/>
              <w:sz w:val="28"/>
              <w:szCs w:val="28"/>
            </w:rPr>
            <w:fldChar w:fldCharType="separate"/>
          </w:r>
          <w:sdt>
            <w:sdtPr>
              <w:rPr>
                <w:rFonts w:hint="eastAsia" w:asciiTheme="minorEastAsia" w:hAnsiTheme="minorEastAsia" w:eastAsiaTheme="minorEastAsia" w:cstheme="minorEastAsia"/>
                <w:sz w:val="28"/>
                <w:szCs w:val="28"/>
                <w:lang w:val="en-US" w:eastAsia="zh-CN" w:bidi="ar-SA"/>
              </w:rPr>
              <w:id w:val="147464473"/>
              <w:placeholder>
                <w:docPart w:val="{925c9003-e357-4f52-9905-867290824afa}"/>
              </w:placeholder>
            </w:sdtPr>
            <w:sdtEndPr>
              <w:rPr>
                <w:rFonts w:hint="eastAsia" w:asciiTheme="minorEastAsia" w:hAnsiTheme="minorEastAsia" w:eastAsiaTheme="minorEastAsia" w:cstheme="minorEastAsia"/>
                <w:sz w:val="28"/>
                <w:szCs w:val="28"/>
                <w:lang w:val="en-US" w:eastAsia="zh-CN" w:bidi="ar-SA"/>
              </w:rPr>
            </w:sdtEndPr>
            <w:sdtContent>
              <w:r>
                <w:rPr>
                  <w:rFonts w:hint="eastAsia" w:asciiTheme="minorEastAsia" w:hAnsiTheme="minorEastAsia" w:eastAsiaTheme="minorEastAsia" w:cstheme="minorEastAsia"/>
                  <w:sz w:val="28"/>
                  <w:szCs w:val="28"/>
                </w:rPr>
                <w:t>6.1存在的主要隐患问题</w:t>
              </w:r>
            </w:sdtContent>
          </w:sdt>
          <w:r>
            <w:rPr>
              <w:rFonts w:hint="eastAsia" w:asciiTheme="minorEastAsia" w:hAnsiTheme="minorEastAsia" w:eastAsiaTheme="minorEastAsia" w:cstheme="minorEastAsia"/>
              <w:sz w:val="28"/>
              <w:szCs w:val="28"/>
            </w:rPr>
            <w:tab/>
          </w:r>
          <w:bookmarkStart w:id="45" w:name="_Toc31608_WPSOffice_Level2Page"/>
          <w:r>
            <w:rPr>
              <w:rFonts w:hint="eastAsia" w:asciiTheme="minorEastAsia" w:hAnsiTheme="minorEastAsia" w:eastAsiaTheme="minorEastAsia" w:cstheme="minorEastAsia"/>
              <w:sz w:val="28"/>
              <w:szCs w:val="28"/>
            </w:rPr>
            <w:t>97</w:t>
          </w:r>
          <w:bookmarkEnd w:id="45"/>
          <w:r>
            <w:rPr>
              <w:rFonts w:hint="eastAsia" w:asciiTheme="minorEastAsia" w:hAnsiTheme="minorEastAsia" w:eastAsiaTheme="minorEastAsia" w:cstheme="minorEastAsia"/>
              <w:sz w:val="28"/>
              <w:szCs w:val="28"/>
            </w:rPr>
            <w:fldChar w:fldCharType="end"/>
          </w:r>
        </w:p>
        <w:p>
          <w:pPr>
            <w:pStyle w:val="117"/>
            <w:tabs>
              <w:tab w:val="right" w:leader="dot" w:pos="9185"/>
            </w:tabs>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_Toc14221_WPSOffice_Level2 </w:instrText>
          </w:r>
          <w:r>
            <w:rPr>
              <w:rFonts w:hint="eastAsia" w:asciiTheme="minorEastAsia" w:hAnsiTheme="minorEastAsia" w:eastAsiaTheme="minorEastAsia" w:cstheme="minorEastAsia"/>
              <w:sz w:val="28"/>
              <w:szCs w:val="28"/>
            </w:rPr>
            <w:fldChar w:fldCharType="separate"/>
          </w:r>
          <w:sdt>
            <w:sdtPr>
              <w:rPr>
                <w:rFonts w:hint="eastAsia" w:asciiTheme="minorEastAsia" w:hAnsiTheme="minorEastAsia" w:eastAsiaTheme="minorEastAsia" w:cstheme="minorEastAsia"/>
                <w:sz w:val="28"/>
                <w:szCs w:val="28"/>
                <w:lang w:val="en-US" w:eastAsia="zh-CN" w:bidi="ar-SA"/>
              </w:rPr>
              <w:id w:val="147467610"/>
              <w:placeholder>
                <w:docPart w:val="{cbcfd82b-9245-41ab-be0e-3b9a48626d0c}"/>
              </w:placeholder>
            </w:sdtPr>
            <w:sdtEndPr>
              <w:rPr>
                <w:rFonts w:hint="eastAsia" w:asciiTheme="minorEastAsia" w:hAnsiTheme="minorEastAsia" w:eastAsiaTheme="minorEastAsia" w:cstheme="minorEastAsia"/>
                <w:sz w:val="28"/>
                <w:szCs w:val="28"/>
                <w:lang w:val="en-US" w:eastAsia="zh-CN" w:bidi="ar-SA"/>
              </w:rPr>
            </w:sdtEndPr>
            <w:sdtContent>
              <w:r>
                <w:rPr>
                  <w:rFonts w:hint="eastAsia" w:asciiTheme="minorEastAsia" w:hAnsiTheme="minorEastAsia" w:eastAsiaTheme="minorEastAsia" w:cstheme="minorEastAsia"/>
                  <w:sz w:val="28"/>
                  <w:szCs w:val="28"/>
                </w:rPr>
                <w:t>6.2整改情况</w:t>
              </w:r>
            </w:sdtContent>
          </w:sdt>
          <w:r>
            <w:rPr>
              <w:rFonts w:hint="eastAsia" w:asciiTheme="minorEastAsia" w:hAnsiTheme="minorEastAsia" w:eastAsiaTheme="minorEastAsia" w:cstheme="minorEastAsia"/>
              <w:sz w:val="28"/>
              <w:szCs w:val="28"/>
            </w:rPr>
            <w:tab/>
          </w:r>
          <w:bookmarkStart w:id="46" w:name="_Toc14221_WPSOffice_Level2Page"/>
          <w:r>
            <w:rPr>
              <w:rFonts w:hint="eastAsia" w:asciiTheme="minorEastAsia" w:hAnsiTheme="minorEastAsia" w:eastAsiaTheme="minorEastAsia" w:cstheme="minorEastAsia"/>
              <w:sz w:val="28"/>
              <w:szCs w:val="28"/>
            </w:rPr>
            <w:t>97</w:t>
          </w:r>
          <w:bookmarkEnd w:id="46"/>
          <w:r>
            <w:rPr>
              <w:rFonts w:hint="eastAsia" w:asciiTheme="minorEastAsia" w:hAnsiTheme="minorEastAsia" w:eastAsiaTheme="minorEastAsia" w:cstheme="minorEastAsia"/>
              <w:sz w:val="28"/>
              <w:szCs w:val="28"/>
            </w:rPr>
            <w:fldChar w:fldCharType="end"/>
          </w:r>
        </w:p>
        <w:p>
          <w:pPr>
            <w:pStyle w:val="117"/>
            <w:tabs>
              <w:tab w:val="right" w:leader="dot" w:pos="9185"/>
            </w:tabs>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_Toc10278_WPSOffice_Level2 </w:instrText>
          </w:r>
          <w:r>
            <w:rPr>
              <w:rFonts w:hint="eastAsia" w:asciiTheme="minorEastAsia" w:hAnsiTheme="minorEastAsia" w:eastAsiaTheme="minorEastAsia" w:cstheme="minorEastAsia"/>
              <w:sz w:val="28"/>
              <w:szCs w:val="28"/>
            </w:rPr>
            <w:fldChar w:fldCharType="separate"/>
          </w:r>
          <w:sdt>
            <w:sdtPr>
              <w:rPr>
                <w:rFonts w:hint="eastAsia" w:asciiTheme="minorEastAsia" w:hAnsiTheme="minorEastAsia" w:eastAsiaTheme="minorEastAsia" w:cstheme="minorEastAsia"/>
                <w:sz w:val="28"/>
                <w:szCs w:val="28"/>
                <w:lang w:val="en-US" w:eastAsia="zh-CN" w:bidi="ar-SA"/>
              </w:rPr>
              <w:id w:val="147461255"/>
              <w:placeholder>
                <w:docPart w:val="{c9e20936-1026-4839-9ce0-ade7334e05a3}"/>
              </w:placeholder>
            </w:sdtPr>
            <w:sdtEndPr>
              <w:rPr>
                <w:rFonts w:hint="eastAsia" w:asciiTheme="minorEastAsia" w:hAnsiTheme="minorEastAsia" w:eastAsiaTheme="minorEastAsia" w:cstheme="minorEastAsia"/>
                <w:sz w:val="28"/>
                <w:szCs w:val="28"/>
                <w:lang w:val="en-US" w:eastAsia="zh-CN" w:bidi="ar-SA"/>
              </w:rPr>
            </w:sdtEndPr>
            <w:sdtContent>
              <w:r>
                <w:rPr>
                  <w:rFonts w:hint="eastAsia" w:asciiTheme="minorEastAsia" w:hAnsiTheme="minorEastAsia" w:eastAsiaTheme="minorEastAsia" w:cstheme="minorEastAsia"/>
                  <w:sz w:val="28"/>
                  <w:szCs w:val="28"/>
                </w:rPr>
                <w:t>6.3 安全对策措施及建议</w:t>
              </w:r>
            </w:sdtContent>
          </w:sdt>
          <w:r>
            <w:rPr>
              <w:rFonts w:hint="eastAsia" w:asciiTheme="minorEastAsia" w:hAnsiTheme="minorEastAsia" w:eastAsiaTheme="minorEastAsia" w:cstheme="minorEastAsia"/>
              <w:sz w:val="28"/>
              <w:szCs w:val="28"/>
            </w:rPr>
            <w:tab/>
          </w:r>
          <w:bookmarkStart w:id="47" w:name="_Toc10278_WPSOffice_Level2Page"/>
          <w:r>
            <w:rPr>
              <w:rFonts w:hint="eastAsia" w:asciiTheme="minorEastAsia" w:hAnsiTheme="minorEastAsia" w:eastAsiaTheme="minorEastAsia" w:cstheme="minorEastAsia"/>
              <w:sz w:val="28"/>
              <w:szCs w:val="28"/>
            </w:rPr>
            <w:t>97</w:t>
          </w:r>
          <w:bookmarkEnd w:id="47"/>
          <w:r>
            <w:rPr>
              <w:rFonts w:hint="eastAsia" w:asciiTheme="minorEastAsia" w:hAnsiTheme="minorEastAsia" w:eastAsiaTheme="minorEastAsia" w:cstheme="minorEastAsia"/>
              <w:sz w:val="28"/>
              <w:szCs w:val="28"/>
            </w:rPr>
            <w:fldChar w:fldCharType="end"/>
          </w:r>
        </w:p>
        <w:p>
          <w:pPr>
            <w:pStyle w:val="116"/>
            <w:tabs>
              <w:tab w:val="right" w:leader="dot" w:pos="9185"/>
            </w:tabs>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fldChar w:fldCharType="begin"/>
          </w:r>
          <w:r>
            <w:rPr>
              <w:rFonts w:hint="eastAsia" w:asciiTheme="minorEastAsia" w:hAnsiTheme="minorEastAsia" w:eastAsiaTheme="minorEastAsia" w:cstheme="minorEastAsia"/>
              <w:sz w:val="28"/>
              <w:szCs w:val="28"/>
            </w:rPr>
            <w:instrText xml:space="preserve"> HYPERLINK \l _Toc22759_WPSOffice_Level1 </w:instrText>
          </w:r>
          <w:r>
            <w:rPr>
              <w:rFonts w:hint="eastAsia" w:asciiTheme="minorEastAsia" w:hAnsiTheme="minorEastAsia" w:eastAsiaTheme="minorEastAsia" w:cstheme="minorEastAsia"/>
              <w:b/>
              <w:bCs/>
              <w:sz w:val="28"/>
              <w:szCs w:val="28"/>
            </w:rPr>
            <w:fldChar w:fldCharType="separate"/>
          </w:r>
          <w:sdt>
            <w:sdtPr>
              <w:rPr>
                <w:rFonts w:hint="eastAsia" w:asciiTheme="minorEastAsia" w:hAnsiTheme="minorEastAsia" w:eastAsiaTheme="minorEastAsia" w:cstheme="minorEastAsia"/>
                <w:b/>
                <w:bCs/>
                <w:sz w:val="28"/>
                <w:szCs w:val="28"/>
                <w:lang w:val="en-US" w:eastAsia="zh-CN" w:bidi="ar-SA"/>
              </w:rPr>
              <w:id w:val="147462786"/>
              <w:placeholder>
                <w:docPart w:val="{d00c686f-66a5-4786-89a1-c61b0ba58e74}"/>
              </w:placeholder>
            </w:sdtPr>
            <w:sdtEndPr>
              <w:rPr>
                <w:rFonts w:hint="eastAsia" w:asciiTheme="minorEastAsia" w:hAnsiTheme="minorEastAsia" w:eastAsiaTheme="minorEastAsia" w:cstheme="minorEastAsia"/>
                <w:b/>
                <w:bCs/>
                <w:sz w:val="28"/>
                <w:szCs w:val="28"/>
                <w:lang w:val="en-US" w:eastAsia="zh-CN" w:bidi="ar-SA"/>
              </w:rPr>
            </w:sdtEndPr>
            <w:sdtContent>
              <w:r>
                <w:rPr>
                  <w:rFonts w:hint="eastAsia" w:asciiTheme="minorEastAsia" w:hAnsiTheme="minorEastAsia" w:eastAsiaTheme="minorEastAsia" w:cstheme="minorEastAsia"/>
                  <w:b/>
                  <w:bCs/>
                  <w:sz w:val="28"/>
                  <w:szCs w:val="28"/>
                </w:rPr>
                <w:t>第7章 安全现状评价结论</w:t>
              </w:r>
            </w:sdtContent>
          </w:sdt>
          <w:r>
            <w:rPr>
              <w:rFonts w:hint="eastAsia" w:asciiTheme="minorEastAsia" w:hAnsiTheme="minorEastAsia" w:eastAsiaTheme="minorEastAsia" w:cstheme="minorEastAsia"/>
              <w:b/>
              <w:bCs/>
              <w:sz w:val="28"/>
              <w:szCs w:val="28"/>
            </w:rPr>
            <w:tab/>
          </w:r>
          <w:bookmarkStart w:id="48" w:name="_Toc22759_WPSOffice_Level1Page"/>
          <w:r>
            <w:rPr>
              <w:rFonts w:hint="eastAsia" w:asciiTheme="minorEastAsia" w:hAnsiTheme="minorEastAsia" w:eastAsiaTheme="minorEastAsia" w:cstheme="minorEastAsia"/>
              <w:b/>
              <w:bCs/>
              <w:sz w:val="28"/>
              <w:szCs w:val="28"/>
            </w:rPr>
            <w:t>102</w:t>
          </w:r>
          <w:bookmarkEnd w:id="48"/>
          <w:r>
            <w:rPr>
              <w:rFonts w:hint="eastAsia" w:asciiTheme="minorEastAsia" w:hAnsiTheme="minorEastAsia" w:eastAsiaTheme="minorEastAsia" w:cstheme="minorEastAsia"/>
              <w:b/>
              <w:bCs/>
              <w:sz w:val="28"/>
              <w:szCs w:val="28"/>
            </w:rPr>
            <w:fldChar w:fldCharType="end"/>
          </w:r>
        </w:p>
        <w:p>
          <w:pPr>
            <w:pStyle w:val="117"/>
            <w:tabs>
              <w:tab w:val="right" w:leader="dot" w:pos="9185"/>
            </w:tabs>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_Toc7038_WPSOffice_Level2 </w:instrText>
          </w:r>
          <w:r>
            <w:rPr>
              <w:rFonts w:hint="eastAsia" w:asciiTheme="minorEastAsia" w:hAnsiTheme="minorEastAsia" w:eastAsiaTheme="minorEastAsia" w:cstheme="minorEastAsia"/>
              <w:sz w:val="28"/>
              <w:szCs w:val="28"/>
            </w:rPr>
            <w:fldChar w:fldCharType="separate"/>
          </w:r>
          <w:sdt>
            <w:sdtPr>
              <w:rPr>
                <w:rFonts w:hint="eastAsia" w:asciiTheme="minorEastAsia" w:hAnsiTheme="minorEastAsia" w:eastAsiaTheme="minorEastAsia" w:cstheme="minorEastAsia"/>
                <w:sz w:val="28"/>
                <w:szCs w:val="28"/>
                <w:lang w:val="en-US" w:eastAsia="zh-CN" w:bidi="ar-SA"/>
              </w:rPr>
              <w:id w:val="147453981"/>
              <w:placeholder>
                <w:docPart w:val="{affe6660-c66e-46a2-b716-60b9b9b8c9d8}"/>
              </w:placeholder>
            </w:sdtPr>
            <w:sdtEndPr>
              <w:rPr>
                <w:rFonts w:hint="eastAsia" w:asciiTheme="minorEastAsia" w:hAnsiTheme="minorEastAsia" w:eastAsiaTheme="minorEastAsia" w:cstheme="minorEastAsia"/>
                <w:sz w:val="28"/>
                <w:szCs w:val="28"/>
                <w:lang w:val="en-US" w:eastAsia="zh-CN" w:bidi="ar-SA"/>
              </w:rPr>
            </w:sdtEndPr>
            <w:sdtContent>
              <w:r>
                <w:rPr>
                  <w:rFonts w:hint="eastAsia" w:asciiTheme="minorEastAsia" w:hAnsiTheme="minorEastAsia" w:eastAsiaTheme="minorEastAsia" w:cstheme="minorEastAsia"/>
                  <w:sz w:val="28"/>
                  <w:szCs w:val="28"/>
                </w:rPr>
                <w:t>7.1主要危险、有害物质</w:t>
              </w:r>
            </w:sdtContent>
          </w:sdt>
          <w:r>
            <w:rPr>
              <w:rFonts w:hint="eastAsia" w:asciiTheme="minorEastAsia" w:hAnsiTheme="minorEastAsia" w:eastAsiaTheme="minorEastAsia" w:cstheme="minorEastAsia"/>
              <w:sz w:val="28"/>
              <w:szCs w:val="28"/>
            </w:rPr>
            <w:tab/>
          </w:r>
          <w:bookmarkStart w:id="49" w:name="_Toc7038_WPSOffice_Level2Page"/>
          <w:r>
            <w:rPr>
              <w:rFonts w:hint="eastAsia" w:asciiTheme="minorEastAsia" w:hAnsiTheme="minorEastAsia" w:eastAsiaTheme="minorEastAsia" w:cstheme="minorEastAsia"/>
              <w:sz w:val="28"/>
              <w:szCs w:val="28"/>
            </w:rPr>
            <w:t>102</w:t>
          </w:r>
          <w:bookmarkEnd w:id="49"/>
          <w:r>
            <w:rPr>
              <w:rFonts w:hint="eastAsia" w:asciiTheme="minorEastAsia" w:hAnsiTheme="minorEastAsia" w:eastAsiaTheme="minorEastAsia" w:cstheme="minorEastAsia"/>
              <w:sz w:val="28"/>
              <w:szCs w:val="28"/>
            </w:rPr>
            <w:fldChar w:fldCharType="end"/>
          </w:r>
        </w:p>
        <w:p>
          <w:pPr>
            <w:pStyle w:val="117"/>
            <w:tabs>
              <w:tab w:val="right" w:leader="dot" w:pos="9185"/>
            </w:tabs>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_Toc5882_WPSOffice_Level2 </w:instrText>
          </w:r>
          <w:r>
            <w:rPr>
              <w:rFonts w:hint="eastAsia" w:asciiTheme="minorEastAsia" w:hAnsiTheme="minorEastAsia" w:eastAsiaTheme="minorEastAsia" w:cstheme="minorEastAsia"/>
              <w:sz w:val="28"/>
              <w:szCs w:val="28"/>
            </w:rPr>
            <w:fldChar w:fldCharType="separate"/>
          </w:r>
          <w:sdt>
            <w:sdtPr>
              <w:rPr>
                <w:rFonts w:hint="eastAsia" w:asciiTheme="minorEastAsia" w:hAnsiTheme="minorEastAsia" w:eastAsiaTheme="minorEastAsia" w:cstheme="minorEastAsia"/>
                <w:sz w:val="28"/>
                <w:szCs w:val="28"/>
                <w:lang w:val="en-US" w:eastAsia="zh-CN" w:bidi="ar-SA"/>
              </w:rPr>
              <w:id w:val="147483255"/>
              <w:placeholder>
                <w:docPart w:val="{b6c12a83-2dae-4128-a7be-1bc808efeae4}"/>
              </w:placeholder>
            </w:sdtPr>
            <w:sdtEndPr>
              <w:rPr>
                <w:rFonts w:hint="eastAsia" w:asciiTheme="minorEastAsia" w:hAnsiTheme="minorEastAsia" w:eastAsiaTheme="minorEastAsia" w:cstheme="minorEastAsia"/>
                <w:sz w:val="28"/>
                <w:szCs w:val="28"/>
                <w:lang w:val="en-US" w:eastAsia="zh-CN" w:bidi="ar-SA"/>
              </w:rPr>
            </w:sdtEndPr>
            <w:sdtContent>
              <w:r>
                <w:rPr>
                  <w:rFonts w:hint="eastAsia" w:asciiTheme="minorEastAsia" w:hAnsiTheme="minorEastAsia" w:eastAsiaTheme="minorEastAsia" w:cstheme="minorEastAsia"/>
                  <w:sz w:val="28"/>
                  <w:szCs w:val="28"/>
                </w:rPr>
                <w:t>7.2主要危险、有害因素</w:t>
              </w:r>
            </w:sdtContent>
          </w:sdt>
          <w:r>
            <w:rPr>
              <w:rFonts w:hint="eastAsia" w:asciiTheme="minorEastAsia" w:hAnsiTheme="minorEastAsia" w:eastAsiaTheme="minorEastAsia" w:cstheme="minorEastAsia"/>
              <w:sz w:val="28"/>
              <w:szCs w:val="28"/>
            </w:rPr>
            <w:tab/>
          </w:r>
          <w:bookmarkStart w:id="50" w:name="_Toc5882_WPSOffice_Level2Page"/>
          <w:r>
            <w:rPr>
              <w:rFonts w:hint="eastAsia" w:asciiTheme="minorEastAsia" w:hAnsiTheme="minorEastAsia" w:eastAsiaTheme="minorEastAsia" w:cstheme="minorEastAsia"/>
              <w:sz w:val="28"/>
              <w:szCs w:val="28"/>
            </w:rPr>
            <w:t>102</w:t>
          </w:r>
          <w:bookmarkEnd w:id="50"/>
          <w:r>
            <w:rPr>
              <w:rFonts w:hint="eastAsia" w:asciiTheme="minorEastAsia" w:hAnsiTheme="minorEastAsia" w:eastAsiaTheme="minorEastAsia" w:cstheme="minorEastAsia"/>
              <w:sz w:val="28"/>
              <w:szCs w:val="28"/>
            </w:rPr>
            <w:fldChar w:fldCharType="end"/>
          </w:r>
        </w:p>
        <w:p>
          <w:pPr>
            <w:pStyle w:val="117"/>
            <w:tabs>
              <w:tab w:val="right" w:leader="dot" w:pos="9185"/>
            </w:tabs>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_Toc29998_WPSOffice_Level2 </w:instrText>
          </w:r>
          <w:r>
            <w:rPr>
              <w:rFonts w:hint="eastAsia" w:asciiTheme="minorEastAsia" w:hAnsiTheme="minorEastAsia" w:eastAsiaTheme="minorEastAsia" w:cstheme="minorEastAsia"/>
              <w:sz w:val="28"/>
              <w:szCs w:val="28"/>
            </w:rPr>
            <w:fldChar w:fldCharType="separate"/>
          </w:r>
          <w:sdt>
            <w:sdtPr>
              <w:rPr>
                <w:rFonts w:hint="eastAsia" w:asciiTheme="minorEastAsia" w:hAnsiTheme="minorEastAsia" w:eastAsiaTheme="minorEastAsia" w:cstheme="minorEastAsia"/>
                <w:sz w:val="28"/>
                <w:szCs w:val="28"/>
                <w:lang w:val="en-US" w:eastAsia="zh-CN" w:bidi="ar-SA"/>
              </w:rPr>
              <w:id w:val="147465337"/>
              <w:placeholder>
                <w:docPart w:val="{67bbb086-cf41-49d7-9f25-23ff304f937f}"/>
              </w:placeholder>
            </w:sdtPr>
            <w:sdtEndPr>
              <w:rPr>
                <w:rFonts w:hint="eastAsia" w:asciiTheme="minorEastAsia" w:hAnsiTheme="minorEastAsia" w:eastAsiaTheme="minorEastAsia" w:cstheme="minorEastAsia"/>
                <w:sz w:val="28"/>
                <w:szCs w:val="28"/>
                <w:lang w:val="en-US" w:eastAsia="zh-CN" w:bidi="ar-SA"/>
              </w:rPr>
            </w:sdtEndPr>
            <w:sdtContent>
              <w:r>
                <w:rPr>
                  <w:rFonts w:hint="eastAsia" w:asciiTheme="minorEastAsia" w:hAnsiTheme="minorEastAsia" w:eastAsiaTheme="minorEastAsia" w:cstheme="minorEastAsia"/>
                  <w:sz w:val="28"/>
                  <w:szCs w:val="28"/>
                </w:rPr>
                <w:t>7.3危险化学品重大危险源辨识结果</w:t>
              </w:r>
            </w:sdtContent>
          </w:sdt>
          <w:r>
            <w:rPr>
              <w:rFonts w:hint="eastAsia" w:asciiTheme="minorEastAsia" w:hAnsiTheme="minorEastAsia" w:eastAsiaTheme="minorEastAsia" w:cstheme="minorEastAsia"/>
              <w:sz w:val="28"/>
              <w:szCs w:val="28"/>
            </w:rPr>
            <w:tab/>
          </w:r>
          <w:bookmarkStart w:id="51" w:name="_Toc29998_WPSOffice_Level2Page"/>
          <w:r>
            <w:rPr>
              <w:rFonts w:hint="eastAsia" w:asciiTheme="minorEastAsia" w:hAnsiTheme="minorEastAsia" w:eastAsiaTheme="minorEastAsia" w:cstheme="minorEastAsia"/>
              <w:sz w:val="28"/>
              <w:szCs w:val="28"/>
            </w:rPr>
            <w:t>102</w:t>
          </w:r>
          <w:bookmarkEnd w:id="51"/>
          <w:r>
            <w:rPr>
              <w:rFonts w:hint="eastAsia" w:asciiTheme="minorEastAsia" w:hAnsiTheme="minorEastAsia" w:eastAsiaTheme="minorEastAsia" w:cstheme="minorEastAsia"/>
              <w:sz w:val="28"/>
              <w:szCs w:val="28"/>
            </w:rPr>
            <w:fldChar w:fldCharType="end"/>
          </w:r>
        </w:p>
        <w:p>
          <w:pPr>
            <w:pStyle w:val="117"/>
            <w:tabs>
              <w:tab w:val="right" w:leader="dot" w:pos="9185"/>
            </w:tabs>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_Toc13576_WPSOffice_Level2 </w:instrText>
          </w:r>
          <w:r>
            <w:rPr>
              <w:rFonts w:hint="eastAsia" w:asciiTheme="minorEastAsia" w:hAnsiTheme="minorEastAsia" w:eastAsiaTheme="minorEastAsia" w:cstheme="minorEastAsia"/>
              <w:sz w:val="28"/>
              <w:szCs w:val="28"/>
            </w:rPr>
            <w:fldChar w:fldCharType="separate"/>
          </w:r>
          <w:sdt>
            <w:sdtPr>
              <w:rPr>
                <w:rFonts w:hint="eastAsia" w:asciiTheme="minorEastAsia" w:hAnsiTheme="minorEastAsia" w:eastAsiaTheme="minorEastAsia" w:cstheme="minorEastAsia"/>
                <w:sz w:val="28"/>
                <w:szCs w:val="28"/>
                <w:lang w:val="en-US" w:eastAsia="zh-CN" w:bidi="ar-SA"/>
              </w:rPr>
              <w:id w:val="147483544"/>
              <w:placeholder>
                <w:docPart w:val="{318c9d21-5b96-4809-b63c-7d01fcef0499}"/>
              </w:placeholder>
            </w:sdtPr>
            <w:sdtEndPr>
              <w:rPr>
                <w:rFonts w:hint="eastAsia" w:asciiTheme="minorEastAsia" w:hAnsiTheme="minorEastAsia" w:eastAsiaTheme="minorEastAsia" w:cstheme="minorEastAsia"/>
                <w:sz w:val="28"/>
                <w:szCs w:val="28"/>
                <w:lang w:val="en-US" w:eastAsia="zh-CN" w:bidi="ar-SA"/>
              </w:rPr>
            </w:sdtEndPr>
            <w:sdtContent>
              <w:r>
                <w:rPr>
                  <w:rFonts w:hint="eastAsia" w:asciiTheme="minorEastAsia" w:hAnsiTheme="minorEastAsia" w:eastAsiaTheme="minorEastAsia" w:cstheme="minorEastAsia"/>
                  <w:sz w:val="28"/>
                  <w:szCs w:val="28"/>
                </w:rPr>
                <w:t>7.4应重点防范的事故及危害</w:t>
              </w:r>
            </w:sdtContent>
          </w:sdt>
          <w:r>
            <w:rPr>
              <w:rFonts w:hint="eastAsia" w:asciiTheme="minorEastAsia" w:hAnsiTheme="minorEastAsia" w:eastAsiaTheme="minorEastAsia" w:cstheme="minorEastAsia"/>
              <w:sz w:val="28"/>
              <w:szCs w:val="28"/>
            </w:rPr>
            <w:tab/>
          </w:r>
          <w:bookmarkStart w:id="52" w:name="_Toc13576_WPSOffice_Level2Page"/>
          <w:r>
            <w:rPr>
              <w:rFonts w:hint="eastAsia" w:asciiTheme="minorEastAsia" w:hAnsiTheme="minorEastAsia" w:eastAsiaTheme="minorEastAsia" w:cstheme="minorEastAsia"/>
              <w:sz w:val="28"/>
              <w:szCs w:val="28"/>
            </w:rPr>
            <w:t>102</w:t>
          </w:r>
          <w:bookmarkEnd w:id="52"/>
          <w:r>
            <w:rPr>
              <w:rFonts w:hint="eastAsia" w:asciiTheme="minorEastAsia" w:hAnsiTheme="minorEastAsia" w:eastAsiaTheme="minorEastAsia" w:cstheme="minorEastAsia"/>
              <w:sz w:val="28"/>
              <w:szCs w:val="28"/>
            </w:rPr>
            <w:fldChar w:fldCharType="end"/>
          </w:r>
        </w:p>
        <w:p>
          <w:pPr>
            <w:pStyle w:val="117"/>
            <w:tabs>
              <w:tab w:val="right" w:leader="dot" w:pos="9185"/>
            </w:tabs>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_Toc16583_WPSOffice_Level2 </w:instrText>
          </w:r>
          <w:r>
            <w:rPr>
              <w:rFonts w:hint="eastAsia" w:asciiTheme="minorEastAsia" w:hAnsiTheme="minorEastAsia" w:eastAsiaTheme="minorEastAsia" w:cstheme="minorEastAsia"/>
              <w:sz w:val="28"/>
              <w:szCs w:val="28"/>
            </w:rPr>
            <w:fldChar w:fldCharType="separate"/>
          </w:r>
          <w:sdt>
            <w:sdtPr>
              <w:rPr>
                <w:rFonts w:hint="eastAsia" w:asciiTheme="minorEastAsia" w:hAnsiTheme="minorEastAsia" w:eastAsiaTheme="minorEastAsia" w:cstheme="minorEastAsia"/>
                <w:sz w:val="28"/>
                <w:szCs w:val="28"/>
                <w:lang w:val="en-US" w:eastAsia="zh-CN" w:bidi="ar-SA"/>
              </w:rPr>
              <w:id w:val="147455447"/>
              <w:placeholder>
                <w:docPart w:val="{f7e50a42-fdd6-49f4-89d2-77067483fe1c}"/>
              </w:placeholder>
            </w:sdtPr>
            <w:sdtEndPr>
              <w:rPr>
                <w:rFonts w:hint="eastAsia" w:asciiTheme="minorEastAsia" w:hAnsiTheme="minorEastAsia" w:eastAsiaTheme="minorEastAsia" w:cstheme="minorEastAsia"/>
                <w:sz w:val="28"/>
                <w:szCs w:val="28"/>
                <w:lang w:val="en-US" w:eastAsia="zh-CN" w:bidi="ar-SA"/>
              </w:rPr>
            </w:sdtEndPr>
            <w:sdtContent>
              <w:r>
                <w:rPr>
                  <w:rFonts w:hint="eastAsia" w:asciiTheme="minorEastAsia" w:hAnsiTheme="minorEastAsia" w:eastAsiaTheme="minorEastAsia" w:cstheme="minorEastAsia"/>
                  <w:sz w:val="28"/>
                  <w:szCs w:val="28"/>
                </w:rPr>
                <w:t>7.5安全现状评价结论</w:t>
              </w:r>
            </w:sdtContent>
          </w:sdt>
          <w:r>
            <w:rPr>
              <w:rFonts w:hint="eastAsia" w:asciiTheme="minorEastAsia" w:hAnsiTheme="minorEastAsia" w:eastAsiaTheme="minorEastAsia" w:cstheme="minorEastAsia"/>
              <w:sz w:val="28"/>
              <w:szCs w:val="28"/>
            </w:rPr>
            <w:tab/>
          </w:r>
          <w:bookmarkStart w:id="53" w:name="_Toc16583_WPSOffice_Level2Page"/>
          <w:r>
            <w:rPr>
              <w:rFonts w:hint="eastAsia" w:asciiTheme="minorEastAsia" w:hAnsiTheme="minorEastAsia" w:eastAsiaTheme="minorEastAsia" w:cstheme="minorEastAsia"/>
              <w:sz w:val="28"/>
              <w:szCs w:val="28"/>
            </w:rPr>
            <w:t>103</w:t>
          </w:r>
          <w:bookmarkEnd w:id="53"/>
          <w:r>
            <w:rPr>
              <w:rFonts w:hint="eastAsia" w:asciiTheme="minorEastAsia" w:hAnsiTheme="minorEastAsia" w:eastAsiaTheme="minorEastAsia" w:cstheme="minorEastAsia"/>
              <w:sz w:val="28"/>
              <w:szCs w:val="28"/>
            </w:rPr>
            <w:fldChar w:fldCharType="end"/>
          </w:r>
        </w:p>
        <w:p>
          <w:pPr>
            <w:pStyle w:val="116"/>
            <w:tabs>
              <w:tab w:val="right" w:leader="dot" w:pos="9185"/>
            </w:tabs>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fldChar w:fldCharType="begin"/>
          </w:r>
          <w:r>
            <w:rPr>
              <w:rFonts w:hint="eastAsia" w:asciiTheme="minorEastAsia" w:hAnsiTheme="minorEastAsia" w:eastAsiaTheme="minorEastAsia" w:cstheme="minorEastAsia"/>
              <w:sz w:val="28"/>
              <w:szCs w:val="28"/>
            </w:rPr>
            <w:instrText xml:space="preserve"> HYPERLINK \l _Toc19451_WPSOffice_Level1 </w:instrText>
          </w:r>
          <w:r>
            <w:rPr>
              <w:rFonts w:hint="eastAsia" w:asciiTheme="minorEastAsia" w:hAnsiTheme="minorEastAsia" w:eastAsiaTheme="minorEastAsia" w:cstheme="minorEastAsia"/>
              <w:b/>
              <w:bCs/>
              <w:sz w:val="28"/>
              <w:szCs w:val="28"/>
            </w:rPr>
            <w:fldChar w:fldCharType="separate"/>
          </w:r>
          <w:sdt>
            <w:sdtPr>
              <w:rPr>
                <w:rFonts w:hint="eastAsia" w:asciiTheme="minorEastAsia" w:hAnsiTheme="minorEastAsia" w:eastAsiaTheme="minorEastAsia" w:cstheme="minorEastAsia"/>
                <w:b/>
                <w:bCs/>
                <w:sz w:val="28"/>
                <w:szCs w:val="28"/>
                <w:lang w:val="en-US" w:eastAsia="zh-CN" w:bidi="ar-SA"/>
              </w:rPr>
              <w:id w:val="147454741"/>
              <w:placeholder>
                <w:docPart w:val="{f3ea3ebf-dd4f-4a69-b9b1-caa6226037aa}"/>
              </w:placeholder>
            </w:sdtPr>
            <w:sdtEndPr>
              <w:rPr>
                <w:rFonts w:hint="eastAsia" w:asciiTheme="minorEastAsia" w:hAnsiTheme="minorEastAsia" w:eastAsiaTheme="minorEastAsia" w:cstheme="minorEastAsia"/>
                <w:b/>
                <w:bCs/>
                <w:sz w:val="28"/>
                <w:szCs w:val="28"/>
                <w:lang w:val="en-US" w:eastAsia="zh-CN" w:bidi="ar-SA"/>
              </w:rPr>
            </w:sdtEndPr>
            <w:sdtContent>
              <w:r>
                <w:rPr>
                  <w:rFonts w:hint="eastAsia" w:asciiTheme="minorEastAsia" w:hAnsiTheme="minorEastAsia" w:eastAsiaTheme="minorEastAsia" w:cstheme="minorEastAsia"/>
                  <w:b/>
                  <w:bCs/>
                  <w:sz w:val="28"/>
                  <w:szCs w:val="28"/>
                </w:rPr>
                <w:t>第8章  与被评价单位交换意见的情况</w:t>
              </w:r>
            </w:sdtContent>
          </w:sdt>
          <w:r>
            <w:rPr>
              <w:rFonts w:hint="eastAsia" w:asciiTheme="minorEastAsia" w:hAnsiTheme="minorEastAsia" w:eastAsiaTheme="minorEastAsia" w:cstheme="minorEastAsia"/>
              <w:b/>
              <w:bCs/>
              <w:sz w:val="28"/>
              <w:szCs w:val="28"/>
            </w:rPr>
            <w:tab/>
          </w:r>
          <w:bookmarkStart w:id="54" w:name="_Toc19451_WPSOffice_Level1Page"/>
          <w:r>
            <w:rPr>
              <w:rFonts w:hint="eastAsia" w:asciiTheme="minorEastAsia" w:hAnsiTheme="minorEastAsia" w:eastAsiaTheme="minorEastAsia" w:cstheme="minorEastAsia"/>
              <w:b/>
              <w:bCs/>
              <w:sz w:val="28"/>
              <w:szCs w:val="28"/>
            </w:rPr>
            <w:t>105</w:t>
          </w:r>
          <w:bookmarkEnd w:id="54"/>
          <w:r>
            <w:rPr>
              <w:rFonts w:hint="eastAsia" w:asciiTheme="minorEastAsia" w:hAnsiTheme="minorEastAsia" w:eastAsiaTheme="minorEastAsia" w:cstheme="minorEastAsia"/>
              <w:b/>
              <w:bCs/>
              <w:sz w:val="28"/>
              <w:szCs w:val="28"/>
            </w:rPr>
            <w:fldChar w:fldCharType="end"/>
          </w:r>
        </w:p>
        <w:p>
          <w:pPr>
            <w:pStyle w:val="116"/>
            <w:tabs>
              <w:tab w:val="right" w:leader="dot" w:pos="9185"/>
            </w:tabs>
          </w:pPr>
          <w:r>
            <w:rPr>
              <w:rFonts w:hint="eastAsia" w:asciiTheme="minorEastAsia" w:hAnsiTheme="minorEastAsia" w:eastAsiaTheme="minorEastAsia" w:cstheme="minorEastAsia"/>
              <w:b/>
              <w:bCs/>
              <w:sz w:val="28"/>
              <w:szCs w:val="28"/>
            </w:rPr>
            <w:fldChar w:fldCharType="begin"/>
          </w:r>
          <w:r>
            <w:rPr>
              <w:rFonts w:hint="eastAsia" w:asciiTheme="minorEastAsia" w:hAnsiTheme="minorEastAsia" w:eastAsiaTheme="minorEastAsia" w:cstheme="minorEastAsia"/>
              <w:sz w:val="28"/>
              <w:szCs w:val="28"/>
            </w:rPr>
            <w:instrText xml:space="preserve"> HYPERLINK \l _Toc8995_WPSOffice_Level1 </w:instrText>
          </w:r>
          <w:r>
            <w:rPr>
              <w:rFonts w:hint="eastAsia" w:asciiTheme="minorEastAsia" w:hAnsiTheme="minorEastAsia" w:eastAsiaTheme="minorEastAsia" w:cstheme="minorEastAsia"/>
              <w:b/>
              <w:bCs/>
              <w:sz w:val="28"/>
              <w:szCs w:val="28"/>
            </w:rPr>
            <w:fldChar w:fldCharType="separate"/>
          </w:r>
          <w:sdt>
            <w:sdtPr>
              <w:rPr>
                <w:rFonts w:hint="eastAsia" w:asciiTheme="minorEastAsia" w:hAnsiTheme="minorEastAsia" w:eastAsiaTheme="minorEastAsia" w:cstheme="minorEastAsia"/>
                <w:b/>
                <w:bCs/>
                <w:sz w:val="28"/>
                <w:szCs w:val="28"/>
                <w:lang w:val="en-US" w:eastAsia="zh-CN" w:bidi="ar-SA"/>
              </w:rPr>
              <w:id w:val="147482363"/>
              <w:placeholder>
                <w:docPart w:val="{20545215-c490-443a-a5cb-678407a0126f}"/>
              </w:placeholder>
            </w:sdtPr>
            <w:sdtEndPr>
              <w:rPr>
                <w:rFonts w:hint="eastAsia" w:asciiTheme="minorEastAsia" w:hAnsiTheme="minorEastAsia" w:eastAsiaTheme="minorEastAsia" w:cstheme="minorEastAsia"/>
                <w:b/>
                <w:bCs/>
                <w:sz w:val="28"/>
                <w:szCs w:val="28"/>
                <w:lang w:val="en-US" w:eastAsia="zh-CN" w:bidi="ar-SA"/>
              </w:rPr>
            </w:sdtEndPr>
            <w:sdtContent>
              <w:r>
                <w:rPr>
                  <w:rFonts w:hint="eastAsia" w:asciiTheme="minorEastAsia" w:hAnsiTheme="minorEastAsia" w:eastAsiaTheme="minorEastAsia" w:cstheme="minorEastAsia"/>
                  <w:b/>
                  <w:bCs/>
                  <w:sz w:val="28"/>
                  <w:szCs w:val="28"/>
                </w:rPr>
                <w:t>附件目录</w:t>
              </w:r>
            </w:sdtContent>
          </w:sdt>
          <w:r>
            <w:rPr>
              <w:rFonts w:hint="eastAsia" w:asciiTheme="minorEastAsia" w:hAnsiTheme="minorEastAsia" w:eastAsiaTheme="minorEastAsia" w:cstheme="minorEastAsia"/>
              <w:b/>
              <w:bCs/>
              <w:sz w:val="28"/>
              <w:szCs w:val="28"/>
            </w:rPr>
            <w:tab/>
          </w:r>
          <w:bookmarkStart w:id="55" w:name="_Toc8995_WPSOffice_Level1Page"/>
          <w:r>
            <w:rPr>
              <w:rFonts w:hint="eastAsia" w:asciiTheme="minorEastAsia" w:hAnsiTheme="minorEastAsia" w:eastAsiaTheme="minorEastAsia" w:cstheme="minorEastAsia"/>
              <w:b/>
              <w:bCs/>
              <w:sz w:val="28"/>
              <w:szCs w:val="28"/>
            </w:rPr>
            <w:t>106</w:t>
          </w:r>
          <w:bookmarkEnd w:id="55"/>
          <w:r>
            <w:rPr>
              <w:rFonts w:hint="eastAsia" w:asciiTheme="minorEastAsia" w:hAnsiTheme="minorEastAsia" w:eastAsiaTheme="minorEastAsia" w:cstheme="minorEastAsia"/>
              <w:b/>
              <w:bCs/>
              <w:sz w:val="28"/>
              <w:szCs w:val="28"/>
            </w:rPr>
            <w:fldChar w:fldCharType="end"/>
          </w:r>
        </w:p>
        <w:bookmarkEnd w:id="0"/>
        <w:p>
          <w:pPr>
            <w:pStyle w:val="116"/>
            <w:tabs>
              <w:tab w:val="right" w:leader="dot" w:pos="9185"/>
            </w:tabs>
            <w:spacing w:line="400" w:lineRule="exact"/>
            <w:jc w:val="both"/>
            <w:rPr>
              <w:color w:val="000000" w:themeColor="text1"/>
            </w:rPr>
          </w:pPr>
        </w:p>
      </w:sdtContent>
    </w:sdt>
    <w:p>
      <w:pPr>
        <w:pStyle w:val="51"/>
        <w:rPr>
          <w:color w:val="000000" w:themeColor="text1"/>
        </w:rPr>
      </w:pPr>
    </w:p>
    <w:p>
      <w:pPr>
        <w:pStyle w:val="51"/>
        <w:spacing w:line="400" w:lineRule="exact"/>
        <w:rPr>
          <w:color w:val="000000" w:themeColor="text1"/>
        </w:rPr>
      </w:pPr>
    </w:p>
    <w:p>
      <w:pPr>
        <w:pStyle w:val="51"/>
        <w:ind w:firstLine="480"/>
        <w:rPr>
          <w:rFonts w:cs="宋体"/>
          <w:color w:val="000000" w:themeColor="text1"/>
          <w:sz w:val="24"/>
          <w:szCs w:val="24"/>
        </w:rPr>
      </w:pPr>
    </w:p>
    <w:p>
      <w:pPr>
        <w:pStyle w:val="51"/>
        <w:spacing w:line="400" w:lineRule="exact"/>
        <w:rPr>
          <w:color w:val="000000" w:themeColor="text1"/>
        </w:rPr>
      </w:pPr>
    </w:p>
    <w:p>
      <w:pPr>
        <w:pStyle w:val="116"/>
        <w:tabs>
          <w:tab w:val="right" w:leader="dot" w:pos="9185"/>
        </w:tabs>
        <w:adjustRightInd w:val="0"/>
        <w:snapToGrid w:val="0"/>
        <w:spacing w:line="400" w:lineRule="exact"/>
        <w:jc w:val="both"/>
        <w:rPr>
          <w:rFonts w:ascii="宋体" w:hAnsi="宋体" w:cs="宋体"/>
          <w:color w:val="000000" w:themeColor="text1"/>
          <w:sz w:val="24"/>
          <w:szCs w:val="24"/>
        </w:rPr>
      </w:pPr>
    </w:p>
    <w:p>
      <w:pPr>
        <w:pStyle w:val="51"/>
        <w:rPr>
          <w:color w:val="000000" w:themeColor="text1"/>
        </w:rPr>
      </w:pPr>
    </w:p>
    <w:p>
      <w:pPr>
        <w:adjustRightInd w:val="0"/>
        <w:snapToGrid w:val="0"/>
        <w:spacing w:line="400" w:lineRule="exact"/>
        <w:ind w:firstLine="482" w:firstLineChars="200"/>
        <w:rPr>
          <w:b/>
          <w:color w:val="000000" w:themeColor="text1"/>
          <w:sz w:val="24"/>
          <w:szCs w:val="24"/>
        </w:rPr>
      </w:pPr>
    </w:p>
    <w:p>
      <w:pPr>
        <w:pStyle w:val="18"/>
        <w:adjustRightInd w:val="0"/>
        <w:snapToGrid w:val="0"/>
        <w:spacing w:before="0" w:after="0" w:line="400" w:lineRule="exact"/>
        <w:rPr>
          <w:snapToGrid w:val="0"/>
          <w:color w:val="000000" w:themeColor="text1"/>
          <w:kern w:val="0"/>
          <w:sz w:val="24"/>
          <w:szCs w:val="24"/>
        </w:rPr>
        <w:sectPr>
          <w:headerReference r:id="rId3" w:type="default"/>
          <w:footerReference r:id="rId4" w:type="default"/>
          <w:pgSz w:w="11907" w:h="16840"/>
          <w:pgMar w:top="1418" w:right="1134" w:bottom="1134" w:left="1588" w:header="851" w:footer="992" w:gutter="0"/>
          <w:pgNumType w:fmt="decimalFullWidth" w:start="1"/>
          <w:cols w:space="720" w:num="1"/>
          <w:docGrid w:type="lines" w:linePitch="312" w:charSpace="0"/>
        </w:sectPr>
      </w:pPr>
      <w:bookmarkStart w:id="56" w:name="_Toc26123"/>
      <w:bookmarkStart w:id="57" w:name="_Toc217444140"/>
    </w:p>
    <w:p>
      <w:pPr>
        <w:pStyle w:val="19"/>
        <w:spacing w:afterLines="100" w:line="500" w:lineRule="exact"/>
        <w:jc w:val="center"/>
        <w:rPr>
          <w:rFonts w:ascii="楷体_GB2312" w:hAnsi="宋体" w:eastAsia="楷体_GB2312"/>
          <w:color w:val="000000" w:themeColor="text1"/>
          <w:kern w:val="3"/>
        </w:rPr>
      </w:pPr>
      <w:bookmarkStart w:id="58" w:name="_Toc14945"/>
      <w:bookmarkStart w:id="59" w:name="_Toc23246"/>
      <w:bookmarkStart w:id="60" w:name="_Toc19916"/>
      <w:bookmarkStart w:id="61" w:name="_Toc16999"/>
      <w:bookmarkStart w:id="62" w:name="_Toc3422_WPSOffice_Level1"/>
      <w:bookmarkStart w:id="63" w:name="_Toc25912"/>
      <w:bookmarkStart w:id="64" w:name="_Toc25498"/>
      <w:bookmarkStart w:id="65" w:name="_Toc14986"/>
      <w:bookmarkStart w:id="66" w:name="_Toc11544"/>
      <w:bookmarkStart w:id="67" w:name="_Toc16632"/>
      <w:bookmarkStart w:id="68" w:name="_Toc10871"/>
      <w:bookmarkStart w:id="69" w:name="_Toc24573"/>
      <w:bookmarkStart w:id="70" w:name="_Toc30394"/>
      <w:bookmarkStart w:id="71" w:name="_Toc22779"/>
      <w:bookmarkStart w:id="72" w:name="_Toc24240"/>
      <w:bookmarkStart w:id="73" w:name="_Toc4321"/>
      <w:r>
        <w:rPr>
          <w:rFonts w:hint="eastAsia" w:ascii="楷体_GB2312" w:hAnsi="宋体" w:eastAsia="楷体_GB2312"/>
          <w:color w:val="000000" w:themeColor="text1"/>
          <w:kern w:val="3"/>
        </w:rPr>
        <w:t>第1章  编制说明</w:t>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pPr>
        <w:pStyle w:val="19"/>
        <w:spacing w:afterLines="100" w:line="500" w:lineRule="exact"/>
        <w:jc w:val="center"/>
        <w:rPr>
          <w:rFonts w:ascii="楷体_GB2312" w:hAnsi="宋体" w:eastAsia="楷体_GB2312"/>
          <w:color w:val="000000" w:themeColor="text1"/>
          <w:kern w:val="3"/>
        </w:rPr>
      </w:pPr>
      <w:bookmarkStart w:id="74" w:name="_Toc217444141"/>
      <w:bookmarkStart w:id="75" w:name="_Toc191729648"/>
      <w:bookmarkStart w:id="76" w:name="_Toc11650"/>
      <w:bookmarkStart w:id="77" w:name="_Toc2629"/>
      <w:bookmarkStart w:id="78" w:name="_Toc191728088"/>
      <w:bookmarkStart w:id="79" w:name="_Toc24293"/>
      <w:bookmarkStart w:id="80" w:name="_Toc191729966"/>
      <w:bookmarkStart w:id="81" w:name="_Toc12803"/>
      <w:bookmarkStart w:id="82" w:name="_Toc26979"/>
      <w:bookmarkStart w:id="83" w:name="_Toc14123"/>
      <w:bookmarkStart w:id="84" w:name="_Toc194389863"/>
      <w:bookmarkStart w:id="85" w:name="_Toc22005"/>
      <w:bookmarkStart w:id="86" w:name="_Toc17005"/>
      <w:bookmarkStart w:id="87" w:name="_Toc15536"/>
      <w:bookmarkStart w:id="88" w:name="_Toc13882"/>
      <w:bookmarkStart w:id="89" w:name="_Toc7637"/>
      <w:bookmarkStart w:id="90" w:name="_Toc26875"/>
      <w:bookmarkStart w:id="91" w:name="_Toc30356"/>
      <w:bookmarkStart w:id="92" w:name="_Toc23722"/>
      <w:bookmarkStart w:id="93" w:name="_Toc11746"/>
      <w:bookmarkStart w:id="94" w:name="_Toc22346"/>
      <w:bookmarkStart w:id="95" w:name="_Toc2524_WPSOffice_Level2"/>
      <w:r>
        <w:rPr>
          <w:rFonts w:hint="eastAsia" w:ascii="楷体_GB2312" w:hAnsi="宋体" w:eastAsia="楷体_GB2312"/>
          <w:color w:val="000000" w:themeColor="text1"/>
          <w:kern w:val="3"/>
        </w:rPr>
        <w:t>1.1评价目的</w:t>
      </w:r>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p>
    <w:p>
      <w:pPr>
        <w:tabs>
          <w:tab w:val="left" w:pos="315"/>
        </w:tabs>
        <w:adjustRightInd w:val="0"/>
        <w:snapToGrid w:val="0"/>
        <w:spacing w:line="500" w:lineRule="exact"/>
        <w:ind w:firstLine="560" w:firstLineChars="200"/>
        <w:rPr>
          <w:snapToGrid w:val="0"/>
          <w:color w:val="000000" w:themeColor="text1"/>
          <w:kern w:val="0"/>
          <w:sz w:val="28"/>
          <w:szCs w:val="28"/>
        </w:rPr>
      </w:pPr>
      <w:bookmarkStart w:id="96" w:name="_Toc191729649"/>
      <w:bookmarkStart w:id="97" w:name="_Toc194389864"/>
      <w:bookmarkStart w:id="98" w:name="_Toc191728089"/>
      <w:bookmarkStart w:id="99" w:name="_Toc191729967"/>
      <w:bookmarkStart w:id="100" w:name="_Toc217444142"/>
      <w:r>
        <w:rPr>
          <w:snapToGrid w:val="0"/>
          <w:color w:val="000000" w:themeColor="text1"/>
          <w:kern w:val="0"/>
          <w:sz w:val="28"/>
          <w:szCs w:val="28"/>
        </w:rPr>
        <w:t>1</w:t>
      </w:r>
      <w:r>
        <w:rPr>
          <w:rFonts w:hint="eastAsia"/>
          <w:snapToGrid w:val="0"/>
          <w:color w:val="000000" w:themeColor="text1"/>
          <w:kern w:val="0"/>
          <w:sz w:val="28"/>
          <w:szCs w:val="28"/>
        </w:rPr>
        <w:t>.</w:t>
      </w:r>
      <w:r>
        <w:rPr>
          <w:snapToGrid w:val="0"/>
          <w:color w:val="000000" w:themeColor="text1"/>
          <w:kern w:val="0"/>
          <w:sz w:val="28"/>
          <w:szCs w:val="28"/>
        </w:rPr>
        <w:t>根据国家相关法律、法规的规定和要求，为</w:t>
      </w:r>
      <w:r>
        <w:rPr>
          <w:rFonts w:hint="eastAsia"/>
          <w:snapToGrid w:val="0"/>
          <w:color w:val="000000" w:themeColor="text1"/>
          <w:kern w:val="20"/>
          <w:sz w:val="28"/>
        </w:rPr>
        <w:t>昭通市耀晨甲醇醇油有限公司甲醇销售</w:t>
      </w:r>
      <w:r>
        <w:rPr>
          <w:snapToGrid w:val="0"/>
          <w:color w:val="000000" w:themeColor="text1"/>
          <w:kern w:val="0"/>
          <w:sz w:val="28"/>
          <w:szCs w:val="28"/>
        </w:rPr>
        <w:t>提供安全现状评价报告</w:t>
      </w:r>
      <w:r>
        <w:rPr>
          <w:color w:val="000000" w:themeColor="text1"/>
          <w:sz w:val="28"/>
          <w:szCs w:val="28"/>
        </w:rPr>
        <w:t>，</w:t>
      </w:r>
      <w:r>
        <w:rPr>
          <w:snapToGrid w:val="0"/>
          <w:color w:val="000000" w:themeColor="text1"/>
          <w:kern w:val="0"/>
          <w:sz w:val="28"/>
          <w:szCs w:val="28"/>
        </w:rPr>
        <w:t>企业通过评价报告确认甲醇经营储存系统的安全状态。</w:t>
      </w:r>
    </w:p>
    <w:p>
      <w:pPr>
        <w:adjustRightInd w:val="0"/>
        <w:snapToGrid w:val="0"/>
        <w:spacing w:line="500" w:lineRule="exact"/>
        <w:ind w:firstLine="560" w:firstLineChars="200"/>
        <w:rPr>
          <w:snapToGrid w:val="0"/>
          <w:color w:val="000000" w:themeColor="text1"/>
          <w:kern w:val="0"/>
          <w:sz w:val="28"/>
          <w:szCs w:val="28"/>
        </w:rPr>
      </w:pPr>
      <w:r>
        <w:rPr>
          <w:snapToGrid w:val="0"/>
          <w:color w:val="000000" w:themeColor="text1"/>
          <w:kern w:val="0"/>
          <w:sz w:val="28"/>
          <w:szCs w:val="28"/>
        </w:rPr>
        <w:t>2</w:t>
      </w:r>
      <w:r>
        <w:rPr>
          <w:rFonts w:hint="eastAsia"/>
          <w:snapToGrid w:val="0"/>
          <w:color w:val="000000" w:themeColor="text1"/>
          <w:kern w:val="0"/>
          <w:sz w:val="28"/>
          <w:szCs w:val="28"/>
        </w:rPr>
        <w:t>.</w:t>
      </w:r>
      <w:r>
        <w:rPr>
          <w:snapToGrid w:val="0"/>
          <w:color w:val="000000" w:themeColor="text1"/>
          <w:kern w:val="0"/>
          <w:sz w:val="28"/>
          <w:szCs w:val="28"/>
        </w:rPr>
        <w:t>通过安全现状评价为企业事故隐患治理提供依据，为企业的安全投入与资金使用提供参考。</w:t>
      </w:r>
    </w:p>
    <w:p>
      <w:pPr>
        <w:tabs>
          <w:tab w:val="left" w:pos="315"/>
        </w:tabs>
        <w:adjustRightInd w:val="0"/>
        <w:snapToGrid w:val="0"/>
        <w:spacing w:line="500" w:lineRule="exact"/>
        <w:ind w:firstLine="560" w:firstLineChars="200"/>
        <w:rPr>
          <w:snapToGrid w:val="0"/>
          <w:color w:val="000000" w:themeColor="text1"/>
          <w:kern w:val="0"/>
          <w:sz w:val="28"/>
          <w:szCs w:val="28"/>
        </w:rPr>
      </w:pPr>
      <w:r>
        <w:rPr>
          <w:snapToGrid w:val="0"/>
          <w:color w:val="000000" w:themeColor="text1"/>
          <w:kern w:val="0"/>
          <w:sz w:val="28"/>
          <w:szCs w:val="28"/>
        </w:rPr>
        <w:t>3</w:t>
      </w:r>
      <w:r>
        <w:rPr>
          <w:rFonts w:hint="eastAsia"/>
          <w:snapToGrid w:val="0"/>
          <w:color w:val="000000" w:themeColor="text1"/>
          <w:kern w:val="0"/>
          <w:sz w:val="28"/>
          <w:szCs w:val="28"/>
        </w:rPr>
        <w:t>.</w:t>
      </w:r>
      <w:r>
        <w:rPr>
          <w:snapToGrid w:val="0"/>
          <w:color w:val="000000" w:themeColor="text1"/>
          <w:kern w:val="0"/>
          <w:sz w:val="28"/>
          <w:szCs w:val="28"/>
        </w:rPr>
        <w:t>通过安全现状评价，促进企业的安全管理，发现和整改事故隐患，提高企业运营的本质安全度。</w:t>
      </w:r>
    </w:p>
    <w:p>
      <w:pPr>
        <w:tabs>
          <w:tab w:val="left" w:pos="315"/>
        </w:tabs>
        <w:adjustRightInd w:val="0"/>
        <w:snapToGrid w:val="0"/>
        <w:spacing w:line="500" w:lineRule="exact"/>
        <w:ind w:firstLine="560" w:firstLineChars="200"/>
        <w:rPr>
          <w:snapToGrid w:val="0"/>
          <w:color w:val="000000" w:themeColor="text1"/>
          <w:kern w:val="0"/>
          <w:sz w:val="28"/>
          <w:szCs w:val="28"/>
        </w:rPr>
      </w:pPr>
      <w:r>
        <w:rPr>
          <w:snapToGrid w:val="0"/>
          <w:color w:val="000000" w:themeColor="text1"/>
          <w:kern w:val="0"/>
          <w:sz w:val="28"/>
          <w:szCs w:val="28"/>
        </w:rPr>
        <w:t>4</w:t>
      </w:r>
      <w:r>
        <w:rPr>
          <w:rFonts w:hint="eastAsia"/>
          <w:snapToGrid w:val="0"/>
          <w:color w:val="000000" w:themeColor="text1"/>
          <w:kern w:val="0"/>
          <w:sz w:val="28"/>
          <w:szCs w:val="28"/>
        </w:rPr>
        <w:t>.</w:t>
      </w:r>
      <w:r>
        <w:rPr>
          <w:rFonts w:eastAsiaTheme="minorEastAsia"/>
          <w:snapToGrid w:val="0"/>
          <w:color w:val="000000" w:themeColor="text1"/>
          <w:kern w:val="0"/>
          <w:sz w:val="28"/>
          <w:szCs w:val="20"/>
        </w:rPr>
        <w:t>通过安全现状评价，查找其存在的主要危险、有害因素，并确定危险程度，提出合理可行的安全对策措施及建议。</w:t>
      </w:r>
    </w:p>
    <w:p>
      <w:pPr>
        <w:tabs>
          <w:tab w:val="left" w:pos="315"/>
        </w:tabs>
        <w:adjustRightInd w:val="0"/>
        <w:snapToGrid w:val="0"/>
        <w:spacing w:line="500" w:lineRule="exact"/>
        <w:ind w:left="560"/>
        <w:rPr>
          <w:snapToGrid w:val="0"/>
          <w:color w:val="000000" w:themeColor="text1"/>
          <w:kern w:val="0"/>
          <w:sz w:val="28"/>
          <w:szCs w:val="28"/>
        </w:rPr>
      </w:pPr>
      <w:r>
        <w:rPr>
          <w:snapToGrid w:val="0"/>
          <w:color w:val="000000" w:themeColor="text1"/>
          <w:kern w:val="0"/>
          <w:sz w:val="28"/>
          <w:szCs w:val="28"/>
        </w:rPr>
        <w:t>5</w:t>
      </w:r>
      <w:r>
        <w:rPr>
          <w:rFonts w:hint="eastAsia"/>
          <w:snapToGrid w:val="0"/>
          <w:color w:val="000000" w:themeColor="text1"/>
          <w:kern w:val="0"/>
          <w:sz w:val="28"/>
          <w:szCs w:val="28"/>
        </w:rPr>
        <w:t>.</w:t>
      </w:r>
      <w:r>
        <w:rPr>
          <w:snapToGrid w:val="0"/>
          <w:color w:val="000000" w:themeColor="text1"/>
          <w:kern w:val="0"/>
          <w:sz w:val="28"/>
          <w:szCs w:val="28"/>
        </w:rPr>
        <w:t>可作为今后企业持续改进、提高安全运营水平的基准。</w:t>
      </w:r>
    </w:p>
    <w:p>
      <w:pPr>
        <w:pStyle w:val="19"/>
        <w:spacing w:afterLines="100" w:line="500" w:lineRule="exact"/>
        <w:jc w:val="center"/>
        <w:rPr>
          <w:rFonts w:ascii="楷体_GB2312" w:hAnsi="宋体" w:eastAsia="楷体_GB2312"/>
          <w:color w:val="000000" w:themeColor="text1"/>
          <w:kern w:val="3"/>
        </w:rPr>
      </w:pPr>
      <w:bookmarkStart w:id="101" w:name="_Toc17775"/>
      <w:bookmarkStart w:id="102" w:name="_Toc23744"/>
      <w:bookmarkStart w:id="103" w:name="_Toc8036"/>
      <w:bookmarkStart w:id="104" w:name="_Toc5936"/>
      <w:bookmarkStart w:id="105" w:name="_Toc21287"/>
      <w:bookmarkStart w:id="106" w:name="_Toc10555"/>
      <w:bookmarkStart w:id="107" w:name="_Toc932"/>
      <w:bookmarkStart w:id="108" w:name="_Toc8755"/>
      <w:bookmarkStart w:id="109" w:name="_Toc14201"/>
      <w:bookmarkStart w:id="110" w:name="_Toc6953"/>
      <w:bookmarkStart w:id="111" w:name="_Toc9772"/>
      <w:bookmarkStart w:id="112" w:name="_Toc17918"/>
      <w:bookmarkStart w:id="113" w:name="_Toc14927"/>
      <w:bookmarkStart w:id="114" w:name="_Toc3129"/>
      <w:bookmarkStart w:id="115" w:name="_Toc16535"/>
      <w:bookmarkStart w:id="116" w:name="_Toc21003_WPSOffice_Level2"/>
      <w:bookmarkStart w:id="117" w:name="_Toc15298"/>
      <w:r>
        <w:rPr>
          <w:rFonts w:hint="eastAsia" w:ascii="楷体_GB2312" w:hAnsi="宋体" w:eastAsia="楷体_GB2312"/>
          <w:color w:val="000000" w:themeColor="text1"/>
          <w:kern w:val="3"/>
        </w:rPr>
        <w:t>1.2评价依据</w:t>
      </w:r>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p>
    <w:p>
      <w:pPr>
        <w:pStyle w:val="19"/>
        <w:spacing w:afterLines="100" w:line="500" w:lineRule="exact"/>
        <w:rPr>
          <w:rFonts w:ascii="黑体" w:hAnsi="宋体" w:eastAsia="黑体"/>
          <w:color w:val="000000" w:themeColor="text1"/>
          <w:kern w:val="3"/>
          <w:sz w:val="28"/>
          <w:szCs w:val="28"/>
        </w:rPr>
      </w:pPr>
      <w:bookmarkStart w:id="118" w:name="_Toc232044495"/>
      <w:bookmarkStart w:id="119" w:name="_Toc235074744"/>
      <w:bookmarkStart w:id="120" w:name="_Toc235614128"/>
      <w:bookmarkStart w:id="121" w:name="_Toc232045029"/>
      <w:bookmarkStart w:id="122" w:name="_Toc231987351"/>
      <w:bookmarkStart w:id="123" w:name="_Toc231987766"/>
      <w:bookmarkStart w:id="124" w:name="_Toc12018"/>
      <w:bookmarkStart w:id="125" w:name="_Toc9594"/>
      <w:bookmarkStart w:id="126" w:name="_Toc4374"/>
      <w:bookmarkStart w:id="127" w:name="_Toc3492"/>
      <w:bookmarkStart w:id="128" w:name="_Toc9681"/>
      <w:bookmarkStart w:id="129" w:name="_Toc4618"/>
      <w:bookmarkStart w:id="130" w:name="_Toc345765813"/>
      <w:bookmarkStart w:id="131" w:name="_Toc2571"/>
      <w:bookmarkStart w:id="132" w:name="_Toc31338"/>
      <w:bookmarkStart w:id="133" w:name="_Toc16628"/>
      <w:bookmarkStart w:id="134" w:name="_Toc16134"/>
      <w:bookmarkStart w:id="135" w:name="_Toc286493630"/>
      <w:bookmarkStart w:id="136" w:name="_Toc17296"/>
      <w:bookmarkStart w:id="137" w:name="_Toc286493632"/>
      <w:bookmarkStart w:id="138" w:name="_Toc208398654"/>
      <w:bookmarkStart w:id="139" w:name="_Toc194389867"/>
      <w:r>
        <w:rPr>
          <w:rFonts w:hint="eastAsia" w:ascii="黑体" w:hAnsi="宋体" w:eastAsia="黑体"/>
          <w:color w:val="000000" w:themeColor="text1"/>
          <w:kern w:val="3"/>
          <w:sz w:val="28"/>
          <w:szCs w:val="28"/>
        </w:rPr>
        <w:t>1.2.1</w:t>
      </w:r>
      <w:bookmarkEnd w:id="118"/>
      <w:bookmarkEnd w:id="119"/>
      <w:bookmarkEnd w:id="120"/>
      <w:bookmarkEnd w:id="121"/>
      <w:bookmarkEnd w:id="122"/>
      <w:bookmarkEnd w:id="123"/>
      <w:r>
        <w:rPr>
          <w:rFonts w:hint="eastAsia" w:ascii="黑体" w:hAnsi="宋体" w:eastAsia="黑体"/>
          <w:color w:val="000000" w:themeColor="text1"/>
          <w:kern w:val="3"/>
          <w:sz w:val="28"/>
          <w:szCs w:val="28"/>
        </w:rPr>
        <w:t>国家法律</w:t>
      </w:r>
      <w:bookmarkEnd w:id="124"/>
      <w:bookmarkEnd w:id="125"/>
      <w:bookmarkEnd w:id="126"/>
      <w:bookmarkEnd w:id="127"/>
      <w:bookmarkEnd w:id="128"/>
      <w:bookmarkEnd w:id="129"/>
      <w:bookmarkEnd w:id="130"/>
      <w:bookmarkEnd w:id="131"/>
      <w:bookmarkEnd w:id="132"/>
      <w:bookmarkEnd w:id="133"/>
      <w:bookmarkEnd w:id="134"/>
      <w:bookmarkEnd w:id="135"/>
      <w:bookmarkEnd w:id="136"/>
      <w:bookmarkStart w:id="140" w:name="_Toc28628"/>
      <w:bookmarkStart w:id="141" w:name="_Toc345765814"/>
      <w:bookmarkStart w:id="142" w:name="_Toc194389866"/>
      <w:bookmarkStart w:id="143" w:name="_Toc208398653"/>
    </w:p>
    <w:p>
      <w:pPr>
        <w:widowControl/>
        <w:numPr>
          <w:ilvl w:val="0"/>
          <w:numId w:val="2"/>
        </w:numPr>
        <w:tabs>
          <w:tab w:val="left" w:pos="900"/>
          <w:tab w:val="right" w:leader="dot" w:pos="8432"/>
        </w:tabs>
        <w:topLinePunct/>
        <w:adjustRightInd w:val="0"/>
        <w:snapToGrid w:val="0"/>
        <w:spacing w:line="500" w:lineRule="exact"/>
        <w:ind w:firstLine="560" w:firstLineChars="200"/>
        <w:rPr>
          <w:rFonts w:hint="eastAsia" w:ascii="新宋体" w:hAnsi="新宋体" w:eastAsia="新宋体"/>
          <w:sz w:val="28"/>
          <w:szCs w:val="20"/>
        </w:rPr>
      </w:pPr>
      <w:r>
        <w:rPr>
          <w:rFonts w:hint="eastAsia" w:ascii="新宋体" w:hAnsi="新宋体" w:eastAsia="新宋体"/>
          <w:sz w:val="28"/>
          <w:szCs w:val="20"/>
        </w:rPr>
        <w:t>《中华人民共和国安全生产法》（中华人民共和国主席令第</w:t>
      </w:r>
      <w:r>
        <w:rPr>
          <w:rFonts w:ascii="新宋体" w:hAnsi="新宋体" w:eastAsia="新宋体"/>
          <w:sz w:val="28"/>
          <w:szCs w:val="20"/>
        </w:rPr>
        <w:t>88</w:t>
      </w:r>
      <w:r>
        <w:rPr>
          <w:rFonts w:hint="eastAsia" w:ascii="新宋体" w:hAnsi="新宋体" w:eastAsia="新宋体"/>
          <w:sz w:val="28"/>
          <w:szCs w:val="20"/>
        </w:rPr>
        <w:t>号，20</w:t>
      </w:r>
      <w:r>
        <w:rPr>
          <w:rFonts w:ascii="新宋体" w:hAnsi="新宋体" w:eastAsia="新宋体"/>
          <w:sz w:val="28"/>
          <w:szCs w:val="20"/>
        </w:rPr>
        <w:t>21</w:t>
      </w:r>
      <w:r>
        <w:rPr>
          <w:rFonts w:hint="eastAsia" w:ascii="新宋体" w:hAnsi="新宋体" w:eastAsia="新宋体"/>
          <w:sz w:val="28"/>
          <w:szCs w:val="20"/>
        </w:rPr>
        <w:t>年</w:t>
      </w:r>
      <w:r>
        <w:rPr>
          <w:rFonts w:ascii="新宋体" w:hAnsi="新宋体" w:eastAsia="新宋体"/>
          <w:sz w:val="28"/>
          <w:szCs w:val="20"/>
        </w:rPr>
        <w:t>9</w:t>
      </w:r>
      <w:r>
        <w:rPr>
          <w:rFonts w:hint="eastAsia" w:ascii="新宋体" w:hAnsi="新宋体" w:eastAsia="新宋体"/>
          <w:sz w:val="28"/>
          <w:szCs w:val="20"/>
        </w:rPr>
        <w:t>月1日施行）；</w:t>
      </w:r>
    </w:p>
    <w:p>
      <w:pPr>
        <w:widowControl/>
        <w:numPr>
          <w:ilvl w:val="0"/>
          <w:numId w:val="2"/>
        </w:numPr>
        <w:tabs>
          <w:tab w:val="left" w:pos="900"/>
          <w:tab w:val="right" w:leader="dot" w:pos="8432"/>
        </w:tabs>
        <w:topLinePunct/>
        <w:adjustRightInd w:val="0"/>
        <w:snapToGrid w:val="0"/>
        <w:spacing w:line="500" w:lineRule="exact"/>
        <w:ind w:firstLine="560" w:firstLineChars="200"/>
        <w:rPr>
          <w:rFonts w:hint="eastAsia" w:ascii="新宋体" w:hAnsi="新宋体" w:eastAsia="新宋体"/>
          <w:sz w:val="28"/>
          <w:szCs w:val="20"/>
        </w:rPr>
      </w:pPr>
      <w:r>
        <w:rPr>
          <w:rFonts w:hint="eastAsia" w:ascii="新宋体" w:hAnsi="新宋体" w:eastAsia="新宋体"/>
          <w:sz w:val="28"/>
          <w:szCs w:val="20"/>
        </w:rPr>
        <w:t>《中华人民共和国消防法》（中华人民共和国主席令第81号，第十三届全国人民代表大会常务委员会第二十八次会议于2021年4月29日通过）；</w:t>
      </w:r>
    </w:p>
    <w:p>
      <w:pPr>
        <w:widowControl/>
        <w:numPr>
          <w:ilvl w:val="0"/>
          <w:numId w:val="2"/>
        </w:numPr>
        <w:tabs>
          <w:tab w:val="left" w:pos="900"/>
          <w:tab w:val="right" w:leader="dot" w:pos="8432"/>
        </w:tabs>
        <w:topLinePunct/>
        <w:adjustRightInd w:val="0"/>
        <w:snapToGrid w:val="0"/>
        <w:spacing w:line="500" w:lineRule="exact"/>
        <w:ind w:firstLine="560" w:firstLineChars="200"/>
        <w:rPr>
          <w:rFonts w:hint="eastAsia" w:ascii="新宋体" w:hAnsi="新宋体" w:eastAsia="新宋体"/>
          <w:sz w:val="28"/>
          <w:szCs w:val="20"/>
        </w:rPr>
      </w:pPr>
      <w:r>
        <w:rPr>
          <w:rFonts w:hint="eastAsia" w:ascii="新宋体" w:hAnsi="新宋体" w:eastAsia="新宋体"/>
          <w:sz w:val="28"/>
          <w:szCs w:val="20"/>
        </w:rPr>
        <w:t>《中华人民共和国职业病防治法》（中华人民共和国主席令第24号，根据2018年12月29日第十三届全国人民代表大会常务委员会第七次会议《关于修改等七部法律的决定》第四次修正，2018年12月29日起施行）；</w:t>
      </w:r>
    </w:p>
    <w:p>
      <w:pPr>
        <w:widowControl/>
        <w:numPr>
          <w:ilvl w:val="0"/>
          <w:numId w:val="2"/>
        </w:numPr>
        <w:tabs>
          <w:tab w:val="left" w:pos="900"/>
          <w:tab w:val="right" w:leader="dot" w:pos="8432"/>
        </w:tabs>
        <w:topLinePunct/>
        <w:adjustRightInd w:val="0"/>
        <w:snapToGrid w:val="0"/>
        <w:spacing w:line="500" w:lineRule="exact"/>
        <w:ind w:firstLine="560" w:firstLineChars="200"/>
        <w:rPr>
          <w:rFonts w:hint="eastAsia" w:ascii="新宋体" w:hAnsi="新宋体" w:eastAsia="新宋体"/>
          <w:sz w:val="28"/>
          <w:szCs w:val="20"/>
        </w:rPr>
      </w:pPr>
      <w:r>
        <w:rPr>
          <w:rFonts w:hint="eastAsia" w:ascii="新宋体" w:hAnsi="新宋体" w:eastAsia="新宋体"/>
          <w:sz w:val="28"/>
          <w:szCs w:val="20"/>
        </w:rPr>
        <w:t>《中华人民共和国气象法》（中华人民共和国主席令[1999]第2</w:t>
      </w:r>
      <w:r>
        <w:rPr>
          <w:rFonts w:ascii="新宋体" w:hAnsi="新宋体" w:eastAsia="新宋体"/>
          <w:sz w:val="28"/>
          <w:szCs w:val="20"/>
        </w:rPr>
        <w:t>3</w:t>
      </w:r>
      <w:r>
        <w:rPr>
          <w:rFonts w:hint="eastAsia" w:ascii="新宋体" w:hAnsi="新宋体" w:eastAsia="新宋体"/>
          <w:sz w:val="28"/>
          <w:szCs w:val="20"/>
        </w:rPr>
        <w:t>号，2016年11月7日第十二届全国人民代表大会常务委员会第二十四次会议《关于修改&lt;中华人民共和国对外贸易法&gt;等十二部法律的决定》第三次修正，2016年11月7日起施行）；</w:t>
      </w:r>
    </w:p>
    <w:p>
      <w:pPr>
        <w:widowControl/>
        <w:numPr>
          <w:ilvl w:val="0"/>
          <w:numId w:val="2"/>
        </w:numPr>
        <w:tabs>
          <w:tab w:val="left" w:pos="900"/>
          <w:tab w:val="right" w:leader="dot" w:pos="8432"/>
        </w:tabs>
        <w:topLinePunct/>
        <w:adjustRightInd w:val="0"/>
        <w:snapToGrid w:val="0"/>
        <w:spacing w:line="500" w:lineRule="exact"/>
        <w:ind w:firstLine="560" w:firstLineChars="200"/>
        <w:rPr>
          <w:rFonts w:hint="eastAsia" w:ascii="新宋体" w:hAnsi="新宋体" w:eastAsia="新宋体"/>
          <w:sz w:val="28"/>
          <w:szCs w:val="20"/>
        </w:rPr>
      </w:pPr>
      <w:r>
        <w:rPr>
          <w:rFonts w:hint="eastAsia" w:ascii="新宋体" w:hAnsi="新宋体" w:eastAsia="新宋体"/>
          <w:sz w:val="28"/>
          <w:szCs w:val="20"/>
        </w:rPr>
        <w:t>《中华人民共和国劳动法》（中华人民共和国主席令第2</w:t>
      </w:r>
      <w:r>
        <w:rPr>
          <w:rFonts w:ascii="新宋体" w:hAnsi="新宋体" w:eastAsia="新宋体"/>
          <w:sz w:val="28"/>
          <w:szCs w:val="20"/>
        </w:rPr>
        <w:t>8</w:t>
      </w:r>
      <w:r>
        <w:rPr>
          <w:rFonts w:hint="eastAsia" w:ascii="新宋体" w:hAnsi="新宋体" w:eastAsia="新宋体"/>
          <w:sz w:val="28"/>
          <w:szCs w:val="20"/>
        </w:rPr>
        <w:t>号，根据2018年12月29日第十三届全国人民代表大会常务委员会第七次会议《关于修改&lt;中华人民共和国劳动法〉等七部法律的决定》第二次修正，2018年12月29日起施行）；</w:t>
      </w:r>
    </w:p>
    <w:p>
      <w:pPr>
        <w:widowControl/>
        <w:numPr>
          <w:ilvl w:val="0"/>
          <w:numId w:val="2"/>
        </w:numPr>
        <w:tabs>
          <w:tab w:val="left" w:pos="900"/>
          <w:tab w:val="right" w:leader="dot" w:pos="8432"/>
        </w:tabs>
        <w:topLinePunct/>
        <w:adjustRightInd w:val="0"/>
        <w:snapToGrid w:val="0"/>
        <w:spacing w:line="500" w:lineRule="exact"/>
        <w:ind w:firstLine="560" w:firstLineChars="200"/>
        <w:rPr>
          <w:rFonts w:hint="eastAsia" w:ascii="新宋体" w:hAnsi="新宋体" w:eastAsia="新宋体"/>
          <w:sz w:val="28"/>
          <w:szCs w:val="20"/>
        </w:rPr>
      </w:pPr>
      <w:r>
        <w:rPr>
          <w:rFonts w:hint="eastAsia" w:ascii="新宋体" w:hAnsi="新宋体" w:eastAsia="新宋体"/>
          <w:sz w:val="28"/>
          <w:szCs w:val="20"/>
        </w:rPr>
        <w:t>《中华人民共和国突发事件应对法》（中华人民共和国主席令第</w:t>
      </w:r>
      <w:r>
        <w:rPr>
          <w:rFonts w:hint="eastAsia" w:ascii="新宋体" w:hAnsi="新宋体" w:eastAsia="新宋体"/>
          <w:sz w:val="28"/>
          <w:szCs w:val="20"/>
          <w:lang w:val="en-US" w:eastAsia="zh-CN"/>
        </w:rPr>
        <w:t>25</w:t>
      </w:r>
      <w:r>
        <w:rPr>
          <w:rFonts w:hint="eastAsia" w:ascii="新宋体" w:hAnsi="新宋体" w:eastAsia="新宋体"/>
          <w:sz w:val="28"/>
          <w:szCs w:val="20"/>
        </w:rPr>
        <w:t>号，2</w:t>
      </w:r>
      <w:r>
        <w:rPr>
          <w:rFonts w:hint="eastAsia" w:ascii="新宋体" w:hAnsi="新宋体" w:eastAsia="新宋体"/>
          <w:sz w:val="28"/>
          <w:szCs w:val="20"/>
          <w:lang w:val="en-US" w:eastAsia="zh-CN"/>
        </w:rPr>
        <w:t>024</w:t>
      </w:r>
      <w:r>
        <w:rPr>
          <w:rFonts w:hint="eastAsia" w:ascii="新宋体" w:hAnsi="新宋体" w:eastAsia="新宋体"/>
          <w:sz w:val="28"/>
          <w:szCs w:val="20"/>
        </w:rPr>
        <w:t>年11月1日施行）；</w:t>
      </w:r>
    </w:p>
    <w:p>
      <w:pPr>
        <w:widowControl/>
        <w:numPr>
          <w:ilvl w:val="0"/>
          <w:numId w:val="2"/>
        </w:numPr>
        <w:tabs>
          <w:tab w:val="left" w:pos="900"/>
          <w:tab w:val="right" w:leader="dot" w:pos="8432"/>
        </w:tabs>
        <w:topLinePunct/>
        <w:adjustRightInd w:val="0"/>
        <w:snapToGrid w:val="0"/>
        <w:spacing w:line="500" w:lineRule="exact"/>
        <w:ind w:firstLine="560" w:firstLineChars="200"/>
        <w:rPr>
          <w:rFonts w:hint="eastAsia" w:ascii="新宋体" w:hAnsi="新宋体" w:eastAsia="新宋体"/>
          <w:sz w:val="28"/>
          <w:szCs w:val="20"/>
        </w:rPr>
      </w:pPr>
      <w:r>
        <w:rPr>
          <w:rFonts w:hint="eastAsia" w:ascii="新宋体" w:hAnsi="新宋体" w:eastAsia="新宋体"/>
          <w:sz w:val="28"/>
          <w:szCs w:val="20"/>
        </w:rPr>
        <w:t>《中华人民共和国环境保护法》（中华人民共和国主席令第22号， 2014年4月24日第十二届全国人民代表大会常务委员会第八次会议修订，自2015年1月1日起施行）；</w:t>
      </w:r>
    </w:p>
    <w:p>
      <w:pPr>
        <w:widowControl/>
        <w:numPr>
          <w:ilvl w:val="0"/>
          <w:numId w:val="2"/>
        </w:numPr>
        <w:tabs>
          <w:tab w:val="left" w:pos="900"/>
          <w:tab w:val="right" w:leader="dot" w:pos="8432"/>
        </w:tabs>
        <w:topLinePunct/>
        <w:adjustRightInd w:val="0"/>
        <w:snapToGrid w:val="0"/>
        <w:spacing w:line="500" w:lineRule="exact"/>
        <w:ind w:firstLine="560" w:firstLineChars="200"/>
        <w:rPr>
          <w:rFonts w:hint="eastAsia" w:ascii="新宋体" w:hAnsi="新宋体" w:eastAsia="新宋体"/>
          <w:sz w:val="28"/>
          <w:szCs w:val="20"/>
        </w:rPr>
      </w:pPr>
      <w:r>
        <w:rPr>
          <w:rFonts w:hint="eastAsia" w:ascii="新宋体" w:hAnsi="新宋体" w:eastAsia="新宋体"/>
          <w:sz w:val="28"/>
          <w:szCs w:val="20"/>
        </w:rPr>
        <w:t>《中华人民共和国大气污染防治法》（中华人民共和国主席令第3</w:t>
      </w:r>
      <w:r>
        <w:rPr>
          <w:rFonts w:ascii="新宋体" w:hAnsi="新宋体" w:eastAsia="新宋体"/>
          <w:sz w:val="28"/>
          <w:szCs w:val="20"/>
        </w:rPr>
        <w:t>1</w:t>
      </w:r>
      <w:r>
        <w:rPr>
          <w:rFonts w:hint="eastAsia" w:ascii="新宋体" w:hAnsi="新宋体" w:eastAsia="新宋体"/>
          <w:sz w:val="28"/>
          <w:szCs w:val="20"/>
        </w:rPr>
        <w:t>号，根据2018年10月26日第十三届全国人民代表大会常务委员会第六次会议《关于修改〈中华人民共和国野生动物保护法〉等十五部法律的决定》第二次修正，2018年10月26日起施行）；</w:t>
      </w:r>
    </w:p>
    <w:p>
      <w:pPr>
        <w:widowControl/>
        <w:numPr>
          <w:ilvl w:val="0"/>
          <w:numId w:val="2"/>
        </w:numPr>
        <w:tabs>
          <w:tab w:val="left" w:pos="900"/>
          <w:tab w:val="right" w:leader="dot" w:pos="8432"/>
        </w:tabs>
        <w:topLinePunct/>
        <w:adjustRightInd w:val="0"/>
        <w:snapToGrid w:val="0"/>
        <w:spacing w:line="500" w:lineRule="exact"/>
        <w:ind w:firstLine="560" w:firstLineChars="200"/>
        <w:rPr>
          <w:rFonts w:ascii="新宋体" w:hAnsi="新宋体" w:eastAsia="新宋体"/>
          <w:snapToGrid w:val="0"/>
          <w:kern w:val="0"/>
          <w:sz w:val="28"/>
          <w:szCs w:val="20"/>
        </w:rPr>
      </w:pPr>
      <w:r>
        <w:rPr>
          <w:rFonts w:hint="eastAsia" w:ascii="新宋体" w:hAnsi="新宋体" w:eastAsia="新宋体"/>
          <w:sz w:val="28"/>
          <w:szCs w:val="20"/>
        </w:rPr>
        <w:t>《中华人民共和国水污染防治法》（中华人民共和国主席令第</w:t>
      </w:r>
      <w:r>
        <w:rPr>
          <w:rFonts w:ascii="新宋体" w:hAnsi="新宋体" w:eastAsia="新宋体"/>
          <w:sz w:val="28"/>
          <w:szCs w:val="20"/>
        </w:rPr>
        <w:t>87</w:t>
      </w:r>
      <w:r>
        <w:rPr>
          <w:rFonts w:hint="eastAsia" w:ascii="新宋体" w:hAnsi="新宋体" w:eastAsia="新宋体"/>
          <w:sz w:val="28"/>
          <w:szCs w:val="20"/>
        </w:rPr>
        <w:t>号，中华人民共和国水污染防治法第十二届全国人民代表大会常务委员会第二十八次会议修正，自2018年1月1日起施行）；</w:t>
      </w:r>
      <w:r>
        <w:rPr>
          <w:rFonts w:ascii="新宋体" w:hAnsi="新宋体" w:eastAsia="新宋体"/>
          <w:snapToGrid w:val="0"/>
          <w:kern w:val="0"/>
          <w:sz w:val="28"/>
          <w:szCs w:val="20"/>
        </w:rPr>
        <w:t xml:space="preserve"> </w:t>
      </w:r>
    </w:p>
    <w:p>
      <w:pPr>
        <w:numPr>
          <w:ilvl w:val="0"/>
          <w:numId w:val="2"/>
        </w:numPr>
        <w:snapToGrid w:val="0"/>
        <w:spacing w:line="500" w:lineRule="exact"/>
        <w:ind w:firstLine="560" w:firstLineChars="200"/>
        <w:rPr>
          <w:rFonts w:ascii="新宋体" w:hAnsi="新宋体" w:eastAsia="新宋体"/>
          <w:snapToGrid w:val="0"/>
          <w:kern w:val="0"/>
          <w:sz w:val="28"/>
          <w:szCs w:val="20"/>
        </w:rPr>
      </w:pPr>
      <w:r>
        <w:rPr>
          <w:rFonts w:hint="eastAsia" w:ascii="新宋体" w:hAnsi="新宋体" w:eastAsia="新宋体"/>
          <w:snapToGrid w:val="0"/>
          <w:kern w:val="0"/>
          <w:sz w:val="28"/>
          <w:szCs w:val="20"/>
        </w:rPr>
        <w:t>《中华人民共和国特种设备安全法》（中华人民共和国主席令第4号，自2014年1月1日施行）；</w:t>
      </w:r>
    </w:p>
    <w:p>
      <w:pPr>
        <w:numPr>
          <w:ilvl w:val="0"/>
          <w:numId w:val="2"/>
        </w:numPr>
        <w:snapToGrid w:val="0"/>
        <w:spacing w:line="500" w:lineRule="exact"/>
        <w:ind w:firstLine="560" w:firstLineChars="200"/>
        <w:rPr>
          <w:rFonts w:hint="eastAsia" w:ascii="新宋体" w:hAnsi="新宋体" w:eastAsia="新宋体"/>
          <w:snapToGrid w:val="0"/>
          <w:kern w:val="0"/>
          <w:sz w:val="28"/>
          <w:szCs w:val="20"/>
        </w:rPr>
      </w:pPr>
      <w:r>
        <w:rPr>
          <w:rFonts w:hint="eastAsia" w:ascii="新宋体" w:hAnsi="新宋体" w:eastAsia="新宋体"/>
          <w:snapToGrid w:val="0"/>
          <w:kern w:val="0"/>
          <w:sz w:val="28"/>
          <w:szCs w:val="20"/>
        </w:rPr>
        <w:t>《危险化学品安全管理条例》（</w:t>
      </w:r>
      <w:r>
        <w:rPr>
          <w:rFonts w:hint="eastAsia" w:ascii="新宋体" w:hAnsi="新宋体" w:eastAsia="新宋体"/>
          <w:snapToGrid w:val="0"/>
          <w:kern w:val="20"/>
          <w:sz w:val="28"/>
        </w:rPr>
        <w:t>国务院令第344号公布，第591号第一次修正，第645号第二次修正</w:t>
      </w:r>
      <w:r>
        <w:rPr>
          <w:rFonts w:hint="eastAsia" w:ascii="新宋体" w:hAnsi="新宋体" w:eastAsia="新宋体"/>
          <w:snapToGrid w:val="0"/>
          <w:kern w:val="0"/>
          <w:sz w:val="28"/>
          <w:szCs w:val="20"/>
        </w:rPr>
        <w:t>，实施日期：2011年12月1日）；</w:t>
      </w:r>
    </w:p>
    <w:p>
      <w:pPr>
        <w:numPr>
          <w:ilvl w:val="0"/>
          <w:numId w:val="2"/>
        </w:numPr>
        <w:snapToGrid w:val="0"/>
        <w:spacing w:line="500" w:lineRule="exact"/>
        <w:ind w:firstLine="560" w:firstLineChars="200"/>
        <w:rPr>
          <w:rFonts w:hint="eastAsia" w:ascii="新宋体" w:hAnsi="新宋体" w:eastAsia="新宋体"/>
          <w:snapToGrid w:val="0"/>
          <w:kern w:val="0"/>
          <w:sz w:val="28"/>
          <w:szCs w:val="20"/>
        </w:rPr>
      </w:pPr>
      <w:r>
        <w:rPr>
          <w:rFonts w:hint="eastAsia" w:ascii="新宋体" w:hAnsi="新宋体" w:eastAsia="新宋体"/>
          <w:snapToGrid w:val="0"/>
          <w:kern w:val="0"/>
          <w:sz w:val="28"/>
          <w:szCs w:val="20"/>
        </w:rPr>
        <w:t>《工伤保险条例》（国务院令第586号  实施日期：2013年1月1日）；</w:t>
      </w:r>
    </w:p>
    <w:p>
      <w:pPr>
        <w:numPr>
          <w:ilvl w:val="0"/>
          <w:numId w:val="2"/>
        </w:numPr>
        <w:snapToGrid w:val="0"/>
        <w:spacing w:line="500" w:lineRule="exact"/>
        <w:ind w:firstLine="560" w:firstLineChars="200"/>
        <w:rPr>
          <w:rFonts w:hint="eastAsia" w:ascii="新宋体" w:hAnsi="新宋体" w:eastAsia="新宋体"/>
          <w:snapToGrid w:val="0"/>
          <w:kern w:val="0"/>
          <w:sz w:val="28"/>
          <w:szCs w:val="20"/>
        </w:rPr>
      </w:pPr>
      <w:r>
        <w:rPr>
          <w:rFonts w:hint="eastAsia" w:ascii="新宋体" w:hAnsi="新宋体" w:eastAsia="新宋体"/>
          <w:snapToGrid w:val="0"/>
          <w:kern w:val="0"/>
          <w:sz w:val="28"/>
          <w:szCs w:val="20"/>
        </w:rPr>
        <w:t>《生产安全事故报告和调查处理条例》（国务院令第493号  实施日期：2007年6月1日）；</w:t>
      </w:r>
    </w:p>
    <w:p>
      <w:pPr>
        <w:numPr>
          <w:ilvl w:val="0"/>
          <w:numId w:val="2"/>
        </w:numPr>
        <w:snapToGrid w:val="0"/>
        <w:spacing w:line="500" w:lineRule="exact"/>
        <w:ind w:firstLine="560" w:firstLineChars="200"/>
        <w:rPr>
          <w:rFonts w:hint="eastAsia" w:ascii="新宋体" w:hAnsi="新宋体" w:eastAsia="新宋体"/>
          <w:snapToGrid w:val="0"/>
          <w:kern w:val="0"/>
          <w:sz w:val="28"/>
          <w:szCs w:val="20"/>
          <w:lang w:val="zh-CN"/>
        </w:rPr>
      </w:pPr>
      <w:r>
        <w:rPr>
          <w:rFonts w:hint="eastAsia" w:ascii="新宋体" w:hAnsi="新宋体" w:eastAsia="新宋体"/>
          <w:snapToGrid w:val="0"/>
          <w:kern w:val="0"/>
          <w:sz w:val="28"/>
          <w:szCs w:val="20"/>
        </w:rPr>
        <w:t>《生产安全事故应急条例》（国务院令第708号，2019年4月1日起施行）</w:t>
      </w:r>
    </w:p>
    <w:p>
      <w:pPr>
        <w:pStyle w:val="19"/>
        <w:spacing w:afterLines="100" w:line="500" w:lineRule="exact"/>
        <w:rPr>
          <w:rFonts w:hint="eastAsia" w:ascii="黑体" w:hAnsi="宋体" w:eastAsia="黑体"/>
          <w:color w:val="000000" w:themeColor="text1"/>
          <w:kern w:val="3"/>
          <w:sz w:val="28"/>
          <w:szCs w:val="28"/>
        </w:rPr>
      </w:pPr>
      <w:bookmarkStart w:id="144" w:name="_Toc30145"/>
      <w:bookmarkStart w:id="145" w:name="_Toc14081"/>
      <w:bookmarkStart w:id="146" w:name="_Toc29047"/>
      <w:bookmarkStart w:id="147" w:name="_Toc22642"/>
      <w:bookmarkStart w:id="148" w:name="_Toc16101"/>
      <w:bookmarkStart w:id="149" w:name="_Toc27520"/>
      <w:bookmarkStart w:id="150" w:name="_Toc14584"/>
      <w:bookmarkStart w:id="151" w:name="_Toc27974"/>
      <w:bookmarkStart w:id="152" w:name="_Toc22166"/>
      <w:bookmarkStart w:id="153" w:name="_Toc15588"/>
      <w:r>
        <w:rPr>
          <w:rFonts w:hint="eastAsia" w:ascii="黑体" w:hAnsi="宋体" w:eastAsia="黑体"/>
          <w:color w:val="000000" w:themeColor="text1"/>
          <w:kern w:val="3"/>
          <w:sz w:val="28"/>
          <w:szCs w:val="28"/>
        </w:rPr>
        <w:t>1.2.2</w:t>
      </w:r>
      <w:bookmarkEnd w:id="140"/>
      <w:bookmarkEnd w:id="141"/>
      <w:bookmarkEnd w:id="144"/>
      <w:bookmarkEnd w:id="145"/>
      <w:bookmarkEnd w:id="146"/>
      <w:bookmarkEnd w:id="147"/>
      <w:bookmarkEnd w:id="148"/>
      <w:bookmarkEnd w:id="149"/>
      <w:bookmarkEnd w:id="150"/>
      <w:bookmarkEnd w:id="151"/>
      <w:bookmarkEnd w:id="152"/>
      <w:bookmarkEnd w:id="153"/>
      <w:bookmarkStart w:id="154" w:name="_Toc6550"/>
      <w:bookmarkStart w:id="155" w:name="_Toc9644"/>
      <w:bookmarkStart w:id="156" w:name="_Toc24675"/>
      <w:bookmarkStart w:id="157" w:name="_Toc17380"/>
      <w:bookmarkStart w:id="158" w:name="_Toc24877"/>
      <w:bookmarkStart w:id="159" w:name="_Toc15645"/>
      <w:bookmarkStart w:id="160" w:name="_Toc345765815"/>
      <w:bookmarkStart w:id="161" w:name="_Toc10656"/>
      <w:bookmarkStart w:id="162" w:name="_Toc23194"/>
      <w:bookmarkStart w:id="163" w:name="_Toc17109"/>
      <w:bookmarkStart w:id="164" w:name="_Toc25240"/>
      <w:bookmarkStart w:id="165" w:name="_Toc26570"/>
      <w:r>
        <w:rPr>
          <w:rFonts w:hint="eastAsia" w:ascii="黑体" w:hAnsi="宋体" w:eastAsia="黑体"/>
          <w:color w:val="000000" w:themeColor="text1"/>
          <w:kern w:val="3"/>
          <w:sz w:val="28"/>
          <w:szCs w:val="28"/>
        </w:rPr>
        <w:t>部门规章</w:t>
      </w:r>
      <w:bookmarkEnd w:id="154"/>
      <w:bookmarkEnd w:id="155"/>
      <w:bookmarkEnd w:id="156"/>
      <w:bookmarkEnd w:id="157"/>
      <w:bookmarkEnd w:id="158"/>
      <w:bookmarkEnd w:id="159"/>
      <w:bookmarkEnd w:id="160"/>
      <w:bookmarkEnd w:id="161"/>
      <w:bookmarkEnd w:id="162"/>
      <w:bookmarkEnd w:id="163"/>
      <w:bookmarkEnd w:id="164"/>
      <w:bookmarkEnd w:id="165"/>
      <w:bookmarkStart w:id="166" w:name="_Toc345765816"/>
      <w:bookmarkStart w:id="167" w:name="_Toc24116"/>
    </w:p>
    <w:p>
      <w:pPr>
        <w:numPr>
          <w:ilvl w:val="0"/>
          <w:numId w:val="3"/>
        </w:numPr>
        <w:tabs>
          <w:tab w:val="left" w:pos="900"/>
        </w:tabs>
        <w:adjustRightInd w:val="0"/>
        <w:snapToGrid w:val="0"/>
        <w:spacing w:line="500" w:lineRule="exact"/>
        <w:ind w:left="0" w:firstLine="560" w:firstLineChars="200"/>
        <w:jc w:val="left"/>
        <w:rPr>
          <w:rFonts w:ascii="新宋体" w:hAnsi="新宋体" w:eastAsia="新宋体"/>
          <w:sz w:val="28"/>
          <w:szCs w:val="20"/>
        </w:rPr>
      </w:pPr>
      <w:r>
        <w:rPr>
          <w:rFonts w:hint="eastAsia" w:ascii="新宋体" w:hAnsi="新宋体" w:eastAsia="新宋体"/>
          <w:sz w:val="28"/>
          <w:szCs w:val="20"/>
        </w:rPr>
        <w:t>《危险化学品经营许可证管理办法》（国家安监总局令第55号公布，第79号修正，自2015年７月１日起施行）；</w:t>
      </w:r>
    </w:p>
    <w:p>
      <w:pPr>
        <w:numPr>
          <w:ilvl w:val="0"/>
          <w:numId w:val="3"/>
        </w:numPr>
        <w:tabs>
          <w:tab w:val="left" w:pos="900"/>
        </w:tabs>
        <w:adjustRightInd w:val="0"/>
        <w:snapToGrid w:val="0"/>
        <w:spacing w:line="500" w:lineRule="exact"/>
        <w:ind w:left="0" w:firstLine="560" w:firstLineChars="200"/>
        <w:jc w:val="left"/>
        <w:rPr>
          <w:rFonts w:ascii="新宋体" w:hAnsi="新宋体" w:eastAsia="新宋体"/>
          <w:sz w:val="28"/>
          <w:szCs w:val="20"/>
        </w:rPr>
      </w:pPr>
      <w:r>
        <w:rPr>
          <w:rFonts w:hint="eastAsia" w:ascii="新宋体" w:hAnsi="新宋体" w:eastAsia="新宋体"/>
          <w:sz w:val="28"/>
          <w:szCs w:val="20"/>
        </w:rPr>
        <w:t>《生产经营单位安全培训规定》（国家安监总局令第</w:t>
      </w:r>
      <w:r>
        <w:rPr>
          <w:rFonts w:ascii="新宋体" w:hAnsi="新宋体" w:eastAsia="新宋体"/>
          <w:sz w:val="28"/>
          <w:szCs w:val="20"/>
        </w:rPr>
        <w:t>3</w:t>
      </w:r>
      <w:r>
        <w:rPr>
          <w:rFonts w:hint="eastAsia" w:ascii="新宋体" w:hAnsi="新宋体" w:eastAsia="新宋体"/>
          <w:sz w:val="28"/>
          <w:szCs w:val="20"/>
        </w:rPr>
        <w:t>号公布，第80</w:t>
      </w:r>
      <w:r>
        <w:rPr>
          <w:rFonts w:hint="eastAsia" w:ascii="新宋体" w:hAnsi="新宋体" w:eastAsia="新宋体" w:cs="Tahoma"/>
          <w:bCs/>
          <w:sz w:val="28"/>
          <w:szCs w:val="28"/>
        </w:rPr>
        <w:t>号修正，自2015年7月1日起施行）；</w:t>
      </w:r>
    </w:p>
    <w:p>
      <w:pPr>
        <w:numPr>
          <w:ilvl w:val="0"/>
          <w:numId w:val="3"/>
        </w:numPr>
        <w:tabs>
          <w:tab w:val="left" w:pos="900"/>
        </w:tabs>
        <w:adjustRightInd w:val="0"/>
        <w:snapToGrid w:val="0"/>
        <w:spacing w:line="500" w:lineRule="exact"/>
        <w:ind w:left="0" w:firstLine="560" w:firstLineChars="200"/>
        <w:jc w:val="left"/>
        <w:rPr>
          <w:rFonts w:ascii="新宋体" w:hAnsi="新宋体" w:eastAsia="新宋体"/>
          <w:sz w:val="28"/>
          <w:szCs w:val="20"/>
        </w:rPr>
      </w:pPr>
      <w:r>
        <w:rPr>
          <w:rFonts w:hint="eastAsia" w:ascii="新宋体" w:hAnsi="新宋体" w:eastAsia="新宋体"/>
          <w:sz w:val="28"/>
          <w:szCs w:val="28"/>
        </w:rPr>
        <w:t>《生产安全事故应急预案管理办法》（应急管理部令2号，2019年9月1日起施行</w:t>
      </w:r>
      <w:r>
        <w:rPr>
          <w:rFonts w:hint="eastAsia" w:ascii="新宋体" w:hAnsi="新宋体" w:eastAsia="新宋体"/>
          <w:sz w:val="28"/>
          <w:szCs w:val="20"/>
        </w:rPr>
        <w:t>）；</w:t>
      </w:r>
    </w:p>
    <w:p>
      <w:pPr>
        <w:numPr>
          <w:ilvl w:val="0"/>
          <w:numId w:val="3"/>
        </w:numPr>
        <w:tabs>
          <w:tab w:val="left" w:pos="900"/>
        </w:tabs>
        <w:adjustRightInd w:val="0"/>
        <w:snapToGrid w:val="0"/>
        <w:spacing w:line="500" w:lineRule="exact"/>
        <w:ind w:left="0" w:firstLine="560" w:firstLineChars="200"/>
        <w:jc w:val="left"/>
        <w:rPr>
          <w:rFonts w:ascii="新宋体" w:hAnsi="新宋体" w:eastAsia="新宋体"/>
          <w:sz w:val="28"/>
          <w:szCs w:val="20"/>
        </w:rPr>
      </w:pPr>
      <w:r>
        <w:rPr>
          <w:snapToGrid w:val="0"/>
          <w:sz w:val="28"/>
          <w:szCs w:val="28"/>
        </w:rPr>
        <w:t>《企业安全生产费用提取和使用管理办法》</w:t>
      </w:r>
      <w:r>
        <w:rPr>
          <w:rFonts w:hint="eastAsia"/>
          <w:snapToGrid w:val="0"/>
          <w:sz w:val="28"/>
          <w:szCs w:val="28"/>
        </w:rPr>
        <w:t>（</w:t>
      </w:r>
      <w:r>
        <w:rPr>
          <w:snapToGrid w:val="0"/>
          <w:sz w:val="28"/>
          <w:szCs w:val="28"/>
        </w:rPr>
        <w:t>财资(2022）136号</w:t>
      </w:r>
      <w:r>
        <w:rPr>
          <w:rFonts w:hint="eastAsia"/>
          <w:snapToGrid w:val="0"/>
          <w:sz w:val="28"/>
          <w:szCs w:val="28"/>
        </w:rPr>
        <w:t>）；</w:t>
      </w:r>
    </w:p>
    <w:p>
      <w:pPr>
        <w:numPr>
          <w:ilvl w:val="0"/>
          <w:numId w:val="3"/>
        </w:numPr>
        <w:tabs>
          <w:tab w:val="left" w:pos="900"/>
        </w:tabs>
        <w:adjustRightInd w:val="0"/>
        <w:snapToGrid w:val="0"/>
        <w:spacing w:line="500" w:lineRule="exact"/>
        <w:ind w:left="0" w:firstLine="560" w:firstLineChars="200"/>
        <w:jc w:val="left"/>
        <w:rPr>
          <w:rFonts w:ascii="新宋体" w:hAnsi="新宋体" w:eastAsia="新宋体"/>
          <w:sz w:val="28"/>
          <w:szCs w:val="28"/>
        </w:rPr>
      </w:pPr>
      <w:r>
        <w:rPr>
          <w:rFonts w:hint="eastAsia" w:ascii="新宋体" w:hAnsi="新宋体" w:eastAsia="新宋体"/>
          <w:sz w:val="28"/>
          <w:szCs w:val="20"/>
        </w:rPr>
        <w:t>《特种作业人员安全技术培训考核管理规定》（国家安监总局令第</w:t>
      </w:r>
      <w:r>
        <w:rPr>
          <w:rFonts w:ascii="新宋体" w:hAnsi="新宋体" w:eastAsia="新宋体"/>
          <w:sz w:val="28"/>
          <w:szCs w:val="20"/>
        </w:rPr>
        <w:t>30</w:t>
      </w:r>
      <w:r>
        <w:rPr>
          <w:rFonts w:hint="eastAsia" w:ascii="新宋体" w:hAnsi="新宋体" w:eastAsia="新宋体"/>
          <w:sz w:val="28"/>
          <w:szCs w:val="20"/>
        </w:rPr>
        <w:t>号公布，第80号修正</w:t>
      </w:r>
      <w:r>
        <w:rPr>
          <w:rFonts w:hint="eastAsia" w:ascii="新宋体" w:hAnsi="新宋体" w:eastAsia="新宋体" w:cs="Tahoma"/>
          <w:bCs/>
          <w:sz w:val="28"/>
          <w:szCs w:val="28"/>
        </w:rPr>
        <w:t>，自2015年7月1日起施行</w:t>
      </w:r>
      <w:r>
        <w:rPr>
          <w:rFonts w:hint="eastAsia" w:ascii="新宋体" w:hAnsi="新宋体" w:eastAsia="新宋体"/>
          <w:sz w:val="28"/>
          <w:szCs w:val="20"/>
        </w:rPr>
        <w:t>）；</w:t>
      </w:r>
    </w:p>
    <w:p>
      <w:pPr>
        <w:numPr>
          <w:ilvl w:val="0"/>
          <w:numId w:val="3"/>
        </w:numPr>
        <w:tabs>
          <w:tab w:val="left" w:pos="900"/>
        </w:tabs>
        <w:adjustRightInd w:val="0"/>
        <w:snapToGrid w:val="0"/>
        <w:spacing w:line="500" w:lineRule="exact"/>
        <w:ind w:left="0" w:firstLine="560" w:firstLineChars="200"/>
        <w:jc w:val="left"/>
        <w:rPr>
          <w:rFonts w:ascii="新宋体" w:hAnsi="新宋体" w:eastAsia="新宋体" w:cs="宋体"/>
          <w:kern w:val="0"/>
          <w:sz w:val="28"/>
          <w:szCs w:val="28"/>
        </w:rPr>
      </w:pPr>
      <w:r>
        <w:rPr>
          <w:rFonts w:hint="eastAsia" w:ascii="新宋体" w:hAnsi="新宋体" w:eastAsia="新宋体" w:cs="宋体"/>
          <w:kern w:val="0"/>
          <w:sz w:val="28"/>
          <w:szCs w:val="28"/>
        </w:rPr>
        <w:t>《危险化学品重大危险源监督管理暂行规定》（国家安全生产监督管理总局令第</w:t>
      </w:r>
      <w:r>
        <w:rPr>
          <w:rFonts w:ascii="新宋体" w:hAnsi="新宋体" w:eastAsia="新宋体" w:cs="宋体"/>
          <w:kern w:val="0"/>
          <w:sz w:val="28"/>
          <w:szCs w:val="28"/>
        </w:rPr>
        <w:t>40</w:t>
      </w:r>
      <w:r>
        <w:rPr>
          <w:rFonts w:hint="eastAsia" w:ascii="新宋体" w:hAnsi="新宋体" w:eastAsia="新宋体" w:cs="宋体"/>
          <w:kern w:val="0"/>
          <w:sz w:val="28"/>
          <w:szCs w:val="28"/>
        </w:rPr>
        <w:t>号发布，第79号修正</w:t>
      </w:r>
      <w:r>
        <w:rPr>
          <w:rFonts w:hint="eastAsia" w:ascii="新宋体" w:hAnsi="新宋体" w:eastAsia="新宋体"/>
          <w:sz w:val="28"/>
          <w:szCs w:val="20"/>
        </w:rPr>
        <w:t>，自2015年７月１日起施行</w:t>
      </w:r>
      <w:r>
        <w:rPr>
          <w:rFonts w:hint="eastAsia" w:ascii="新宋体" w:hAnsi="新宋体" w:eastAsia="新宋体" w:cs="宋体"/>
          <w:kern w:val="0"/>
          <w:sz w:val="28"/>
          <w:szCs w:val="28"/>
        </w:rPr>
        <w:t>）；</w:t>
      </w:r>
    </w:p>
    <w:p>
      <w:pPr>
        <w:numPr>
          <w:ilvl w:val="0"/>
          <w:numId w:val="3"/>
        </w:numPr>
        <w:tabs>
          <w:tab w:val="left" w:pos="900"/>
        </w:tabs>
        <w:adjustRightInd w:val="0"/>
        <w:snapToGrid w:val="0"/>
        <w:spacing w:line="500" w:lineRule="exact"/>
        <w:ind w:left="0" w:firstLine="560" w:firstLineChars="200"/>
        <w:jc w:val="left"/>
        <w:rPr>
          <w:rFonts w:hint="eastAsia" w:ascii="新宋体" w:hAnsi="新宋体" w:eastAsia="新宋体" w:cs="宋体"/>
          <w:kern w:val="0"/>
          <w:sz w:val="28"/>
          <w:szCs w:val="28"/>
        </w:rPr>
      </w:pPr>
      <w:r>
        <w:rPr>
          <w:rFonts w:hint="eastAsia" w:ascii="新宋体" w:hAnsi="新宋体" w:eastAsia="新宋体" w:cs="宋体"/>
          <w:kern w:val="0"/>
          <w:sz w:val="28"/>
          <w:szCs w:val="28"/>
        </w:rPr>
        <w:t>《安全生产培训管理办法》（国家安监总局令第</w:t>
      </w:r>
      <w:r>
        <w:rPr>
          <w:rFonts w:ascii="新宋体" w:hAnsi="新宋体" w:eastAsia="新宋体" w:cs="宋体"/>
          <w:kern w:val="0"/>
          <w:sz w:val="28"/>
          <w:szCs w:val="28"/>
        </w:rPr>
        <w:t>44</w:t>
      </w:r>
      <w:r>
        <w:rPr>
          <w:rFonts w:hint="eastAsia" w:ascii="新宋体" w:hAnsi="新宋体" w:eastAsia="新宋体" w:cs="宋体"/>
          <w:kern w:val="0"/>
          <w:sz w:val="28"/>
          <w:szCs w:val="28"/>
        </w:rPr>
        <w:t>号</w:t>
      </w:r>
      <w:r>
        <w:rPr>
          <w:rFonts w:hint="eastAsia" w:ascii="新宋体" w:hAnsi="新宋体" w:eastAsia="新宋体"/>
          <w:sz w:val="28"/>
          <w:szCs w:val="20"/>
        </w:rPr>
        <w:t>公布，第80号修正</w:t>
      </w:r>
      <w:r>
        <w:rPr>
          <w:rFonts w:hint="eastAsia" w:ascii="新宋体" w:hAnsi="新宋体" w:eastAsia="新宋体" w:cs="Tahoma"/>
          <w:bCs/>
          <w:sz w:val="28"/>
          <w:szCs w:val="28"/>
        </w:rPr>
        <w:t>，自2015年7月1日起施行</w:t>
      </w:r>
      <w:r>
        <w:rPr>
          <w:rFonts w:hint="eastAsia" w:ascii="新宋体" w:hAnsi="新宋体" w:eastAsia="新宋体" w:cs="宋体"/>
          <w:kern w:val="0"/>
          <w:sz w:val="28"/>
          <w:szCs w:val="28"/>
        </w:rPr>
        <w:t>）；</w:t>
      </w:r>
    </w:p>
    <w:p>
      <w:pPr>
        <w:numPr>
          <w:ilvl w:val="0"/>
          <w:numId w:val="3"/>
        </w:numPr>
        <w:tabs>
          <w:tab w:val="left" w:pos="900"/>
        </w:tabs>
        <w:adjustRightInd w:val="0"/>
        <w:snapToGrid w:val="0"/>
        <w:spacing w:line="500" w:lineRule="exact"/>
        <w:ind w:left="0" w:firstLine="560" w:firstLineChars="200"/>
        <w:jc w:val="left"/>
        <w:rPr>
          <w:rFonts w:ascii="新宋体" w:hAnsi="新宋体" w:eastAsia="新宋体" w:cs="宋体"/>
          <w:kern w:val="0"/>
          <w:sz w:val="28"/>
          <w:szCs w:val="28"/>
        </w:rPr>
      </w:pPr>
      <w:r>
        <w:rPr>
          <w:rFonts w:hint="eastAsia" w:ascii="新宋体" w:hAnsi="新宋体" w:eastAsia="新宋体" w:cs="宋体"/>
          <w:kern w:val="0"/>
          <w:sz w:val="28"/>
          <w:szCs w:val="28"/>
        </w:rPr>
        <w:t>《用人单位劳动防护用品管理规范》（安监总厅安健〔201</w:t>
      </w:r>
      <w:r>
        <w:rPr>
          <w:rFonts w:ascii="新宋体" w:hAnsi="新宋体" w:eastAsia="新宋体" w:cs="宋体"/>
          <w:kern w:val="0"/>
          <w:sz w:val="28"/>
          <w:szCs w:val="28"/>
        </w:rPr>
        <w:t>8</w:t>
      </w:r>
      <w:r>
        <w:rPr>
          <w:rFonts w:hint="eastAsia" w:ascii="新宋体" w:hAnsi="新宋体" w:eastAsia="新宋体" w:cs="宋体"/>
          <w:kern w:val="0"/>
          <w:sz w:val="28"/>
          <w:szCs w:val="28"/>
        </w:rPr>
        <w:t>〕</w:t>
      </w:r>
      <w:r>
        <w:rPr>
          <w:rFonts w:ascii="新宋体" w:hAnsi="新宋体" w:eastAsia="新宋体" w:cs="宋体"/>
          <w:kern w:val="0"/>
          <w:sz w:val="28"/>
          <w:szCs w:val="28"/>
        </w:rPr>
        <w:t>3</w:t>
      </w:r>
      <w:r>
        <w:rPr>
          <w:rFonts w:hint="eastAsia" w:ascii="新宋体" w:hAnsi="新宋体" w:eastAsia="新宋体" w:cs="宋体"/>
          <w:kern w:val="0"/>
          <w:sz w:val="28"/>
          <w:szCs w:val="28"/>
        </w:rPr>
        <w:t>号）；</w:t>
      </w:r>
    </w:p>
    <w:p>
      <w:pPr>
        <w:numPr>
          <w:ilvl w:val="0"/>
          <w:numId w:val="3"/>
        </w:numPr>
        <w:tabs>
          <w:tab w:val="left" w:pos="900"/>
        </w:tabs>
        <w:adjustRightInd w:val="0"/>
        <w:snapToGrid w:val="0"/>
        <w:spacing w:line="500" w:lineRule="exact"/>
        <w:ind w:left="0" w:firstLine="560" w:firstLineChars="200"/>
        <w:jc w:val="left"/>
        <w:rPr>
          <w:rFonts w:ascii="新宋体" w:hAnsi="新宋体" w:eastAsia="新宋体"/>
          <w:sz w:val="28"/>
          <w:szCs w:val="20"/>
        </w:rPr>
      </w:pPr>
      <w:r>
        <w:rPr>
          <w:rFonts w:hint="eastAsia" w:ascii="新宋体" w:hAnsi="新宋体" w:eastAsia="新宋体"/>
          <w:sz w:val="28"/>
          <w:szCs w:val="20"/>
        </w:rPr>
        <w:t>《国家安全监管总局关于公布首批重点监管的危险化学品目录的通知》（安监总管三〔</w:t>
      </w:r>
      <w:r>
        <w:rPr>
          <w:rFonts w:ascii="新宋体" w:hAnsi="新宋体" w:eastAsia="新宋体"/>
          <w:sz w:val="28"/>
          <w:szCs w:val="20"/>
        </w:rPr>
        <w:t>2011</w:t>
      </w:r>
      <w:r>
        <w:rPr>
          <w:rFonts w:hint="eastAsia" w:ascii="新宋体" w:hAnsi="新宋体" w:eastAsia="新宋体"/>
          <w:sz w:val="28"/>
          <w:szCs w:val="20"/>
        </w:rPr>
        <w:t>〕</w:t>
      </w:r>
      <w:r>
        <w:rPr>
          <w:rFonts w:ascii="新宋体" w:hAnsi="新宋体" w:eastAsia="新宋体"/>
          <w:sz w:val="28"/>
          <w:szCs w:val="20"/>
        </w:rPr>
        <w:t>95</w:t>
      </w:r>
      <w:r>
        <w:rPr>
          <w:rFonts w:hint="eastAsia" w:ascii="新宋体" w:hAnsi="新宋体" w:eastAsia="新宋体"/>
          <w:sz w:val="28"/>
          <w:szCs w:val="20"/>
        </w:rPr>
        <w:t>号）；</w:t>
      </w:r>
    </w:p>
    <w:p>
      <w:pPr>
        <w:numPr>
          <w:ilvl w:val="0"/>
          <w:numId w:val="3"/>
        </w:numPr>
        <w:tabs>
          <w:tab w:val="left" w:pos="900"/>
        </w:tabs>
        <w:adjustRightInd w:val="0"/>
        <w:snapToGrid w:val="0"/>
        <w:spacing w:line="500" w:lineRule="exact"/>
        <w:ind w:left="0" w:firstLine="560" w:firstLineChars="200"/>
        <w:jc w:val="left"/>
        <w:rPr>
          <w:rFonts w:ascii="新宋体" w:hAnsi="新宋体" w:eastAsia="新宋体"/>
          <w:sz w:val="28"/>
          <w:szCs w:val="20"/>
        </w:rPr>
      </w:pPr>
      <w:r>
        <w:rPr>
          <w:rFonts w:hint="eastAsia" w:ascii="新宋体" w:hAnsi="新宋体" w:eastAsia="新宋体"/>
          <w:sz w:val="28"/>
          <w:szCs w:val="20"/>
        </w:rPr>
        <w:t>《国家安全监管总局办公厅关于印发首批重点监管的危险化学品安全措施和应急处置原则的通知》（安监总厅管三〔</w:t>
      </w:r>
      <w:r>
        <w:rPr>
          <w:rFonts w:ascii="新宋体" w:hAnsi="新宋体" w:eastAsia="新宋体"/>
          <w:sz w:val="28"/>
          <w:szCs w:val="20"/>
        </w:rPr>
        <w:t>2011</w:t>
      </w:r>
      <w:r>
        <w:rPr>
          <w:rFonts w:hint="eastAsia" w:ascii="新宋体" w:hAnsi="新宋体" w:eastAsia="新宋体"/>
          <w:sz w:val="28"/>
          <w:szCs w:val="20"/>
        </w:rPr>
        <w:t>〕</w:t>
      </w:r>
      <w:r>
        <w:rPr>
          <w:rFonts w:ascii="新宋体" w:hAnsi="新宋体" w:eastAsia="新宋体"/>
          <w:sz w:val="28"/>
          <w:szCs w:val="20"/>
        </w:rPr>
        <w:t>142</w:t>
      </w:r>
      <w:r>
        <w:rPr>
          <w:rFonts w:hint="eastAsia" w:ascii="新宋体" w:hAnsi="新宋体" w:eastAsia="新宋体"/>
          <w:sz w:val="28"/>
          <w:szCs w:val="20"/>
        </w:rPr>
        <w:t>号）；</w:t>
      </w:r>
    </w:p>
    <w:p>
      <w:pPr>
        <w:numPr>
          <w:ilvl w:val="0"/>
          <w:numId w:val="3"/>
        </w:numPr>
        <w:tabs>
          <w:tab w:val="left" w:pos="900"/>
        </w:tabs>
        <w:adjustRightInd w:val="0"/>
        <w:snapToGrid w:val="0"/>
        <w:spacing w:line="500" w:lineRule="exact"/>
        <w:ind w:left="0" w:firstLine="560" w:firstLineChars="200"/>
        <w:jc w:val="left"/>
        <w:rPr>
          <w:rFonts w:ascii="新宋体" w:hAnsi="新宋体" w:eastAsia="新宋体"/>
          <w:sz w:val="28"/>
          <w:szCs w:val="28"/>
        </w:rPr>
      </w:pPr>
      <w:r>
        <w:rPr>
          <w:rFonts w:hint="eastAsia" w:ascii="新宋体" w:hAnsi="新宋体" w:eastAsia="新宋体"/>
          <w:sz w:val="28"/>
          <w:szCs w:val="20"/>
        </w:rPr>
        <w:t>《机关、团体、企业、事业单位消防安全管理规定》（公安部令第</w:t>
      </w:r>
      <w:r>
        <w:rPr>
          <w:rFonts w:ascii="新宋体" w:hAnsi="新宋体" w:eastAsia="新宋体"/>
          <w:sz w:val="28"/>
          <w:szCs w:val="20"/>
        </w:rPr>
        <w:t>61</w:t>
      </w:r>
      <w:r>
        <w:rPr>
          <w:rFonts w:hint="eastAsia" w:ascii="新宋体" w:hAnsi="新宋体" w:eastAsia="新宋体"/>
          <w:sz w:val="28"/>
          <w:szCs w:val="20"/>
        </w:rPr>
        <w:t>号）；</w:t>
      </w:r>
    </w:p>
    <w:p>
      <w:pPr>
        <w:numPr>
          <w:ilvl w:val="0"/>
          <w:numId w:val="3"/>
        </w:numPr>
        <w:tabs>
          <w:tab w:val="left" w:pos="900"/>
        </w:tabs>
        <w:adjustRightInd w:val="0"/>
        <w:snapToGrid w:val="0"/>
        <w:spacing w:line="500" w:lineRule="exact"/>
        <w:ind w:left="0" w:firstLine="560" w:firstLineChars="200"/>
        <w:jc w:val="left"/>
        <w:rPr>
          <w:rFonts w:ascii="新宋体" w:hAnsi="新宋体" w:eastAsia="新宋体"/>
          <w:sz w:val="28"/>
          <w:szCs w:val="28"/>
        </w:rPr>
      </w:pPr>
      <w:r>
        <w:rPr>
          <w:rFonts w:hint="eastAsia" w:ascii="新宋体" w:hAnsi="新宋体" w:eastAsia="新宋体"/>
          <w:sz w:val="28"/>
          <w:szCs w:val="28"/>
        </w:rPr>
        <w:t>《企业安全生产责任体系五落实五到位规定》（安监总办〔2015〕27号，</w:t>
      </w:r>
      <w:r>
        <w:rPr>
          <w:rFonts w:hint="eastAsia" w:ascii="新宋体" w:hAnsi="新宋体" w:eastAsia="新宋体" w:cs="Tahoma"/>
          <w:bCs/>
          <w:sz w:val="28"/>
          <w:szCs w:val="28"/>
        </w:rPr>
        <w:t>2015年3月16日公布</w:t>
      </w:r>
      <w:r>
        <w:rPr>
          <w:rFonts w:hint="eastAsia" w:ascii="新宋体" w:hAnsi="新宋体" w:eastAsia="新宋体"/>
          <w:sz w:val="28"/>
          <w:szCs w:val="28"/>
        </w:rPr>
        <w:t>）；</w:t>
      </w:r>
    </w:p>
    <w:p>
      <w:pPr>
        <w:numPr>
          <w:ilvl w:val="0"/>
          <w:numId w:val="3"/>
        </w:numPr>
        <w:tabs>
          <w:tab w:val="left" w:pos="900"/>
        </w:tabs>
        <w:adjustRightInd w:val="0"/>
        <w:snapToGrid w:val="0"/>
        <w:spacing w:line="500" w:lineRule="exact"/>
        <w:ind w:left="0" w:firstLine="560" w:firstLineChars="200"/>
        <w:jc w:val="left"/>
        <w:rPr>
          <w:rFonts w:hint="eastAsia" w:ascii="新宋体" w:hAnsi="新宋体" w:eastAsia="新宋体"/>
          <w:sz w:val="28"/>
          <w:szCs w:val="28"/>
        </w:rPr>
      </w:pPr>
      <w:r>
        <w:rPr>
          <w:rFonts w:hint="eastAsia" w:ascii="新宋体" w:hAnsi="新宋体" w:eastAsia="新宋体"/>
          <w:sz w:val="28"/>
          <w:szCs w:val="28"/>
        </w:rPr>
        <w:t>《国家安全监管总局办公厅关于进一步加强加油站安全生产工作的通知》（安监总厅管三〔</w:t>
      </w:r>
      <w:r>
        <w:rPr>
          <w:rFonts w:ascii="新宋体" w:hAnsi="新宋体" w:eastAsia="新宋体"/>
          <w:sz w:val="28"/>
          <w:szCs w:val="28"/>
        </w:rPr>
        <w:t>2016〕8号</w:t>
      </w:r>
      <w:r>
        <w:rPr>
          <w:rFonts w:hint="eastAsia" w:ascii="新宋体" w:hAnsi="新宋体" w:eastAsia="新宋体"/>
          <w:sz w:val="28"/>
          <w:szCs w:val="28"/>
        </w:rPr>
        <w:t>，自2016年2月5日起施行）；</w:t>
      </w:r>
    </w:p>
    <w:p>
      <w:pPr>
        <w:numPr>
          <w:ilvl w:val="0"/>
          <w:numId w:val="3"/>
        </w:numPr>
        <w:tabs>
          <w:tab w:val="left" w:pos="900"/>
        </w:tabs>
        <w:adjustRightInd w:val="0"/>
        <w:snapToGrid w:val="0"/>
        <w:spacing w:line="500" w:lineRule="exact"/>
        <w:ind w:left="0" w:firstLine="560" w:firstLineChars="200"/>
        <w:jc w:val="left"/>
        <w:rPr>
          <w:rFonts w:hint="eastAsia" w:ascii="新宋体" w:hAnsi="新宋体" w:eastAsia="新宋体"/>
          <w:sz w:val="28"/>
          <w:szCs w:val="28"/>
        </w:rPr>
      </w:pPr>
      <w:r>
        <w:rPr>
          <w:rFonts w:hint="eastAsia" w:ascii="新宋体" w:hAnsi="新宋体" w:eastAsia="新宋体"/>
          <w:sz w:val="28"/>
          <w:szCs w:val="28"/>
        </w:rPr>
        <w:t>《化工和危险化学品生产经营单位重大生产安全事故隐患判定标准（试行）》（安监总管三〔2017〕121号）；</w:t>
      </w:r>
    </w:p>
    <w:p>
      <w:pPr>
        <w:numPr>
          <w:ilvl w:val="0"/>
          <w:numId w:val="3"/>
        </w:numPr>
        <w:tabs>
          <w:tab w:val="left" w:pos="900"/>
        </w:tabs>
        <w:adjustRightInd w:val="0"/>
        <w:snapToGrid w:val="0"/>
        <w:spacing w:line="500" w:lineRule="exact"/>
        <w:ind w:left="0" w:firstLine="560" w:firstLineChars="200"/>
        <w:jc w:val="left"/>
        <w:rPr>
          <w:rFonts w:hint="eastAsia" w:ascii="新宋体" w:hAnsi="新宋体" w:eastAsia="新宋体"/>
          <w:sz w:val="28"/>
          <w:szCs w:val="28"/>
        </w:rPr>
      </w:pPr>
      <w:r>
        <w:rPr>
          <w:rFonts w:hint="eastAsia" w:ascii="宋体" w:hAnsi="宋体" w:cs="宋体"/>
          <w:sz w:val="28"/>
          <w:szCs w:val="28"/>
          <w:lang w:val="zh-CN"/>
        </w:rPr>
        <w:t>《危险化学品分类信息表》（安监总厅管三〔2015〕80号）；</w:t>
      </w:r>
    </w:p>
    <w:p>
      <w:pPr>
        <w:numPr>
          <w:ilvl w:val="0"/>
          <w:numId w:val="3"/>
        </w:numPr>
        <w:tabs>
          <w:tab w:val="left" w:pos="900"/>
        </w:tabs>
        <w:adjustRightInd w:val="0"/>
        <w:snapToGrid w:val="0"/>
        <w:spacing w:line="500" w:lineRule="exact"/>
        <w:ind w:left="0" w:firstLine="560" w:firstLineChars="200"/>
        <w:jc w:val="left"/>
        <w:rPr>
          <w:rFonts w:ascii="新宋体" w:hAnsi="新宋体" w:eastAsia="新宋体"/>
          <w:sz w:val="28"/>
          <w:szCs w:val="28"/>
        </w:rPr>
      </w:pPr>
      <w:r>
        <w:rPr>
          <w:rFonts w:hint="eastAsia" w:ascii="新宋体" w:hAnsi="新宋体" w:eastAsia="新宋体"/>
          <w:sz w:val="28"/>
          <w:szCs w:val="28"/>
        </w:rPr>
        <w:t>《应急管理部关于印发危险化学品生产储存企业安全风险</w:t>
      </w:r>
      <w:r>
        <w:rPr>
          <w:rFonts w:hint="eastAsia" w:ascii="新宋体" w:hAnsi="新宋体" w:eastAsia="新宋体"/>
          <w:sz w:val="28"/>
          <w:szCs w:val="28"/>
          <w:lang w:eastAsia="zh-CN"/>
        </w:rPr>
        <w:t>评价</w:t>
      </w:r>
      <w:r>
        <w:rPr>
          <w:rFonts w:hint="eastAsia" w:ascii="新宋体" w:hAnsi="新宋体" w:eastAsia="新宋体"/>
          <w:sz w:val="28"/>
          <w:szCs w:val="28"/>
        </w:rPr>
        <w:t>诊断分级指南（试行）》（应急〔2018〕19号）；</w:t>
      </w:r>
    </w:p>
    <w:p>
      <w:pPr>
        <w:numPr>
          <w:ilvl w:val="0"/>
          <w:numId w:val="3"/>
        </w:numPr>
        <w:tabs>
          <w:tab w:val="left" w:pos="900"/>
        </w:tabs>
        <w:adjustRightInd w:val="0"/>
        <w:snapToGrid w:val="0"/>
        <w:spacing w:line="500" w:lineRule="exact"/>
        <w:ind w:left="0" w:firstLine="560" w:firstLineChars="200"/>
        <w:jc w:val="left"/>
        <w:rPr>
          <w:rFonts w:hint="eastAsia" w:ascii="新宋体" w:hAnsi="新宋体" w:eastAsia="新宋体"/>
          <w:sz w:val="28"/>
          <w:szCs w:val="28"/>
        </w:rPr>
      </w:pPr>
      <w:r>
        <w:rPr>
          <w:rFonts w:hint="eastAsia"/>
          <w:color w:val="000000"/>
          <w:sz w:val="28"/>
          <w:szCs w:val="21"/>
        </w:rPr>
        <w:t>《生产安全事故罚款处罚规定》（应急管理部令第14号）</w:t>
      </w:r>
      <w:r>
        <w:rPr>
          <w:rFonts w:hint="eastAsia"/>
          <w:color w:val="000000"/>
          <w:sz w:val="28"/>
          <w:szCs w:val="21"/>
          <w:lang w:eastAsia="zh-CN"/>
        </w:rPr>
        <w:t>；</w:t>
      </w:r>
    </w:p>
    <w:p>
      <w:pPr>
        <w:numPr>
          <w:ilvl w:val="0"/>
          <w:numId w:val="4"/>
        </w:numPr>
        <w:tabs>
          <w:tab w:val="left" w:pos="980"/>
        </w:tabs>
        <w:autoSpaceDE w:val="0"/>
        <w:autoSpaceDN w:val="0"/>
        <w:adjustRightInd w:val="0"/>
        <w:spacing w:line="500" w:lineRule="exact"/>
        <w:ind w:firstLine="560"/>
        <w:rPr>
          <w:color w:val="000000" w:themeColor="text1"/>
          <w:sz w:val="28"/>
          <w:szCs w:val="28"/>
          <w:lang w:val="zh-CN"/>
        </w:rPr>
      </w:pPr>
      <w:r>
        <w:rPr>
          <w:rFonts w:hint="eastAsia"/>
          <w:color w:val="000000"/>
          <w:sz w:val="28"/>
          <w:szCs w:val="21"/>
          <w:lang w:eastAsia="zh-CN"/>
        </w:rPr>
        <w:t>《</w:t>
      </w:r>
      <w:r>
        <w:rPr>
          <w:rFonts w:hint="eastAsia"/>
          <w:color w:val="000000"/>
          <w:sz w:val="28"/>
          <w:szCs w:val="21"/>
          <w:lang w:val="en-US" w:eastAsia="zh-CN"/>
        </w:rPr>
        <w:t>安全生产责任保险实施办法</w:t>
      </w:r>
      <w:r>
        <w:rPr>
          <w:rFonts w:hint="eastAsia"/>
          <w:color w:val="000000"/>
          <w:sz w:val="28"/>
          <w:szCs w:val="21"/>
          <w:lang w:eastAsia="zh-CN"/>
        </w:rPr>
        <w:t>》（</w:t>
      </w:r>
      <w:r>
        <w:rPr>
          <w:rFonts w:hint="eastAsia"/>
          <w:color w:val="000000"/>
          <w:sz w:val="28"/>
          <w:szCs w:val="21"/>
          <w:lang w:val="en-US" w:eastAsia="zh-CN"/>
        </w:rPr>
        <w:t>应急【2025】27号</w:t>
      </w:r>
      <w:r>
        <w:rPr>
          <w:rFonts w:hint="eastAsia"/>
          <w:color w:val="000000"/>
          <w:sz w:val="28"/>
          <w:szCs w:val="21"/>
          <w:lang w:eastAsia="zh-CN"/>
        </w:rPr>
        <w:t>）。</w:t>
      </w:r>
    </w:p>
    <w:p>
      <w:pPr>
        <w:pStyle w:val="19"/>
        <w:spacing w:afterLines="100" w:line="500" w:lineRule="exact"/>
        <w:rPr>
          <w:rFonts w:ascii="黑体" w:hAnsi="宋体" w:eastAsia="黑体"/>
          <w:color w:val="000000" w:themeColor="text1"/>
          <w:kern w:val="3"/>
          <w:sz w:val="28"/>
          <w:szCs w:val="28"/>
        </w:rPr>
      </w:pPr>
      <w:bookmarkStart w:id="168" w:name="_Toc13625"/>
      <w:bookmarkStart w:id="169" w:name="_Toc21291"/>
      <w:bookmarkStart w:id="170" w:name="_Toc941"/>
      <w:bookmarkStart w:id="171" w:name="_Toc16771"/>
      <w:bookmarkStart w:id="172" w:name="_Toc6152"/>
      <w:bookmarkStart w:id="173" w:name="_Toc14274"/>
      <w:bookmarkStart w:id="174" w:name="_Toc32614"/>
      <w:bookmarkStart w:id="175" w:name="_Toc4151"/>
      <w:bookmarkStart w:id="176" w:name="_Toc32673"/>
      <w:bookmarkStart w:id="177" w:name="_Toc11669"/>
      <w:r>
        <w:rPr>
          <w:rFonts w:hint="eastAsia" w:ascii="黑体" w:hAnsi="宋体" w:eastAsia="黑体"/>
          <w:color w:val="000000" w:themeColor="text1"/>
          <w:kern w:val="3"/>
          <w:sz w:val="28"/>
          <w:szCs w:val="28"/>
        </w:rPr>
        <w:t>1.2.</w:t>
      </w:r>
      <w:r>
        <w:rPr>
          <w:rFonts w:hint="eastAsia" w:ascii="黑体" w:hAnsi="宋体" w:eastAsia="黑体"/>
          <w:color w:val="000000" w:themeColor="text1"/>
          <w:kern w:val="3"/>
          <w:sz w:val="28"/>
          <w:szCs w:val="28"/>
          <w:lang w:val="en-US" w:eastAsia="zh-CN"/>
        </w:rPr>
        <w:t>3</w:t>
      </w:r>
      <w:r>
        <w:rPr>
          <w:rFonts w:hint="eastAsia" w:ascii="黑体" w:hAnsi="宋体" w:eastAsia="黑体"/>
          <w:color w:val="000000" w:themeColor="text1"/>
          <w:kern w:val="3"/>
          <w:sz w:val="28"/>
          <w:szCs w:val="28"/>
        </w:rPr>
        <w:t>地方性法规及文件</w:t>
      </w:r>
      <w:bookmarkEnd w:id="166"/>
      <w:bookmarkEnd w:id="167"/>
      <w:bookmarkEnd w:id="168"/>
      <w:bookmarkEnd w:id="169"/>
      <w:bookmarkEnd w:id="170"/>
      <w:bookmarkEnd w:id="171"/>
      <w:bookmarkEnd w:id="172"/>
      <w:bookmarkEnd w:id="173"/>
      <w:bookmarkEnd w:id="174"/>
      <w:bookmarkEnd w:id="175"/>
      <w:bookmarkEnd w:id="176"/>
      <w:bookmarkEnd w:id="177"/>
    </w:p>
    <w:p>
      <w:pPr>
        <w:numPr>
          <w:ilvl w:val="0"/>
          <w:numId w:val="5"/>
        </w:numPr>
        <w:tabs>
          <w:tab w:val="right" w:pos="8306"/>
        </w:tabs>
        <w:adjustRightInd w:val="0"/>
        <w:snapToGrid w:val="0"/>
        <w:spacing w:line="500" w:lineRule="exact"/>
        <w:ind w:firstLine="560" w:firstLineChars="200"/>
        <w:jc w:val="left"/>
        <w:rPr>
          <w:rFonts w:ascii="新宋体" w:hAnsi="新宋体" w:eastAsia="新宋体"/>
          <w:sz w:val="28"/>
          <w:szCs w:val="28"/>
        </w:rPr>
      </w:pPr>
      <w:bookmarkStart w:id="178" w:name="_Toc286493631"/>
      <w:bookmarkStart w:id="179" w:name="_Toc30486"/>
      <w:bookmarkStart w:id="180" w:name="_Toc11337"/>
      <w:bookmarkStart w:id="181" w:name="_Toc15573"/>
      <w:bookmarkStart w:id="182" w:name="_Toc26829"/>
      <w:bookmarkStart w:id="183" w:name="_Toc345765817"/>
      <w:bookmarkStart w:id="184" w:name="_Toc23818"/>
      <w:bookmarkStart w:id="185" w:name="_Toc23557"/>
      <w:bookmarkStart w:id="186" w:name="_Toc6495"/>
      <w:bookmarkStart w:id="187" w:name="_Toc12627"/>
      <w:bookmarkStart w:id="188" w:name="_Toc22683"/>
      <w:bookmarkStart w:id="189" w:name="_Toc27263"/>
      <w:bookmarkStart w:id="190" w:name="_Toc2561"/>
      <w:r>
        <w:rPr>
          <w:rFonts w:hint="eastAsia" w:ascii="新宋体" w:hAnsi="新宋体" w:eastAsia="新宋体"/>
          <w:sz w:val="28"/>
          <w:szCs w:val="21"/>
        </w:rPr>
        <w:t>《云南省安全生产条例》（云南省第十二届人民代表大会常务委员会公告第（63）号，</w:t>
      </w:r>
      <w:r>
        <w:rPr>
          <w:rFonts w:ascii="新宋体" w:hAnsi="新宋体" w:eastAsia="新宋体"/>
          <w:sz w:val="28"/>
          <w:szCs w:val="21"/>
        </w:rPr>
        <w:t>20</w:t>
      </w:r>
      <w:r>
        <w:rPr>
          <w:rFonts w:hint="eastAsia" w:ascii="新宋体" w:hAnsi="新宋体" w:eastAsia="新宋体"/>
          <w:sz w:val="28"/>
          <w:szCs w:val="21"/>
        </w:rPr>
        <w:t>1</w:t>
      </w:r>
      <w:r>
        <w:rPr>
          <w:rFonts w:ascii="新宋体" w:hAnsi="新宋体" w:eastAsia="新宋体"/>
          <w:sz w:val="28"/>
          <w:szCs w:val="21"/>
        </w:rPr>
        <w:t>8</w:t>
      </w:r>
      <w:r>
        <w:rPr>
          <w:rFonts w:hint="eastAsia" w:ascii="新宋体" w:hAnsi="新宋体" w:eastAsia="新宋体"/>
          <w:sz w:val="28"/>
          <w:szCs w:val="21"/>
        </w:rPr>
        <w:t>年</w:t>
      </w:r>
      <w:r>
        <w:rPr>
          <w:rFonts w:ascii="新宋体" w:hAnsi="新宋体" w:eastAsia="新宋体"/>
          <w:sz w:val="28"/>
          <w:szCs w:val="21"/>
        </w:rPr>
        <w:t>1</w:t>
      </w:r>
      <w:r>
        <w:rPr>
          <w:rFonts w:hint="eastAsia" w:ascii="新宋体" w:hAnsi="新宋体" w:eastAsia="新宋体"/>
          <w:sz w:val="28"/>
          <w:szCs w:val="21"/>
        </w:rPr>
        <w:t>月</w:t>
      </w:r>
      <w:r>
        <w:rPr>
          <w:rFonts w:ascii="新宋体" w:hAnsi="新宋体" w:eastAsia="新宋体"/>
          <w:sz w:val="28"/>
          <w:szCs w:val="21"/>
        </w:rPr>
        <w:t>1</w:t>
      </w:r>
      <w:r>
        <w:rPr>
          <w:rFonts w:hint="eastAsia" w:ascii="新宋体" w:hAnsi="新宋体" w:eastAsia="新宋体"/>
          <w:sz w:val="28"/>
          <w:szCs w:val="21"/>
        </w:rPr>
        <w:t>日起施行）；</w:t>
      </w:r>
    </w:p>
    <w:p>
      <w:pPr>
        <w:numPr>
          <w:ilvl w:val="0"/>
          <w:numId w:val="5"/>
        </w:numPr>
        <w:tabs>
          <w:tab w:val="right" w:pos="8306"/>
        </w:tabs>
        <w:adjustRightInd w:val="0"/>
        <w:snapToGrid w:val="0"/>
        <w:spacing w:line="500" w:lineRule="exact"/>
        <w:ind w:firstLine="560" w:firstLineChars="200"/>
        <w:jc w:val="left"/>
        <w:rPr>
          <w:rFonts w:ascii="新宋体" w:hAnsi="新宋体" w:eastAsia="新宋体"/>
          <w:sz w:val="28"/>
          <w:szCs w:val="21"/>
        </w:rPr>
      </w:pPr>
      <w:r>
        <w:rPr>
          <w:rFonts w:hint="eastAsia" w:ascii="新宋体" w:hAnsi="新宋体" w:eastAsia="新宋体"/>
          <w:sz w:val="28"/>
          <w:szCs w:val="21"/>
        </w:rPr>
        <w:t>《关于在全省高危行业推行人身意外伤害保险的通知》（云安监管</w:t>
      </w:r>
      <w:r>
        <w:rPr>
          <w:rFonts w:ascii="新宋体" w:hAnsi="新宋体" w:eastAsia="新宋体"/>
          <w:sz w:val="28"/>
          <w:szCs w:val="21"/>
        </w:rPr>
        <w:t>[2008]102</w:t>
      </w:r>
      <w:r>
        <w:rPr>
          <w:rFonts w:hint="eastAsia" w:ascii="新宋体" w:hAnsi="新宋体" w:eastAsia="新宋体"/>
          <w:sz w:val="28"/>
          <w:szCs w:val="21"/>
        </w:rPr>
        <w:t>号）；</w:t>
      </w:r>
    </w:p>
    <w:p>
      <w:pPr>
        <w:numPr>
          <w:ilvl w:val="0"/>
          <w:numId w:val="5"/>
        </w:numPr>
        <w:tabs>
          <w:tab w:val="right" w:pos="8306"/>
        </w:tabs>
        <w:adjustRightInd w:val="0"/>
        <w:snapToGrid w:val="0"/>
        <w:spacing w:line="500" w:lineRule="exact"/>
        <w:ind w:firstLine="560" w:firstLineChars="200"/>
        <w:jc w:val="left"/>
        <w:rPr>
          <w:rFonts w:ascii="新宋体" w:hAnsi="新宋体" w:eastAsia="新宋体"/>
          <w:sz w:val="28"/>
          <w:szCs w:val="21"/>
        </w:rPr>
      </w:pPr>
      <w:r>
        <w:rPr>
          <w:rFonts w:hint="eastAsia" w:ascii="新宋体" w:hAnsi="新宋体" w:eastAsia="新宋体"/>
          <w:sz w:val="28"/>
          <w:szCs w:val="28"/>
        </w:rPr>
        <w:t>《云南省人民政府贯彻落实国务院关于进一步加强企业安全生产工作通知的实施意见》（云政发</w:t>
      </w:r>
      <w:r>
        <w:rPr>
          <w:rFonts w:ascii="新宋体" w:hAnsi="新宋体" w:eastAsia="新宋体"/>
          <w:sz w:val="28"/>
          <w:szCs w:val="28"/>
        </w:rPr>
        <w:t>[2010]157</w:t>
      </w:r>
      <w:r>
        <w:rPr>
          <w:rFonts w:hint="eastAsia" w:ascii="新宋体" w:hAnsi="新宋体" w:eastAsia="新宋体"/>
          <w:sz w:val="28"/>
          <w:szCs w:val="28"/>
        </w:rPr>
        <w:t>号）；</w:t>
      </w:r>
    </w:p>
    <w:p>
      <w:pPr>
        <w:numPr>
          <w:ilvl w:val="0"/>
          <w:numId w:val="5"/>
        </w:numPr>
        <w:tabs>
          <w:tab w:val="right" w:pos="8306"/>
        </w:tabs>
        <w:adjustRightInd w:val="0"/>
        <w:snapToGrid w:val="0"/>
        <w:spacing w:line="500" w:lineRule="exact"/>
        <w:ind w:firstLine="560" w:firstLineChars="200"/>
        <w:jc w:val="left"/>
        <w:rPr>
          <w:rFonts w:ascii="新宋体" w:hAnsi="新宋体" w:eastAsia="新宋体"/>
          <w:snapToGrid w:val="0"/>
          <w:sz w:val="28"/>
          <w:szCs w:val="28"/>
        </w:rPr>
      </w:pPr>
      <w:r>
        <w:rPr>
          <w:rFonts w:hint="eastAsia" w:ascii="新宋体" w:hAnsi="新宋体" w:eastAsia="新宋体"/>
          <w:snapToGrid w:val="0"/>
          <w:sz w:val="28"/>
          <w:szCs w:val="28"/>
        </w:rPr>
        <w:t>《云南省人民政府办公厅关于进一步加强危险化学品企业安全生产工作的实施意见》（云政办发</w:t>
      </w:r>
      <w:r>
        <w:rPr>
          <w:rFonts w:ascii="新宋体" w:hAnsi="新宋体" w:eastAsia="新宋体"/>
          <w:snapToGrid w:val="0"/>
          <w:sz w:val="28"/>
          <w:szCs w:val="28"/>
        </w:rPr>
        <w:t>[2011]112</w:t>
      </w:r>
      <w:r>
        <w:rPr>
          <w:rFonts w:hint="eastAsia" w:ascii="新宋体" w:hAnsi="新宋体" w:eastAsia="新宋体"/>
          <w:snapToGrid w:val="0"/>
          <w:sz w:val="28"/>
          <w:szCs w:val="28"/>
        </w:rPr>
        <w:t>号）；</w:t>
      </w:r>
    </w:p>
    <w:p>
      <w:pPr>
        <w:numPr>
          <w:ilvl w:val="0"/>
          <w:numId w:val="5"/>
        </w:numPr>
        <w:tabs>
          <w:tab w:val="right" w:pos="8306"/>
        </w:tabs>
        <w:adjustRightInd w:val="0"/>
        <w:snapToGrid w:val="0"/>
        <w:spacing w:line="500" w:lineRule="exact"/>
        <w:ind w:firstLine="560" w:firstLineChars="200"/>
        <w:jc w:val="left"/>
        <w:rPr>
          <w:rFonts w:ascii="新宋体" w:hAnsi="新宋体" w:eastAsia="新宋体"/>
          <w:snapToGrid w:val="0"/>
          <w:sz w:val="28"/>
          <w:szCs w:val="28"/>
        </w:rPr>
      </w:pPr>
      <w:r>
        <w:rPr>
          <w:rFonts w:hint="eastAsia" w:ascii="新宋体" w:hAnsi="新宋体" w:eastAsia="新宋体"/>
          <w:sz w:val="28"/>
          <w:szCs w:val="28"/>
        </w:rPr>
        <w:t>《云南省人民政府关于印发云南省生产经营单位安全生产主体责任规定的通知》(云政规〔2022〕4号)；</w:t>
      </w:r>
    </w:p>
    <w:p>
      <w:pPr>
        <w:numPr>
          <w:ilvl w:val="0"/>
          <w:numId w:val="5"/>
        </w:numPr>
        <w:tabs>
          <w:tab w:val="right" w:pos="8306"/>
        </w:tabs>
        <w:adjustRightInd w:val="0"/>
        <w:snapToGrid w:val="0"/>
        <w:spacing w:line="500" w:lineRule="exact"/>
        <w:ind w:firstLine="560" w:firstLineChars="200"/>
        <w:jc w:val="left"/>
        <w:rPr>
          <w:rFonts w:hint="eastAsia" w:ascii="新宋体" w:hAnsi="新宋体" w:eastAsia="新宋体"/>
          <w:snapToGrid w:val="0"/>
          <w:kern w:val="20"/>
          <w:sz w:val="28"/>
        </w:rPr>
      </w:pPr>
      <w:r>
        <w:rPr>
          <w:rFonts w:hint="eastAsia" w:ascii="新宋体" w:hAnsi="新宋体" w:eastAsia="新宋体"/>
          <w:snapToGrid w:val="0"/>
          <w:sz w:val="28"/>
          <w:szCs w:val="28"/>
        </w:rPr>
        <w:t>《</w:t>
      </w:r>
      <w:r>
        <w:rPr>
          <w:rFonts w:hint="eastAsia" w:ascii="新宋体" w:hAnsi="新宋体" w:eastAsia="新宋体"/>
          <w:snapToGrid w:val="0"/>
          <w:kern w:val="20"/>
          <w:sz w:val="28"/>
        </w:rPr>
        <w:t>云南省安全生产监督管理局关于危险化学品经营行政许可有关事项的通知》（云安监管〔2013〕13号）；</w:t>
      </w:r>
    </w:p>
    <w:p>
      <w:pPr>
        <w:numPr>
          <w:ilvl w:val="0"/>
          <w:numId w:val="5"/>
        </w:numPr>
        <w:tabs>
          <w:tab w:val="right" w:pos="8306"/>
        </w:tabs>
        <w:adjustRightInd w:val="0"/>
        <w:snapToGrid w:val="0"/>
        <w:spacing w:line="500" w:lineRule="exact"/>
        <w:ind w:firstLine="560" w:firstLineChars="200"/>
        <w:jc w:val="left"/>
        <w:rPr>
          <w:rFonts w:hint="eastAsia"/>
          <w:snapToGrid w:val="0"/>
          <w:sz w:val="28"/>
          <w:szCs w:val="28"/>
        </w:rPr>
      </w:pPr>
      <w:r>
        <w:rPr>
          <w:rFonts w:hint="eastAsia"/>
          <w:snapToGrid w:val="0"/>
          <w:sz w:val="28"/>
          <w:szCs w:val="28"/>
        </w:rPr>
        <w:t>《关于印发云南省危险化学品生产（储存）企业安全风险分级标准和安全风险分级指导标准的通知》（云安监管〔2017〕75号）；</w:t>
      </w:r>
    </w:p>
    <w:p>
      <w:pPr>
        <w:numPr>
          <w:ilvl w:val="0"/>
          <w:numId w:val="5"/>
        </w:numPr>
        <w:tabs>
          <w:tab w:val="right" w:pos="8306"/>
        </w:tabs>
        <w:adjustRightInd w:val="0"/>
        <w:snapToGrid w:val="0"/>
        <w:spacing w:line="500" w:lineRule="exact"/>
        <w:ind w:firstLine="560" w:firstLineChars="200"/>
        <w:jc w:val="left"/>
        <w:rPr>
          <w:snapToGrid w:val="0"/>
          <w:sz w:val="28"/>
          <w:szCs w:val="28"/>
        </w:rPr>
      </w:pPr>
      <w:r>
        <w:rPr>
          <w:rFonts w:hint="eastAsia"/>
          <w:sz w:val="28"/>
          <w:szCs w:val="28"/>
        </w:rPr>
        <w:t>《云南省安全生产监督管理局转发应急管理部关于印发危险化学品生产储存企业安全风险</w:t>
      </w:r>
      <w:r>
        <w:rPr>
          <w:rFonts w:hint="eastAsia"/>
          <w:sz w:val="28"/>
          <w:szCs w:val="28"/>
          <w:lang w:eastAsia="zh-CN"/>
        </w:rPr>
        <w:t>评价</w:t>
      </w:r>
      <w:r>
        <w:rPr>
          <w:rFonts w:hint="eastAsia"/>
          <w:sz w:val="28"/>
          <w:szCs w:val="28"/>
        </w:rPr>
        <w:t>诊断分级指南（试行）的通知》（（云安监管〔2018〕29号）；</w:t>
      </w:r>
    </w:p>
    <w:p>
      <w:pPr>
        <w:numPr>
          <w:ilvl w:val="0"/>
          <w:numId w:val="5"/>
        </w:numPr>
        <w:tabs>
          <w:tab w:val="right" w:pos="8306"/>
        </w:tabs>
        <w:adjustRightInd w:val="0"/>
        <w:snapToGrid w:val="0"/>
        <w:spacing w:line="500" w:lineRule="exact"/>
        <w:ind w:firstLine="560" w:firstLineChars="200"/>
        <w:jc w:val="left"/>
        <w:rPr>
          <w:rFonts w:hint="eastAsia"/>
          <w:snapToGrid w:val="0"/>
          <w:sz w:val="28"/>
          <w:szCs w:val="28"/>
        </w:rPr>
      </w:pPr>
      <w:r>
        <w:rPr>
          <w:snapToGrid w:val="0"/>
          <w:color w:val="000000"/>
          <w:kern w:val="0"/>
          <w:sz w:val="28"/>
          <w:szCs w:val="28"/>
        </w:rPr>
        <w:t>《云南省生产安全事故应急办法》</w:t>
      </w:r>
      <w:r>
        <w:rPr>
          <w:rFonts w:hint="eastAsia"/>
          <w:snapToGrid w:val="0"/>
          <w:color w:val="000000"/>
          <w:kern w:val="0"/>
          <w:sz w:val="28"/>
          <w:szCs w:val="28"/>
        </w:rPr>
        <w:t>（</w:t>
      </w:r>
      <w:r>
        <w:rPr>
          <w:snapToGrid w:val="0"/>
          <w:color w:val="000000"/>
          <w:kern w:val="0"/>
          <w:sz w:val="28"/>
          <w:szCs w:val="28"/>
        </w:rPr>
        <w:t>云南省人民政府令第227号</w:t>
      </w:r>
      <w:r>
        <w:rPr>
          <w:rFonts w:hint="eastAsia"/>
          <w:snapToGrid w:val="0"/>
          <w:color w:val="000000"/>
          <w:kern w:val="0"/>
          <w:sz w:val="28"/>
          <w:szCs w:val="28"/>
        </w:rPr>
        <w:t>）。</w:t>
      </w:r>
    </w:p>
    <w:p>
      <w:pPr>
        <w:pStyle w:val="19"/>
        <w:spacing w:afterLines="100" w:line="500" w:lineRule="exact"/>
        <w:rPr>
          <w:rFonts w:ascii="黑体" w:hAnsi="宋体" w:eastAsia="黑体"/>
          <w:color w:val="000000" w:themeColor="text1"/>
          <w:kern w:val="3"/>
          <w:sz w:val="28"/>
          <w:szCs w:val="28"/>
        </w:rPr>
      </w:pPr>
      <w:r>
        <w:rPr>
          <w:rFonts w:hint="eastAsia" w:ascii="黑体" w:hAnsi="宋体" w:eastAsia="黑体"/>
          <w:color w:val="000000" w:themeColor="text1"/>
          <w:kern w:val="3"/>
          <w:sz w:val="28"/>
          <w:szCs w:val="28"/>
        </w:rPr>
        <w:t>1.2.</w:t>
      </w:r>
      <w:r>
        <w:rPr>
          <w:rFonts w:hint="eastAsia" w:ascii="黑体" w:hAnsi="宋体" w:eastAsia="黑体"/>
          <w:color w:val="000000" w:themeColor="text1"/>
          <w:kern w:val="3"/>
          <w:sz w:val="28"/>
          <w:szCs w:val="28"/>
          <w:lang w:val="en-US" w:eastAsia="zh-CN"/>
        </w:rPr>
        <w:t>4</w:t>
      </w:r>
      <w:r>
        <w:rPr>
          <w:rFonts w:hint="eastAsia" w:ascii="黑体" w:hAnsi="宋体" w:eastAsia="黑体"/>
          <w:color w:val="000000" w:themeColor="text1"/>
          <w:kern w:val="3"/>
          <w:sz w:val="28"/>
          <w:szCs w:val="28"/>
        </w:rPr>
        <w:t>国家</w:t>
      </w:r>
      <w:bookmarkEnd w:id="142"/>
      <w:bookmarkEnd w:id="143"/>
      <w:bookmarkEnd w:id="178"/>
      <w:r>
        <w:rPr>
          <w:rFonts w:hint="eastAsia" w:ascii="黑体" w:hAnsi="宋体" w:eastAsia="黑体"/>
          <w:color w:val="000000" w:themeColor="text1"/>
          <w:kern w:val="3"/>
          <w:sz w:val="28"/>
          <w:szCs w:val="28"/>
        </w:rPr>
        <w:t>标准</w:t>
      </w:r>
      <w:bookmarkEnd w:id="179"/>
      <w:bookmarkEnd w:id="180"/>
      <w:bookmarkEnd w:id="181"/>
      <w:bookmarkEnd w:id="182"/>
      <w:bookmarkEnd w:id="183"/>
      <w:bookmarkEnd w:id="184"/>
      <w:bookmarkEnd w:id="185"/>
      <w:bookmarkEnd w:id="186"/>
      <w:bookmarkEnd w:id="187"/>
      <w:bookmarkEnd w:id="188"/>
      <w:bookmarkEnd w:id="189"/>
      <w:bookmarkEnd w:id="190"/>
      <w:bookmarkStart w:id="191" w:name="_Toc345765818"/>
      <w:bookmarkStart w:id="192" w:name="_Toc1305"/>
    </w:p>
    <w:p>
      <w:pPr>
        <w:numPr>
          <w:ilvl w:val="0"/>
          <w:numId w:val="6"/>
        </w:numPr>
        <w:adjustRightInd w:val="0"/>
        <w:snapToGrid w:val="0"/>
        <w:spacing w:line="500" w:lineRule="exact"/>
        <w:ind w:firstLine="560"/>
        <w:rPr>
          <w:color w:val="000000" w:themeColor="text1"/>
          <w:sz w:val="28"/>
          <w:szCs w:val="28"/>
          <w:lang w:val="zh-CN"/>
        </w:rPr>
      </w:pPr>
      <w:r>
        <w:rPr>
          <w:color w:val="000000" w:themeColor="text1"/>
          <w:sz w:val="28"/>
          <w:szCs w:val="28"/>
          <w:lang w:val="zh-CN"/>
        </w:rPr>
        <w:t>《建筑设计防火规范（2018年版）》（GB50016-2014）</w:t>
      </w:r>
      <w:r>
        <w:rPr>
          <w:rFonts w:hint="eastAsia"/>
          <w:color w:val="000000" w:themeColor="text1"/>
          <w:sz w:val="28"/>
          <w:szCs w:val="28"/>
          <w:lang w:val="zh-CN"/>
        </w:rPr>
        <w:t>；</w:t>
      </w:r>
    </w:p>
    <w:p>
      <w:pPr>
        <w:numPr>
          <w:ilvl w:val="0"/>
          <w:numId w:val="6"/>
        </w:numPr>
        <w:adjustRightInd w:val="0"/>
        <w:snapToGrid w:val="0"/>
        <w:spacing w:line="500" w:lineRule="exact"/>
        <w:ind w:firstLine="560"/>
        <w:rPr>
          <w:color w:val="000000" w:themeColor="text1"/>
          <w:sz w:val="28"/>
          <w:szCs w:val="28"/>
          <w:lang w:val="zh-CN"/>
        </w:rPr>
      </w:pPr>
      <w:r>
        <w:rPr>
          <w:rFonts w:hint="eastAsia"/>
          <w:color w:val="000000" w:themeColor="text1"/>
          <w:sz w:val="28"/>
          <w:szCs w:val="28"/>
        </w:rPr>
        <w:t>《石油化工企业设计防火规范</w:t>
      </w:r>
      <w:r>
        <w:rPr>
          <w:color w:val="000000" w:themeColor="text1"/>
          <w:sz w:val="28"/>
          <w:szCs w:val="28"/>
          <w:lang w:val="zh-CN"/>
        </w:rPr>
        <w:t>（2018年版）</w:t>
      </w:r>
      <w:r>
        <w:rPr>
          <w:rFonts w:hint="eastAsia"/>
          <w:color w:val="000000" w:themeColor="text1"/>
          <w:sz w:val="28"/>
          <w:szCs w:val="28"/>
        </w:rPr>
        <w:t>》</w:t>
      </w:r>
      <w:r>
        <w:rPr>
          <w:color w:val="000000" w:themeColor="text1"/>
          <w:sz w:val="28"/>
          <w:szCs w:val="28"/>
          <w:lang w:val="zh-CN"/>
        </w:rPr>
        <w:t>（GB50</w:t>
      </w:r>
      <w:r>
        <w:rPr>
          <w:rFonts w:hint="eastAsia"/>
          <w:color w:val="000000" w:themeColor="text1"/>
          <w:sz w:val="28"/>
          <w:szCs w:val="28"/>
        </w:rPr>
        <w:t>160</w:t>
      </w:r>
      <w:r>
        <w:rPr>
          <w:color w:val="000000" w:themeColor="text1"/>
          <w:sz w:val="28"/>
          <w:szCs w:val="28"/>
          <w:lang w:val="zh-CN"/>
        </w:rPr>
        <w:t>-20</w:t>
      </w:r>
      <w:r>
        <w:rPr>
          <w:rFonts w:hint="eastAsia"/>
          <w:color w:val="000000" w:themeColor="text1"/>
          <w:sz w:val="28"/>
          <w:szCs w:val="28"/>
        </w:rPr>
        <w:t>08</w:t>
      </w:r>
      <w:r>
        <w:rPr>
          <w:color w:val="000000" w:themeColor="text1"/>
          <w:sz w:val="28"/>
          <w:szCs w:val="28"/>
          <w:lang w:val="zh-CN"/>
        </w:rPr>
        <w:t>）</w:t>
      </w:r>
      <w:r>
        <w:rPr>
          <w:rFonts w:hint="eastAsia"/>
          <w:color w:val="000000" w:themeColor="text1"/>
          <w:sz w:val="28"/>
          <w:szCs w:val="28"/>
          <w:lang w:val="zh-CN"/>
        </w:rPr>
        <w:t>；</w:t>
      </w:r>
    </w:p>
    <w:p>
      <w:pPr>
        <w:numPr>
          <w:ilvl w:val="0"/>
          <w:numId w:val="6"/>
        </w:numPr>
        <w:adjustRightInd w:val="0"/>
        <w:snapToGrid w:val="0"/>
        <w:spacing w:line="500" w:lineRule="exact"/>
        <w:ind w:firstLine="560"/>
        <w:rPr>
          <w:color w:val="000000" w:themeColor="text1"/>
          <w:sz w:val="28"/>
          <w:szCs w:val="28"/>
          <w:lang w:val="zh-CN"/>
        </w:rPr>
      </w:pPr>
      <w:r>
        <w:rPr>
          <w:rFonts w:hint="eastAsia"/>
          <w:color w:val="000000" w:themeColor="text1"/>
          <w:sz w:val="28"/>
          <w:szCs w:val="28"/>
          <w:lang w:val="zh-CN"/>
        </w:rPr>
        <w:t>《汽车加油加气加氢站技术标准》（</w:t>
      </w:r>
      <w:r>
        <w:rPr>
          <w:rFonts w:hint="eastAsia"/>
          <w:color w:val="000000" w:themeColor="text1"/>
          <w:sz w:val="28"/>
          <w:szCs w:val="28"/>
        </w:rPr>
        <w:t>GB50156-2021</w:t>
      </w:r>
      <w:r>
        <w:rPr>
          <w:rFonts w:hint="eastAsia"/>
          <w:color w:val="000000" w:themeColor="text1"/>
          <w:sz w:val="28"/>
          <w:szCs w:val="28"/>
          <w:lang w:val="zh-CN"/>
        </w:rPr>
        <w:t>）；</w:t>
      </w:r>
    </w:p>
    <w:p>
      <w:pPr>
        <w:numPr>
          <w:ilvl w:val="0"/>
          <w:numId w:val="6"/>
        </w:numPr>
        <w:adjustRightInd w:val="0"/>
        <w:snapToGrid w:val="0"/>
        <w:spacing w:line="500" w:lineRule="exact"/>
        <w:ind w:firstLine="560"/>
        <w:rPr>
          <w:color w:val="000000" w:themeColor="text1"/>
          <w:sz w:val="28"/>
          <w:szCs w:val="28"/>
          <w:lang w:val="zh-CN"/>
        </w:rPr>
      </w:pPr>
      <w:r>
        <w:rPr>
          <w:color w:val="000000" w:themeColor="text1"/>
          <w:sz w:val="28"/>
          <w:szCs w:val="28"/>
          <w:lang w:val="zh-CN"/>
        </w:rPr>
        <w:t>《危险化学品重大危险源辨识》（GB18218-2018）</w:t>
      </w:r>
      <w:r>
        <w:rPr>
          <w:rFonts w:hint="eastAsia"/>
          <w:color w:val="000000" w:themeColor="text1"/>
          <w:sz w:val="28"/>
          <w:szCs w:val="28"/>
          <w:lang w:val="zh-CN"/>
        </w:rPr>
        <w:t>；</w:t>
      </w:r>
    </w:p>
    <w:p>
      <w:pPr>
        <w:numPr>
          <w:ilvl w:val="0"/>
          <w:numId w:val="6"/>
        </w:numPr>
        <w:adjustRightInd w:val="0"/>
        <w:snapToGrid w:val="0"/>
        <w:spacing w:line="500" w:lineRule="exact"/>
        <w:ind w:firstLine="560"/>
        <w:rPr>
          <w:color w:val="000000" w:themeColor="text1"/>
          <w:sz w:val="28"/>
          <w:szCs w:val="28"/>
          <w:lang w:val="zh-CN"/>
        </w:rPr>
      </w:pPr>
      <w:r>
        <w:rPr>
          <w:color w:val="000000" w:themeColor="text1"/>
          <w:sz w:val="28"/>
          <w:szCs w:val="28"/>
          <w:lang w:val="zh-CN"/>
        </w:rPr>
        <w:t>《</w:t>
      </w:r>
      <w:r>
        <w:rPr>
          <w:rFonts w:hint="eastAsia"/>
          <w:color w:val="000000" w:themeColor="text1"/>
          <w:sz w:val="28"/>
          <w:szCs w:val="28"/>
          <w:lang w:val="zh-CN"/>
        </w:rPr>
        <w:t>危险化学品生产装置和储存设施外部安全防护距离确定方法》（GB</w:t>
      </w:r>
      <w:r>
        <w:rPr>
          <w:rFonts w:hint="eastAsia"/>
          <w:color w:val="000000" w:themeColor="text1"/>
          <w:sz w:val="28"/>
          <w:szCs w:val="28"/>
        </w:rPr>
        <w:t>/</w:t>
      </w:r>
      <w:r>
        <w:rPr>
          <w:rFonts w:hint="eastAsia"/>
          <w:color w:val="000000" w:themeColor="text1"/>
          <w:sz w:val="28"/>
          <w:szCs w:val="28"/>
          <w:lang w:val="zh-CN"/>
        </w:rPr>
        <w:t>T 37243-2019）；</w:t>
      </w:r>
    </w:p>
    <w:p>
      <w:pPr>
        <w:numPr>
          <w:ilvl w:val="0"/>
          <w:numId w:val="6"/>
        </w:numPr>
        <w:adjustRightInd w:val="0"/>
        <w:snapToGrid w:val="0"/>
        <w:spacing w:line="500" w:lineRule="exact"/>
        <w:ind w:firstLine="560"/>
        <w:rPr>
          <w:color w:val="000000" w:themeColor="text1"/>
          <w:sz w:val="28"/>
          <w:szCs w:val="28"/>
          <w:lang w:val="zh-CN"/>
        </w:rPr>
      </w:pPr>
      <w:r>
        <w:rPr>
          <w:rFonts w:hint="eastAsia"/>
          <w:color w:val="000000" w:themeColor="text1"/>
          <w:sz w:val="28"/>
          <w:szCs w:val="28"/>
          <w:lang w:val="zh-CN"/>
        </w:rPr>
        <w:t>《化学品作业场所安全警示标志规范》（AQ 3047-2013）；</w:t>
      </w:r>
    </w:p>
    <w:p>
      <w:pPr>
        <w:numPr>
          <w:ilvl w:val="0"/>
          <w:numId w:val="6"/>
        </w:numPr>
        <w:adjustRightInd w:val="0"/>
        <w:snapToGrid w:val="0"/>
        <w:spacing w:line="500" w:lineRule="exact"/>
        <w:ind w:firstLine="560"/>
        <w:rPr>
          <w:color w:val="000000" w:themeColor="text1"/>
          <w:sz w:val="28"/>
          <w:szCs w:val="28"/>
          <w:lang w:val="zh-CN"/>
        </w:rPr>
      </w:pPr>
      <w:r>
        <w:rPr>
          <w:rFonts w:hint="eastAsia"/>
          <w:color w:val="000000" w:themeColor="text1"/>
          <w:sz w:val="28"/>
          <w:szCs w:val="28"/>
          <w:lang w:val="zh-CN"/>
        </w:rPr>
        <w:t>《易燃易爆性商品储存养护技术条件》（GB17914-2013）；</w:t>
      </w:r>
    </w:p>
    <w:p>
      <w:pPr>
        <w:numPr>
          <w:ilvl w:val="0"/>
          <w:numId w:val="6"/>
        </w:numPr>
        <w:adjustRightInd w:val="0"/>
        <w:snapToGrid w:val="0"/>
        <w:spacing w:line="500" w:lineRule="exact"/>
        <w:ind w:firstLine="560"/>
        <w:rPr>
          <w:color w:val="000000" w:themeColor="text1"/>
          <w:sz w:val="28"/>
          <w:szCs w:val="28"/>
          <w:lang w:val="zh-CN"/>
        </w:rPr>
      </w:pPr>
      <w:r>
        <w:rPr>
          <w:rFonts w:hint="eastAsia"/>
          <w:color w:val="000000" w:themeColor="text1"/>
          <w:sz w:val="28"/>
          <w:szCs w:val="28"/>
          <w:lang w:val="zh-CN"/>
        </w:rPr>
        <w:t>《生产经营单位生产安全事故应急预案编制导则》（GB/T 29639-2020）；</w:t>
      </w:r>
    </w:p>
    <w:p>
      <w:pPr>
        <w:numPr>
          <w:ilvl w:val="0"/>
          <w:numId w:val="6"/>
        </w:numPr>
        <w:adjustRightInd w:val="0"/>
        <w:snapToGrid w:val="0"/>
        <w:spacing w:line="500" w:lineRule="exact"/>
        <w:ind w:firstLine="560"/>
        <w:rPr>
          <w:color w:val="000000" w:themeColor="text1"/>
          <w:sz w:val="28"/>
          <w:szCs w:val="28"/>
          <w:lang w:val="zh-CN"/>
        </w:rPr>
      </w:pPr>
      <w:r>
        <w:rPr>
          <w:rFonts w:hint="eastAsia"/>
          <w:color w:val="000000" w:themeColor="text1"/>
          <w:sz w:val="28"/>
          <w:szCs w:val="28"/>
          <w:lang w:val="zh-CN"/>
        </w:rPr>
        <w:t>《</w:t>
      </w:r>
      <w:r>
        <w:rPr>
          <w:rFonts w:hint="default" w:ascii="Times New Roman" w:hAnsi="Times New Roman" w:eastAsia="宋体" w:cs="Times New Roman"/>
          <w:b w:val="0"/>
          <w:bCs w:val="0"/>
          <w:color w:val="000000" w:themeColor="text1"/>
          <w:kern w:val="2"/>
          <w:sz w:val="28"/>
          <w:szCs w:val="28"/>
          <w:lang w:val="zh-CN" w:eastAsia="zh-CN" w:bidi="ar-SA"/>
        </w:rPr>
        <w:t>危险化学品企业特殊作业安全规范</w:t>
      </w:r>
      <w:r>
        <w:rPr>
          <w:rFonts w:hint="eastAsia"/>
          <w:color w:val="000000" w:themeColor="text1"/>
          <w:sz w:val="28"/>
          <w:szCs w:val="28"/>
          <w:lang w:val="zh-CN"/>
        </w:rPr>
        <w:t>》</w:t>
      </w:r>
      <w:r>
        <w:rPr>
          <w:rFonts w:hint="eastAsia" w:ascii="Times New Roman" w:hAnsi="Times New Roman" w:eastAsia="宋体" w:cs="Times New Roman"/>
          <w:b w:val="0"/>
          <w:bCs w:val="0"/>
          <w:color w:val="000000" w:themeColor="text1"/>
          <w:kern w:val="2"/>
          <w:sz w:val="28"/>
          <w:szCs w:val="28"/>
          <w:lang w:val="en-US" w:eastAsia="zh-CN" w:bidi="ar-SA"/>
        </w:rPr>
        <w:t>（</w:t>
      </w:r>
      <w:r>
        <w:rPr>
          <w:rFonts w:hint="eastAsia" w:ascii="Times New Roman" w:hAnsi="Times New Roman" w:eastAsia="宋体" w:cs="Times New Roman"/>
          <w:b w:val="0"/>
          <w:bCs w:val="0"/>
          <w:color w:val="000000" w:themeColor="text1"/>
          <w:kern w:val="2"/>
          <w:sz w:val="28"/>
          <w:szCs w:val="28"/>
          <w:lang w:val="zh-CN" w:eastAsia="zh-CN" w:bidi="ar-SA"/>
        </w:rPr>
        <w:t>GB 30871-2022</w:t>
      </w:r>
      <w:r>
        <w:rPr>
          <w:rFonts w:hint="eastAsia" w:ascii="Times New Roman" w:hAnsi="Times New Roman" w:eastAsia="宋体" w:cs="Times New Roman"/>
          <w:b w:val="0"/>
          <w:bCs w:val="0"/>
          <w:color w:val="000000" w:themeColor="text1"/>
          <w:kern w:val="2"/>
          <w:sz w:val="28"/>
          <w:szCs w:val="28"/>
          <w:lang w:val="en-US" w:eastAsia="zh-CN" w:bidi="ar-SA"/>
        </w:rPr>
        <w:t>）</w:t>
      </w:r>
      <w:r>
        <w:rPr>
          <w:rFonts w:hint="eastAsia"/>
          <w:color w:val="000000" w:themeColor="text1"/>
          <w:sz w:val="28"/>
          <w:szCs w:val="28"/>
          <w:lang w:val="zh-CN"/>
        </w:rPr>
        <w:t>；</w:t>
      </w:r>
    </w:p>
    <w:p>
      <w:pPr>
        <w:numPr>
          <w:ilvl w:val="0"/>
          <w:numId w:val="6"/>
        </w:numPr>
        <w:adjustRightInd w:val="0"/>
        <w:snapToGrid w:val="0"/>
        <w:spacing w:line="500" w:lineRule="exact"/>
        <w:ind w:firstLine="560"/>
        <w:rPr>
          <w:color w:val="000000" w:themeColor="text1"/>
          <w:sz w:val="28"/>
          <w:szCs w:val="28"/>
          <w:lang w:val="zh-CN"/>
        </w:rPr>
      </w:pPr>
      <w:r>
        <w:rPr>
          <w:color w:val="000000" w:themeColor="text1"/>
          <w:sz w:val="28"/>
          <w:szCs w:val="28"/>
          <w:lang w:val="zh-CN"/>
        </w:rPr>
        <w:t>《企业安全生产标准化基本规范》（GB/T33000-2016）</w:t>
      </w:r>
      <w:r>
        <w:rPr>
          <w:rFonts w:hint="eastAsia"/>
          <w:color w:val="000000" w:themeColor="text1"/>
          <w:sz w:val="28"/>
          <w:szCs w:val="28"/>
          <w:lang w:val="zh-CN"/>
        </w:rPr>
        <w:t>；</w:t>
      </w:r>
    </w:p>
    <w:p>
      <w:pPr>
        <w:numPr>
          <w:ilvl w:val="0"/>
          <w:numId w:val="6"/>
        </w:numPr>
        <w:adjustRightInd w:val="0"/>
        <w:snapToGrid w:val="0"/>
        <w:spacing w:line="500" w:lineRule="exact"/>
        <w:ind w:firstLine="560"/>
        <w:rPr>
          <w:color w:val="000000" w:themeColor="text1"/>
          <w:sz w:val="28"/>
          <w:szCs w:val="28"/>
          <w:lang w:val="zh-CN"/>
        </w:rPr>
      </w:pPr>
      <w:r>
        <w:rPr>
          <w:color w:val="000000" w:themeColor="text1"/>
          <w:sz w:val="28"/>
          <w:szCs w:val="28"/>
          <w:lang w:val="zh-CN"/>
        </w:rPr>
        <w:t>《中国地震动参数区划图》（GB18306-2015）</w:t>
      </w:r>
      <w:r>
        <w:rPr>
          <w:rFonts w:hint="eastAsia"/>
          <w:color w:val="000000" w:themeColor="text1"/>
          <w:sz w:val="28"/>
          <w:szCs w:val="28"/>
          <w:lang w:val="zh-CN"/>
        </w:rPr>
        <w:t>；</w:t>
      </w:r>
    </w:p>
    <w:p>
      <w:pPr>
        <w:numPr>
          <w:ilvl w:val="0"/>
          <w:numId w:val="6"/>
        </w:numPr>
        <w:adjustRightInd w:val="0"/>
        <w:snapToGrid w:val="0"/>
        <w:spacing w:line="500" w:lineRule="exact"/>
        <w:ind w:firstLine="560"/>
        <w:rPr>
          <w:color w:val="000000" w:themeColor="text1"/>
          <w:sz w:val="28"/>
          <w:szCs w:val="20"/>
        </w:rPr>
      </w:pPr>
      <w:r>
        <w:rPr>
          <w:color w:val="000000" w:themeColor="text1"/>
          <w:sz w:val="28"/>
          <w:szCs w:val="28"/>
          <w:lang w:val="zh-CN"/>
        </w:rPr>
        <w:t>《危险化学品单位应急救援物资配备要求》（GB30077-</w:t>
      </w:r>
      <w:r>
        <w:rPr>
          <w:rFonts w:hint="eastAsia"/>
          <w:color w:val="000000" w:themeColor="text1"/>
          <w:sz w:val="28"/>
          <w:szCs w:val="28"/>
          <w:lang w:val="en-US" w:eastAsia="zh-CN"/>
        </w:rPr>
        <w:t>2023</w:t>
      </w:r>
      <w:r>
        <w:rPr>
          <w:color w:val="000000" w:themeColor="text1"/>
          <w:sz w:val="28"/>
          <w:szCs w:val="28"/>
        </w:rPr>
        <w:t>）</w:t>
      </w:r>
      <w:r>
        <w:rPr>
          <w:rFonts w:hint="eastAsia"/>
          <w:color w:val="000000" w:themeColor="text1"/>
          <w:sz w:val="28"/>
          <w:szCs w:val="28"/>
          <w:lang w:eastAsia="zh-CN"/>
        </w:rPr>
        <w:t>；</w:t>
      </w:r>
    </w:p>
    <w:p>
      <w:pPr>
        <w:numPr>
          <w:ilvl w:val="0"/>
          <w:numId w:val="6"/>
        </w:numPr>
        <w:tabs>
          <w:tab w:val="left" w:pos="780"/>
          <w:tab w:val="left" w:pos="900"/>
          <w:tab w:val="left" w:pos="960"/>
          <w:tab w:val="left" w:pos="1260"/>
          <w:tab w:val="left" w:pos="1620"/>
        </w:tabs>
        <w:adjustRightInd w:val="0"/>
        <w:snapToGrid w:val="0"/>
        <w:spacing w:line="500" w:lineRule="exact"/>
        <w:ind w:firstLine="560" w:firstLineChars="200"/>
        <w:rPr>
          <w:color w:val="000000" w:themeColor="text1"/>
          <w:sz w:val="28"/>
          <w:szCs w:val="28"/>
          <w:lang w:val="zh-CN"/>
        </w:rPr>
      </w:pPr>
      <w:r>
        <w:rPr>
          <w:color w:val="000000" w:themeColor="text1"/>
          <w:sz w:val="28"/>
          <w:szCs w:val="28"/>
        </w:rPr>
        <w:t>《爆炸危险环境电力</w:t>
      </w:r>
      <w:r>
        <w:rPr>
          <w:color w:val="000000" w:themeColor="text1"/>
          <w:sz w:val="28"/>
          <w:szCs w:val="20"/>
        </w:rPr>
        <w:t>装置设计规范》（GB50058-2014）</w:t>
      </w:r>
      <w:r>
        <w:rPr>
          <w:rFonts w:hint="eastAsia"/>
          <w:color w:val="000000" w:themeColor="text1"/>
          <w:sz w:val="28"/>
          <w:szCs w:val="20"/>
          <w:lang w:eastAsia="zh-CN"/>
        </w:rPr>
        <w:t>；</w:t>
      </w:r>
    </w:p>
    <w:p>
      <w:pPr>
        <w:numPr>
          <w:ilvl w:val="0"/>
          <w:numId w:val="6"/>
        </w:numPr>
        <w:tabs>
          <w:tab w:val="left" w:pos="780"/>
          <w:tab w:val="left" w:pos="900"/>
          <w:tab w:val="left" w:pos="960"/>
          <w:tab w:val="left" w:pos="1260"/>
          <w:tab w:val="left" w:pos="1620"/>
        </w:tabs>
        <w:adjustRightInd w:val="0"/>
        <w:snapToGrid w:val="0"/>
        <w:spacing w:line="500" w:lineRule="exact"/>
        <w:ind w:firstLine="560" w:firstLineChars="200"/>
        <w:rPr>
          <w:color w:val="000000" w:themeColor="text1"/>
          <w:sz w:val="28"/>
          <w:szCs w:val="28"/>
        </w:rPr>
      </w:pPr>
      <w:r>
        <w:rPr>
          <w:color w:val="000000" w:themeColor="text1"/>
          <w:sz w:val="28"/>
          <w:szCs w:val="28"/>
        </w:rPr>
        <w:t>《消防安全标志 第1部分：标志》（GB13495-2015）</w:t>
      </w:r>
      <w:r>
        <w:rPr>
          <w:rFonts w:hint="eastAsia"/>
          <w:color w:val="000000" w:themeColor="text1"/>
          <w:sz w:val="28"/>
          <w:szCs w:val="28"/>
          <w:lang w:eastAsia="zh-CN"/>
        </w:rPr>
        <w:t>；</w:t>
      </w:r>
    </w:p>
    <w:p>
      <w:pPr>
        <w:numPr>
          <w:ilvl w:val="0"/>
          <w:numId w:val="6"/>
        </w:numPr>
        <w:tabs>
          <w:tab w:val="left" w:pos="780"/>
          <w:tab w:val="left" w:pos="900"/>
          <w:tab w:val="left" w:pos="960"/>
          <w:tab w:val="left" w:pos="1260"/>
          <w:tab w:val="left" w:pos="1620"/>
        </w:tabs>
        <w:adjustRightInd w:val="0"/>
        <w:snapToGrid w:val="0"/>
        <w:spacing w:line="500" w:lineRule="exact"/>
        <w:ind w:firstLine="560" w:firstLineChars="200"/>
        <w:rPr>
          <w:rStyle w:val="64"/>
          <w:color w:val="000000" w:themeColor="text1"/>
        </w:rPr>
      </w:pPr>
      <w:r>
        <w:rPr>
          <w:rStyle w:val="64"/>
          <w:color w:val="000000" w:themeColor="text1"/>
        </w:rPr>
        <w:t>《</w:t>
      </w:r>
      <w:r>
        <w:rPr>
          <w:rFonts w:hint="default" w:ascii="Times New Roman" w:hAnsi="Times New Roman" w:eastAsia="宋体" w:cs="Times New Roman"/>
          <w:b w:val="0"/>
          <w:bCs w:val="0"/>
          <w:color w:val="000000" w:themeColor="text1"/>
          <w:kern w:val="2"/>
          <w:sz w:val="28"/>
          <w:szCs w:val="28"/>
          <w:lang w:val="en-US" w:eastAsia="zh-CN" w:bidi="ar-SA"/>
        </w:rPr>
        <w:t>危险化学品仓库储存通则</w:t>
      </w:r>
      <w:r>
        <w:rPr>
          <w:rStyle w:val="64"/>
          <w:color w:val="000000" w:themeColor="text1"/>
        </w:rPr>
        <w:t>》（</w:t>
      </w:r>
      <w:r>
        <w:rPr>
          <w:rFonts w:hint="eastAsia" w:ascii="Times New Roman" w:hAnsi="Times New Roman" w:eastAsia="宋体" w:cs="Times New Roman"/>
          <w:b w:val="0"/>
          <w:bCs w:val="0"/>
          <w:color w:val="000000" w:themeColor="text1"/>
          <w:kern w:val="2"/>
          <w:sz w:val="28"/>
          <w:szCs w:val="28"/>
          <w:lang w:val="en-US" w:eastAsia="zh-CN" w:bidi="ar-SA"/>
        </w:rPr>
        <w:t>GB 15603-2022</w:t>
      </w:r>
      <w:r>
        <w:rPr>
          <w:rFonts w:hint="eastAsia" w:cs="Times New Roman"/>
          <w:b w:val="0"/>
          <w:bCs w:val="0"/>
          <w:color w:val="000000" w:themeColor="text1"/>
          <w:kern w:val="2"/>
          <w:sz w:val="28"/>
          <w:szCs w:val="28"/>
          <w:lang w:val="en-US" w:eastAsia="zh-CN" w:bidi="ar-SA"/>
        </w:rPr>
        <w:t>）</w:t>
      </w:r>
      <w:r>
        <w:rPr>
          <w:rStyle w:val="64"/>
          <w:rFonts w:hint="eastAsia"/>
          <w:color w:val="000000" w:themeColor="text1"/>
          <w:lang w:eastAsia="zh-CN"/>
        </w:rPr>
        <w:t>；</w:t>
      </w:r>
    </w:p>
    <w:p>
      <w:pPr>
        <w:numPr>
          <w:ilvl w:val="0"/>
          <w:numId w:val="6"/>
        </w:numPr>
        <w:tabs>
          <w:tab w:val="left" w:pos="780"/>
          <w:tab w:val="left" w:pos="900"/>
          <w:tab w:val="left" w:pos="960"/>
          <w:tab w:val="left" w:pos="1260"/>
          <w:tab w:val="left" w:pos="1620"/>
        </w:tabs>
        <w:adjustRightInd w:val="0"/>
        <w:snapToGrid w:val="0"/>
        <w:spacing w:line="500" w:lineRule="exact"/>
        <w:ind w:firstLine="560" w:firstLineChars="200"/>
        <w:rPr>
          <w:color w:val="000000" w:themeColor="text1"/>
          <w:sz w:val="28"/>
          <w:szCs w:val="28"/>
        </w:rPr>
      </w:pPr>
      <w:r>
        <w:rPr>
          <w:color w:val="000000" w:themeColor="text1"/>
          <w:sz w:val="28"/>
          <w:szCs w:val="28"/>
        </w:rPr>
        <w:t>《建筑物防雷设计规范》（GB50057-2010）</w:t>
      </w:r>
      <w:r>
        <w:rPr>
          <w:rFonts w:hint="eastAsia"/>
          <w:color w:val="000000" w:themeColor="text1"/>
          <w:sz w:val="28"/>
          <w:szCs w:val="28"/>
          <w:lang w:eastAsia="zh-CN"/>
        </w:rPr>
        <w:t>；</w:t>
      </w:r>
    </w:p>
    <w:p>
      <w:pPr>
        <w:numPr>
          <w:ilvl w:val="0"/>
          <w:numId w:val="6"/>
        </w:numPr>
        <w:tabs>
          <w:tab w:val="left" w:pos="780"/>
          <w:tab w:val="left" w:pos="900"/>
          <w:tab w:val="left" w:pos="960"/>
          <w:tab w:val="left" w:pos="1260"/>
          <w:tab w:val="left" w:pos="1620"/>
        </w:tabs>
        <w:adjustRightInd w:val="0"/>
        <w:snapToGrid w:val="0"/>
        <w:spacing w:line="500" w:lineRule="exact"/>
        <w:ind w:firstLine="560" w:firstLineChars="200"/>
        <w:rPr>
          <w:color w:val="000000" w:themeColor="text1"/>
          <w:sz w:val="28"/>
          <w:szCs w:val="28"/>
        </w:rPr>
      </w:pPr>
      <w:r>
        <w:rPr>
          <w:color w:val="000000" w:themeColor="text1"/>
          <w:sz w:val="28"/>
          <w:szCs w:val="28"/>
        </w:rPr>
        <w:t>《建筑抗震设计规范（</w:t>
      </w:r>
      <w:r>
        <w:rPr>
          <w:rFonts w:hint="eastAsia"/>
          <w:color w:val="000000" w:themeColor="text1"/>
          <w:sz w:val="28"/>
          <w:szCs w:val="28"/>
          <w:lang w:val="en-US" w:eastAsia="zh-CN"/>
        </w:rPr>
        <w:t>2024</w:t>
      </w:r>
      <w:r>
        <w:rPr>
          <w:color w:val="000000" w:themeColor="text1"/>
          <w:sz w:val="28"/>
          <w:szCs w:val="28"/>
        </w:rPr>
        <w:t>年版）》（GB50011-2010）</w:t>
      </w:r>
      <w:r>
        <w:rPr>
          <w:rFonts w:hint="eastAsia"/>
          <w:color w:val="000000" w:themeColor="text1"/>
          <w:sz w:val="28"/>
          <w:szCs w:val="28"/>
          <w:lang w:eastAsia="zh-CN"/>
        </w:rPr>
        <w:t>；</w:t>
      </w:r>
    </w:p>
    <w:p>
      <w:pPr>
        <w:numPr>
          <w:ilvl w:val="0"/>
          <w:numId w:val="6"/>
        </w:numPr>
        <w:tabs>
          <w:tab w:val="left" w:pos="780"/>
          <w:tab w:val="left" w:pos="900"/>
          <w:tab w:val="left" w:pos="960"/>
          <w:tab w:val="left" w:pos="1260"/>
          <w:tab w:val="left" w:pos="1620"/>
        </w:tabs>
        <w:adjustRightInd w:val="0"/>
        <w:snapToGrid w:val="0"/>
        <w:spacing w:line="500" w:lineRule="exact"/>
        <w:ind w:firstLine="560" w:firstLineChars="200"/>
        <w:rPr>
          <w:color w:val="000000" w:themeColor="text1"/>
          <w:sz w:val="28"/>
          <w:szCs w:val="28"/>
        </w:rPr>
      </w:pPr>
      <w:r>
        <w:rPr>
          <w:color w:val="000000" w:themeColor="text1"/>
          <w:sz w:val="28"/>
          <w:szCs w:val="28"/>
        </w:rPr>
        <w:t>《防止静电事故通用导则》（GB12158-2006）</w:t>
      </w:r>
      <w:r>
        <w:rPr>
          <w:rFonts w:hint="eastAsia"/>
          <w:color w:val="000000" w:themeColor="text1"/>
          <w:sz w:val="28"/>
          <w:szCs w:val="28"/>
          <w:lang w:eastAsia="zh-CN"/>
        </w:rPr>
        <w:t>；</w:t>
      </w:r>
    </w:p>
    <w:p>
      <w:pPr>
        <w:numPr>
          <w:ilvl w:val="0"/>
          <w:numId w:val="6"/>
        </w:numPr>
        <w:tabs>
          <w:tab w:val="left" w:pos="780"/>
          <w:tab w:val="left" w:pos="900"/>
          <w:tab w:val="left" w:pos="960"/>
          <w:tab w:val="left" w:pos="1260"/>
          <w:tab w:val="left" w:pos="1620"/>
        </w:tabs>
        <w:adjustRightInd w:val="0"/>
        <w:snapToGrid w:val="0"/>
        <w:spacing w:line="500" w:lineRule="exact"/>
        <w:ind w:firstLine="560" w:firstLineChars="200"/>
        <w:rPr>
          <w:color w:val="000000" w:themeColor="text1"/>
          <w:sz w:val="28"/>
          <w:szCs w:val="28"/>
        </w:rPr>
      </w:pPr>
      <w:r>
        <w:rPr>
          <w:color w:val="000000" w:themeColor="text1"/>
          <w:sz w:val="28"/>
          <w:szCs w:val="28"/>
        </w:rPr>
        <w:t>《职业性接触毒物危害程度分级》（GBZ230-2010）</w:t>
      </w:r>
      <w:r>
        <w:rPr>
          <w:rFonts w:hint="eastAsia"/>
          <w:color w:val="000000" w:themeColor="text1"/>
          <w:sz w:val="28"/>
          <w:szCs w:val="28"/>
          <w:lang w:eastAsia="zh-CN"/>
        </w:rPr>
        <w:t>；</w:t>
      </w:r>
    </w:p>
    <w:p>
      <w:pPr>
        <w:numPr>
          <w:ilvl w:val="0"/>
          <w:numId w:val="6"/>
        </w:numPr>
        <w:tabs>
          <w:tab w:val="left" w:pos="780"/>
          <w:tab w:val="left" w:pos="900"/>
          <w:tab w:val="left" w:pos="960"/>
          <w:tab w:val="left" w:pos="1260"/>
          <w:tab w:val="left" w:pos="1620"/>
        </w:tabs>
        <w:adjustRightInd w:val="0"/>
        <w:snapToGrid w:val="0"/>
        <w:spacing w:line="500" w:lineRule="exact"/>
        <w:ind w:firstLine="560" w:firstLineChars="200"/>
        <w:rPr>
          <w:color w:val="000000" w:themeColor="text1"/>
          <w:sz w:val="28"/>
          <w:szCs w:val="28"/>
        </w:rPr>
      </w:pPr>
      <w:r>
        <w:rPr>
          <w:color w:val="000000" w:themeColor="text1"/>
          <w:sz w:val="28"/>
          <w:szCs w:val="28"/>
        </w:rPr>
        <w:t>《企业职工伤亡事故分类》（GB6441-1986）</w:t>
      </w:r>
      <w:r>
        <w:rPr>
          <w:rFonts w:hint="eastAsia"/>
          <w:color w:val="000000" w:themeColor="text1"/>
          <w:sz w:val="28"/>
          <w:szCs w:val="28"/>
          <w:lang w:eastAsia="zh-CN"/>
        </w:rPr>
        <w:t>；</w:t>
      </w:r>
    </w:p>
    <w:p>
      <w:pPr>
        <w:numPr>
          <w:ilvl w:val="0"/>
          <w:numId w:val="6"/>
        </w:numPr>
        <w:tabs>
          <w:tab w:val="left" w:pos="780"/>
          <w:tab w:val="left" w:pos="900"/>
          <w:tab w:val="left" w:pos="960"/>
          <w:tab w:val="left" w:pos="1260"/>
          <w:tab w:val="left" w:pos="1620"/>
        </w:tabs>
        <w:adjustRightInd w:val="0"/>
        <w:snapToGrid w:val="0"/>
        <w:spacing w:line="500" w:lineRule="exact"/>
        <w:ind w:firstLine="560" w:firstLineChars="200"/>
        <w:rPr>
          <w:color w:val="000000" w:themeColor="text1"/>
          <w:sz w:val="28"/>
          <w:szCs w:val="28"/>
        </w:rPr>
      </w:pPr>
      <w:r>
        <w:rPr>
          <w:color w:val="000000" w:themeColor="text1"/>
          <w:sz w:val="28"/>
          <w:szCs w:val="28"/>
        </w:rPr>
        <w:t>《生产过程危险和有害因素分类与代码》（GB/T13861-</w:t>
      </w:r>
      <w:r>
        <w:rPr>
          <w:rFonts w:hint="eastAsia"/>
          <w:color w:val="000000" w:themeColor="text1"/>
          <w:sz w:val="28"/>
          <w:szCs w:val="28"/>
          <w:lang w:val="en-US" w:eastAsia="zh-CN"/>
        </w:rPr>
        <w:t>2022</w:t>
      </w:r>
      <w:r>
        <w:rPr>
          <w:color w:val="000000" w:themeColor="text1"/>
          <w:sz w:val="28"/>
          <w:szCs w:val="28"/>
        </w:rPr>
        <w:t>）</w:t>
      </w:r>
      <w:r>
        <w:rPr>
          <w:rFonts w:hint="eastAsia"/>
          <w:color w:val="000000" w:themeColor="text1"/>
          <w:sz w:val="28"/>
          <w:szCs w:val="28"/>
          <w:lang w:eastAsia="zh-CN"/>
        </w:rPr>
        <w:t>；</w:t>
      </w:r>
    </w:p>
    <w:p>
      <w:pPr>
        <w:numPr>
          <w:ilvl w:val="0"/>
          <w:numId w:val="6"/>
        </w:numPr>
        <w:tabs>
          <w:tab w:val="left" w:pos="780"/>
          <w:tab w:val="left" w:pos="900"/>
          <w:tab w:val="left" w:pos="960"/>
          <w:tab w:val="left" w:pos="1260"/>
          <w:tab w:val="left" w:pos="1620"/>
        </w:tabs>
        <w:adjustRightInd w:val="0"/>
        <w:snapToGrid w:val="0"/>
        <w:spacing w:line="500" w:lineRule="exact"/>
        <w:ind w:firstLine="560" w:firstLineChars="200"/>
        <w:rPr>
          <w:color w:val="000000" w:themeColor="text1"/>
          <w:sz w:val="28"/>
          <w:szCs w:val="28"/>
        </w:rPr>
      </w:pPr>
      <w:r>
        <w:rPr>
          <w:color w:val="000000" w:themeColor="text1"/>
          <w:sz w:val="28"/>
          <w:szCs w:val="28"/>
        </w:rPr>
        <w:t>《危险货物品名表》（GB12268-2012）</w:t>
      </w:r>
      <w:r>
        <w:rPr>
          <w:rFonts w:hint="eastAsia"/>
          <w:color w:val="000000" w:themeColor="text1"/>
          <w:sz w:val="28"/>
          <w:szCs w:val="28"/>
          <w:lang w:eastAsia="zh-CN"/>
        </w:rPr>
        <w:t>；</w:t>
      </w:r>
    </w:p>
    <w:p>
      <w:pPr>
        <w:numPr>
          <w:ilvl w:val="0"/>
          <w:numId w:val="6"/>
        </w:numPr>
        <w:tabs>
          <w:tab w:val="left" w:pos="780"/>
          <w:tab w:val="left" w:pos="900"/>
          <w:tab w:val="left" w:pos="960"/>
          <w:tab w:val="left" w:pos="1260"/>
          <w:tab w:val="left" w:pos="1620"/>
        </w:tabs>
        <w:adjustRightInd w:val="0"/>
        <w:snapToGrid w:val="0"/>
        <w:spacing w:line="500" w:lineRule="exact"/>
        <w:ind w:firstLine="560" w:firstLineChars="200"/>
        <w:rPr>
          <w:color w:val="000000" w:themeColor="text1"/>
          <w:sz w:val="28"/>
          <w:szCs w:val="28"/>
        </w:rPr>
      </w:pPr>
      <w:r>
        <w:rPr>
          <w:color w:val="000000" w:themeColor="text1"/>
          <w:sz w:val="28"/>
          <w:szCs w:val="28"/>
        </w:rPr>
        <w:t>《化学品分类和标签规范》（GB30000-2013）</w:t>
      </w:r>
      <w:r>
        <w:rPr>
          <w:rFonts w:hint="eastAsia"/>
          <w:color w:val="000000" w:themeColor="text1"/>
          <w:sz w:val="28"/>
          <w:szCs w:val="28"/>
          <w:lang w:eastAsia="zh-CN"/>
        </w:rPr>
        <w:t>；</w:t>
      </w:r>
    </w:p>
    <w:p>
      <w:pPr>
        <w:numPr>
          <w:ilvl w:val="0"/>
          <w:numId w:val="6"/>
        </w:numPr>
        <w:tabs>
          <w:tab w:val="left" w:pos="780"/>
          <w:tab w:val="left" w:pos="900"/>
          <w:tab w:val="left" w:pos="960"/>
          <w:tab w:val="left" w:pos="1260"/>
          <w:tab w:val="left" w:pos="1620"/>
        </w:tabs>
        <w:adjustRightInd w:val="0"/>
        <w:snapToGrid w:val="0"/>
        <w:spacing w:line="500" w:lineRule="exact"/>
        <w:ind w:firstLine="560" w:firstLineChars="200"/>
        <w:rPr>
          <w:color w:val="000000" w:themeColor="text1"/>
          <w:sz w:val="28"/>
          <w:szCs w:val="28"/>
        </w:rPr>
      </w:pPr>
      <w:r>
        <w:rPr>
          <w:color w:val="000000" w:themeColor="text1"/>
          <w:sz w:val="28"/>
          <w:szCs w:val="28"/>
        </w:rPr>
        <w:t>《建筑灭火器配置设计规范》（GB50140-2005）</w:t>
      </w:r>
      <w:r>
        <w:rPr>
          <w:rFonts w:hint="eastAsia"/>
          <w:color w:val="000000" w:themeColor="text1"/>
          <w:sz w:val="28"/>
          <w:szCs w:val="28"/>
          <w:lang w:eastAsia="zh-CN"/>
        </w:rPr>
        <w:t>；</w:t>
      </w:r>
    </w:p>
    <w:p>
      <w:pPr>
        <w:numPr>
          <w:ilvl w:val="0"/>
          <w:numId w:val="6"/>
        </w:numPr>
        <w:tabs>
          <w:tab w:val="left" w:pos="780"/>
          <w:tab w:val="left" w:pos="900"/>
          <w:tab w:val="left" w:pos="960"/>
          <w:tab w:val="left" w:pos="1260"/>
          <w:tab w:val="left" w:pos="1620"/>
        </w:tabs>
        <w:adjustRightInd w:val="0"/>
        <w:snapToGrid w:val="0"/>
        <w:spacing w:line="500" w:lineRule="exact"/>
        <w:ind w:firstLine="560" w:firstLineChars="200"/>
        <w:rPr>
          <w:color w:val="000000" w:themeColor="text1"/>
          <w:sz w:val="28"/>
          <w:szCs w:val="28"/>
          <w:lang w:val="zh-CN"/>
        </w:rPr>
      </w:pPr>
      <w:r>
        <w:rPr>
          <w:color w:val="000000" w:themeColor="text1"/>
          <w:sz w:val="28"/>
          <w:szCs w:val="28"/>
          <w:lang w:val="zh-CN"/>
        </w:rPr>
        <w:t>《工业企业总平面设计规范》（GB50187-2012）</w:t>
      </w:r>
      <w:r>
        <w:rPr>
          <w:rFonts w:hint="eastAsia"/>
          <w:color w:val="000000" w:themeColor="text1"/>
          <w:sz w:val="28"/>
          <w:szCs w:val="28"/>
          <w:lang w:val="zh-CN"/>
        </w:rPr>
        <w:t>；</w:t>
      </w:r>
    </w:p>
    <w:p>
      <w:pPr>
        <w:numPr>
          <w:ilvl w:val="0"/>
          <w:numId w:val="6"/>
        </w:numPr>
        <w:tabs>
          <w:tab w:val="left" w:pos="780"/>
          <w:tab w:val="left" w:pos="900"/>
          <w:tab w:val="left" w:pos="960"/>
          <w:tab w:val="left" w:pos="1260"/>
          <w:tab w:val="left" w:pos="1620"/>
        </w:tabs>
        <w:adjustRightInd w:val="0"/>
        <w:snapToGrid w:val="0"/>
        <w:spacing w:line="500" w:lineRule="exact"/>
        <w:ind w:firstLine="560" w:firstLineChars="200"/>
        <w:rPr>
          <w:color w:val="000000" w:themeColor="text1"/>
          <w:sz w:val="28"/>
          <w:szCs w:val="28"/>
          <w:lang w:val="zh-CN"/>
        </w:rPr>
      </w:pPr>
      <w:r>
        <w:rPr>
          <w:color w:val="000000" w:themeColor="text1"/>
          <w:sz w:val="28"/>
          <w:szCs w:val="28"/>
          <w:lang w:val="zh-CN"/>
        </w:rPr>
        <w:t>《工业企业设计卫生标准》（GBZ1-2010）</w:t>
      </w:r>
      <w:r>
        <w:rPr>
          <w:rFonts w:hint="eastAsia"/>
          <w:color w:val="000000" w:themeColor="text1"/>
          <w:sz w:val="28"/>
          <w:szCs w:val="28"/>
          <w:lang w:val="zh-CN"/>
        </w:rPr>
        <w:t>；</w:t>
      </w:r>
    </w:p>
    <w:p>
      <w:pPr>
        <w:numPr>
          <w:ilvl w:val="0"/>
          <w:numId w:val="6"/>
        </w:numPr>
        <w:tabs>
          <w:tab w:val="left" w:pos="780"/>
          <w:tab w:val="left" w:pos="900"/>
          <w:tab w:val="left" w:pos="960"/>
          <w:tab w:val="left" w:pos="1260"/>
          <w:tab w:val="left" w:pos="1620"/>
        </w:tabs>
        <w:adjustRightInd w:val="0"/>
        <w:snapToGrid w:val="0"/>
        <w:spacing w:line="500" w:lineRule="exact"/>
        <w:ind w:firstLine="560" w:firstLineChars="200"/>
        <w:rPr>
          <w:color w:val="000000" w:themeColor="text1"/>
          <w:sz w:val="28"/>
          <w:szCs w:val="28"/>
          <w:lang w:val="zh-CN"/>
        </w:rPr>
      </w:pPr>
      <w:r>
        <w:rPr>
          <w:color w:val="000000" w:themeColor="text1"/>
          <w:sz w:val="28"/>
          <w:szCs w:val="28"/>
          <w:lang w:val="zh-CN"/>
        </w:rPr>
        <w:t>《化工企业安全卫生设计规范》（HG20571-2014）</w:t>
      </w:r>
      <w:r>
        <w:rPr>
          <w:rFonts w:hint="eastAsia"/>
          <w:color w:val="000000" w:themeColor="text1"/>
          <w:sz w:val="28"/>
          <w:szCs w:val="28"/>
          <w:lang w:val="zh-CN"/>
        </w:rPr>
        <w:t>；</w:t>
      </w:r>
    </w:p>
    <w:p>
      <w:pPr>
        <w:numPr>
          <w:ilvl w:val="0"/>
          <w:numId w:val="6"/>
        </w:numPr>
        <w:tabs>
          <w:tab w:val="left" w:pos="780"/>
          <w:tab w:val="left" w:pos="900"/>
          <w:tab w:val="left" w:pos="960"/>
          <w:tab w:val="left" w:pos="1260"/>
          <w:tab w:val="left" w:pos="1620"/>
        </w:tabs>
        <w:adjustRightInd w:val="0"/>
        <w:snapToGrid w:val="0"/>
        <w:spacing w:line="500" w:lineRule="exact"/>
        <w:ind w:firstLine="560" w:firstLineChars="200"/>
        <w:rPr>
          <w:color w:val="000000" w:themeColor="text1"/>
          <w:sz w:val="28"/>
          <w:szCs w:val="28"/>
          <w:lang w:val="zh-CN"/>
        </w:rPr>
      </w:pPr>
      <w:r>
        <w:rPr>
          <w:color w:val="000000" w:themeColor="text1"/>
          <w:sz w:val="28"/>
          <w:szCs w:val="28"/>
          <w:lang w:val="zh-CN"/>
        </w:rPr>
        <w:t>《生产过程安全卫生要求总则》（GB/T 12801-2008）</w:t>
      </w:r>
      <w:r>
        <w:rPr>
          <w:rFonts w:hint="eastAsia"/>
          <w:color w:val="000000" w:themeColor="text1"/>
          <w:sz w:val="28"/>
          <w:szCs w:val="28"/>
          <w:lang w:val="zh-CN"/>
        </w:rPr>
        <w:t>；</w:t>
      </w:r>
    </w:p>
    <w:p>
      <w:pPr>
        <w:numPr>
          <w:ilvl w:val="0"/>
          <w:numId w:val="6"/>
        </w:numPr>
        <w:tabs>
          <w:tab w:val="left" w:pos="780"/>
          <w:tab w:val="left" w:pos="900"/>
          <w:tab w:val="left" w:pos="960"/>
          <w:tab w:val="left" w:pos="1260"/>
          <w:tab w:val="left" w:pos="1620"/>
        </w:tabs>
        <w:adjustRightInd w:val="0"/>
        <w:snapToGrid w:val="0"/>
        <w:spacing w:line="500" w:lineRule="exact"/>
        <w:ind w:firstLine="560" w:firstLineChars="200"/>
        <w:rPr>
          <w:color w:val="000000" w:themeColor="text1"/>
          <w:sz w:val="28"/>
          <w:szCs w:val="28"/>
          <w:lang w:val="zh-CN"/>
        </w:rPr>
      </w:pPr>
      <w:r>
        <w:rPr>
          <w:color w:val="000000" w:themeColor="text1"/>
          <w:sz w:val="28"/>
          <w:szCs w:val="28"/>
          <w:lang w:val="zh-CN"/>
        </w:rPr>
        <w:t>《用电安全导则》（GB/T13869-2017）</w:t>
      </w:r>
      <w:r>
        <w:rPr>
          <w:rFonts w:hint="eastAsia"/>
          <w:color w:val="000000" w:themeColor="text1"/>
          <w:sz w:val="28"/>
          <w:szCs w:val="28"/>
          <w:lang w:val="zh-CN"/>
        </w:rPr>
        <w:t>；</w:t>
      </w:r>
    </w:p>
    <w:p>
      <w:pPr>
        <w:numPr>
          <w:ilvl w:val="0"/>
          <w:numId w:val="6"/>
        </w:numPr>
        <w:tabs>
          <w:tab w:val="left" w:pos="780"/>
          <w:tab w:val="left" w:pos="900"/>
          <w:tab w:val="left" w:pos="960"/>
          <w:tab w:val="left" w:pos="1260"/>
          <w:tab w:val="left" w:pos="1620"/>
        </w:tabs>
        <w:adjustRightInd w:val="0"/>
        <w:snapToGrid w:val="0"/>
        <w:spacing w:line="500" w:lineRule="exact"/>
        <w:ind w:firstLine="560" w:firstLineChars="200"/>
        <w:rPr>
          <w:color w:val="000000" w:themeColor="text1"/>
          <w:sz w:val="28"/>
          <w:szCs w:val="28"/>
          <w:lang w:val="zh-CN"/>
        </w:rPr>
      </w:pPr>
      <w:r>
        <w:rPr>
          <w:color w:val="000000" w:themeColor="text1"/>
          <w:sz w:val="28"/>
          <w:szCs w:val="28"/>
          <w:lang w:val="zh-CN"/>
        </w:rPr>
        <w:t>《通用用电设备配电设计规范》（GB50053-2011）</w:t>
      </w:r>
      <w:r>
        <w:rPr>
          <w:rFonts w:hint="eastAsia"/>
          <w:color w:val="000000" w:themeColor="text1"/>
          <w:sz w:val="28"/>
          <w:szCs w:val="28"/>
          <w:lang w:val="zh-CN"/>
        </w:rPr>
        <w:t>；</w:t>
      </w:r>
    </w:p>
    <w:p>
      <w:pPr>
        <w:numPr>
          <w:ilvl w:val="0"/>
          <w:numId w:val="6"/>
        </w:numPr>
        <w:tabs>
          <w:tab w:val="left" w:pos="780"/>
          <w:tab w:val="left" w:pos="900"/>
          <w:tab w:val="left" w:pos="960"/>
          <w:tab w:val="left" w:pos="1260"/>
          <w:tab w:val="left" w:pos="1620"/>
        </w:tabs>
        <w:adjustRightInd w:val="0"/>
        <w:snapToGrid w:val="0"/>
        <w:spacing w:line="500" w:lineRule="exact"/>
        <w:ind w:firstLine="560" w:firstLineChars="200"/>
        <w:rPr>
          <w:color w:val="000000" w:themeColor="text1"/>
          <w:sz w:val="28"/>
          <w:szCs w:val="28"/>
          <w:lang w:val="zh-CN"/>
        </w:rPr>
      </w:pPr>
      <w:r>
        <w:rPr>
          <w:color w:val="000000" w:themeColor="text1"/>
          <w:sz w:val="28"/>
          <w:szCs w:val="28"/>
          <w:lang w:val="zh-CN"/>
        </w:rPr>
        <w:t>《低压配电设计规范》（GB50054-2011）</w:t>
      </w:r>
      <w:r>
        <w:rPr>
          <w:rFonts w:hint="eastAsia"/>
          <w:color w:val="000000" w:themeColor="text1"/>
          <w:sz w:val="28"/>
          <w:szCs w:val="28"/>
          <w:lang w:val="zh-CN"/>
        </w:rPr>
        <w:t>；</w:t>
      </w:r>
    </w:p>
    <w:p>
      <w:pPr>
        <w:numPr>
          <w:ilvl w:val="0"/>
          <w:numId w:val="6"/>
        </w:numPr>
        <w:adjustRightInd w:val="0"/>
        <w:snapToGrid w:val="0"/>
        <w:spacing w:line="500" w:lineRule="exact"/>
        <w:ind w:firstLine="560"/>
        <w:rPr>
          <w:color w:val="000000" w:themeColor="text1"/>
          <w:sz w:val="28"/>
          <w:szCs w:val="28"/>
        </w:rPr>
      </w:pPr>
      <w:r>
        <w:rPr>
          <w:color w:val="000000" w:themeColor="text1"/>
          <w:sz w:val="28"/>
          <w:szCs w:val="28"/>
          <w:lang w:val="zh-CN"/>
        </w:rPr>
        <w:t>《供配电系统设计规范》（GB 50052-2009）</w:t>
      </w:r>
      <w:r>
        <w:rPr>
          <w:rFonts w:hint="eastAsia"/>
          <w:color w:val="000000" w:themeColor="text1"/>
          <w:sz w:val="28"/>
          <w:szCs w:val="28"/>
          <w:lang w:val="zh-CN"/>
        </w:rPr>
        <w:t>。</w:t>
      </w:r>
    </w:p>
    <w:p>
      <w:pPr>
        <w:pStyle w:val="19"/>
        <w:spacing w:afterLines="100" w:line="500" w:lineRule="exact"/>
        <w:rPr>
          <w:rFonts w:ascii="黑体" w:hAnsi="宋体" w:eastAsia="黑体"/>
          <w:color w:val="000000" w:themeColor="text1"/>
          <w:kern w:val="3"/>
          <w:sz w:val="28"/>
          <w:szCs w:val="28"/>
        </w:rPr>
      </w:pPr>
      <w:bookmarkStart w:id="193" w:name="_Toc16342"/>
      <w:bookmarkStart w:id="194" w:name="_Toc29960"/>
      <w:bookmarkStart w:id="195" w:name="_Toc24474"/>
      <w:bookmarkStart w:id="196" w:name="_Toc18644"/>
      <w:bookmarkStart w:id="197" w:name="_Toc15135"/>
      <w:bookmarkStart w:id="198" w:name="_Toc28684"/>
      <w:bookmarkStart w:id="199" w:name="_Toc30249"/>
      <w:bookmarkStart w:id="200" w:name="_Toc18496"/>
      <w:bookmarkStart w:id="201" w:name="_Toc13606"/>
      <w:bookmarkStart w:id="202" w:name="_Toc11119"/>
      <w:r>
        <w:rPr>
          <w:rFonts w:hint="eastAsia" w:ascii="黑体" w:hAnsi="宋体" w:eastAsia="黑体"/>
          <w:color w:val="000000" w:themeColor="text1"/>
          <w:kern w:val="3"/>
          <w:sz w:val="28"/>
          <w:szCs w:val="28"/>
        </w:rPr>
        <w:t>1.2.</w:t>
      </w:r>
      <w:r>
        <w:rPr>
          <w:rFonts w:hint="eastAsia" w:ascii="黑体" w:hAnsi="宋体" w:eastAsia="黑体"/>
          <w:color w:val="000000" w:themeColor="text1"/>
          <w:kern w:val="3"/>
          <w:sz w:val="28"/>
          <w:szCs w:val="28"/>
          <w:lang w:val="en-US" w:eastAsia="zh-CN"/>
        </w:rPr>
        <w:t>5</w:t>
      </w:r>
      <w:r>
        <w:rPr>
          <w:rFonts w:hint="eastAsia" w:ascii="黑体" w:hAnsi="宋体" w:eastAsia="黑体"/>
          <w:color w:val="000000" w:themeColor="text1"/>
          <w:kern w:val="3"/>
          <w:sz w:val="28"/>
          <w:szCs w:val="28"/>
        </w:rPr>
        <w:t xml:space="preserve"> 安全及行业标准</w:t>
      </w:r>
      <w:bookmarkEnd w:id="191"/>
      <w:bookmarkEnd w:id="192"/>
      <w:bookmarkEnd w:id="193"/>
      <w:bookmarkEnd w:id="194"/>
      <w:bookmarkEnd w:id="195"/>
      <w:bookmarkEnd w:id="196"/>
      <w:bookmarkEnd w:id="197"/>
      <w:bookmarkEnd w:id="198"/>
      <w:bookmarkEnd w:id="199"/>
      <w:bookmarkEnd w:id="200"/>
      <w:bookmarkEnd w:id="201"/>
      <w:bookmarkEnd w:id="202"/>
      <w:bookmarkStart w:id="203" w:name="_Toc24196"/>
      <w:bookmarkStart w:id="204" w:name="_Toc345765819"/>
    </w:p>
    <w:p>
      <w:pPr>
        <w:numPr>
          <w:ilvl w:val="0"/>
          <w:numId w:val="7"/>
        </w:numPr>
        <w:tabs>
          <w:tab w:val="left" w:pos="840"/>
          <w:tab w:val="clear" w:pos="960"/>
        </w:tabs>
        <w:adjustRightInd w:val="0"/>
        <w:snapToGrid w:val="0"/>
        <w:spacing w:line="480" w:lineRule="exact"/>
        <w:ind w:left="0" w:firstLine="560"/>
        <w:rPr>
          <w:color w:val="000000" w:themeColor="text1"/>
          <w:sz w:val="28"/>
          <w:szCs w:val="21"/>
        </w:rPr>
      </w:pPr>
      <w:r>
        <w:rPr>
          <w:color w:val="000000" w:themeColor="text1"/>
          <w:sz w:val="28"/>
          <w:szCs w:val="21"/>
        </w:rPr>
        <w:t>《安全评价通则》（AQ8001-2007）</w:t>
      </w:r>
      <w:r>
        <w:rPr>
          <w:rFonts w:hint="eastAsia"/>
          <w:color w:val="000000" w:themeColor="text1"/>
          <w:sz w:val="28"/>
          <w:szCs w:val="21"/>
          <w:lang w:eastAsia="zh-CN"/>
        </w:rPr>
        <w:t>；</w:t>
      </w:r>
    </w:p>
    <w:p>
      <w:pPr>
        <w:numPr>
          <w:ilvl w:val="0"/>
          <w:numId w:val="7"/>
        </w:numPr>
        <w:tabs>
          <w:tab w:val="left" w:pos="840"/>
          <w:tab w:val="clear" w:pos="960"/>
        </w:tabs>
        <w:adjustRightInd w:val="0"/>
        <w:snapToGrid w:val="0"/>
        <w:spacing w:line="480" w:lineRule="exact"/>
        <w:ind w:left="0" w:firstLine="560"/>
        <w:rPr>
          <w:color w:val="000000" w:themeColor="text1"/>
          <w:sz w:val="28"/>
          <w:szCs w:val="21"/>
        </w:rPr>
      </w:pPr>
      <w:r>
        <w:rPr>
          <w:color w:val="000000" w:themeColor="text1"/>
          <w:sz w:val="28"/>
          <w:szCs w:val="21"/>
        </w:rPr>
        <w:t>《生产经营单位生产安全事故应急预案评估指南》（AQ/T 9011-2019）</w:t>
      </w:r>
      <w:r>
        <w:rPr>
          <w:rFonts w:hint="eastAsia"/>
          <w:color w:val="000000" w:themeColor="text1"/>
          <w:sz w:val="28"/>
          <w:szCs w:val="21"/>
          <w:lang w:eastAsia="zh-CN"/>
        </w:rPr>
        <w:t>；</w:t>
      </w:r>
    </w:p>
    <w:p>
      <w:pPr>
        <w:numPr>
          <w:ilvl w:val="0"/>
          <w:numId w:val="7"/>
        </w:numPr>
        <w:tabs>
          <w:tab w:val="left" w:pos="840"/>
          <w:tab w:val="clear" w:pos="960"/>
        </w:tabs>
        <w:adjustRightInd w:val="0"/>
        <w:snapToGrid w:val="0"/>
        <w:spacing w:line="480" w:lineRule="exact"/>
        <w:ind w:left="0" w:firstLine="560"/>
        <w:rPr>
          <w:color w:val="000000" w:themeColor="text1"/>
          <w:sz w:val="28"/>
          <w:szCs w:val="21"/>
        </w:rPr>
      </w:pPr>
      <w:r>
        <w:rPr>
          <w:color w:val="000000" w:themeColor="text1"/>
          <w:sz w:val="28"/>
          <w:szCs w:val="21"/>
        </w:rPr>
        <w:t>《生产安全事故应急演练评估规范》（AQ/9009-2015）</w:t>
      </w:r>
      <w:r>
        <w:rPr>
          <w:rFonts w:hint="eastAsia"/>
          <w:color w:val="000000" w:themeColor="text1"/>
          <w:sz w:val="28"/>
          <w:szCs w:val="21"/>
          <w:lang w:eastAsia="zh-CN"/>
        </w:rPr>
        <w:t>；</w:t>
      </w:r>
    </w:p>
    <w:p>
      <w:pPr>
        <w:numPr>
          <w:ilvl w:val="0"/>
          <w:numId w:val="7"/>
        </w:numPr>
        <w:tabs>
          <w:tab w:val="left" w:pos="840"/>
          <w:tab w:val="clear" w:pos="960"/>
        </w:tabs>
        <w:adjustRightInd w:val="0"/>
        <w:snapToGrid w:val="0"/>
        <w:spacing w:line="480" w:lineRule="exact"/>
        <w:ind w:left="0" w:firstLine="560"/>
        <w:rPr>
          <w:color w:val="000000" w:themeColor="text1"/>
          <w:sz w:val="28"/>
          <w:szCs w:val="21"/>
        </w:rPr>
      </w:pPr>
      <w:r>
        <w:rPr>
          <w:color w:val="000000" w:themeColor="text1"/>
          <w:sz w:val="28"/>
          <w:szCs w:val="21"/>
        </w:rPr>
        <w:t>《危险化学品应急救援管理人员培训及考核要求》（AQT3043-2013）</w:t>
      </w:r>
      <w:r>
        <w:rPr>
          <w:rFonts w:hint="eastAsia"/>
          <w:color w:val="000000" w:themeColor="text1"/>
          <w:sz w:val="28"/>
          <w:szCs w:val="21"/>
          <w:lang w:eastAsia="zh-CN"/>
        </w:rPr>
        <w:t>；</w:t>
      </w:r>
    </w:p>
    <w:p>
      <w:pPr>
        <w:numPr>
          <w:ilvl w:val="0"/>
          <w:numId w:val="7"/>
        </w:numPr>
        <w:tabs>
          <w:tab w:val="left" w:pos="840"/>
          <w:tab w:val="clear" w:pos="960"/>
        </w:tabs>
        <w:adjustRightInd w:val="0"/>
        <w:snapToGrid w:val="0"/>
        <w:spacing w:line="480" w:lineRule="exact"/>
        <w:ind w:left="0" w:firstLine="560"/>
        <w:rPr>
          <w:color w:val="000000" w:themeColor="text1"/>
          <w:sz w:val="28"/>
          <w:szCs w:val="21"/>
        </w:rPr>
      </w:pPr>
      <w:r>
        <w:rPr>
          <w:color w:val="000000" w:themeColor="text1"/>
          <w:sz w:val="28"/>
          <w:szCs w:val="21"/>
        </w:rPr>
        <w:t>《</w:t>
      </w:r>
      <w:r>
        <w:rPr>
          <w:color w:val="FF0000"/>
          <w:sz w:val="28"/>
          <w:szCs w:val="21"/>
        </w:rPr>
        <w:t>化学品作业场所安全警示标志规范》（AQ/T3047-2013</w:t>
      </w:r>
      <w:r>
        <w:rPr>
          <w:color w:val="000000" w:themeColor="text1"/>
          <w:sz w:val="28"/>
          <w:szCs w:val="21"/>
        </w:rPr>
        <w:t>）</w:t>
      </w:r>
      <w:r>
        <w:rPr>
          <w:rFonts w:hint="eastAsia"/>
          <w:color w:val="000000" w:themeColor="text1"/>
          <w:sz w:val="28"/>
          <w:szCs w:val="21"/>
          <w:lang w:eastAsia="zh-CN"/>
        </w:rPr>
        <w:t>；</w:t>
      </w:r>
    </w:p>
    <w:p>
      <w:pPr>
        <w:numPr>
          <w:ilvl w:val="0"/>
          <w:numId w:val="7"/>
        </w:numPr>
        <w:tabs>
          <w:tab w:val="left" w:pos="840"/>
          <w:tab w:val="clear" w:pos="960"/>
        </w:tabs>
        <w:adjustRightInd w:val="0"/>
        <w:snapToGrid w:val="0"/>
        <w:spacing w:line="480" w:lineRule="exact"/>
        <w:ind w:left="0" w:firstLine="560"/>
        <w:rPr>
          <w:color w:val="000000" w:themeColor="text1"/>
          <w:sz w:val="28"/>
          <w:szCs w:val="21"/>
        </w:rPr>
      </w:pPr>
      <w:r>
        <w:rPr>
          <w:color w:val="000000" w:themeColor="text1"/>
          <w:sz w:val="28"/>
          <w:szCs w:val="21"/>
        </w:rPr>
        <w:t>《危险场所电气安全防爆规范》（AQ3009-2007）</w:t>
      </w:r>
      <w:r>
        <w:rPr>
          <w:rFonts w:hint="eastAsia"/>
          <w:color w:val="000000" w:themeColor="text1"/>
          <w:sz w:val="28"/>
          <w:szCs w:val="21"/>
          <w:lang w:eastAsia="zh-CN"/>
        </w:rPr>
        <w:t>；</w:t>
      </w:r>
    </w:p>
    <w:p>
      <w:pPr>
        <w:tabs>
          <w:tab w:val="left" w:pos="840"/>
        </w:tabs>
        <w:adjustRightInd w:val="0"/>
        <w:snapToGrid w:val="0"/>
        <w:spacing w:line="480" w:lineRule="exact"/>
        <w:ind w:left="560"/>
        <w:rPr>
          <w:rFonts w:hint="eastAsia" w:eastAsia="宋体"/>
          <w:color w:val="000000" w:themeColor="text1"/>
          <w:sz w:val="28"/>
          <w:szCs w:val="21"/>
          <w:lang w:eastAsia="zh-CN"/>
        </w:rPr>
      </w:pPr>
      <w:r>
        <w:rPr>
          <w:rFonts w:hint="eastAsia"/>
          <w:color w:val="000000" w:themeColor="text1"/>
          <w:sz w:val="28"/>
          <w:szCs w:val="21"/>
        </w:rPr>
        <w:t>9</w:t>
      </w:r>
      <w:r>
        <w:rPr>
          <w:color w:val="000000" w:themeColor="text1"/>
          <w:sz w:val="28"/>
          <w:szCs w:val="21"/>
        </w:rPr>
        <w:t>.《危险货物道路运输规则》（JT/T 617-2018）</w:t>
      </w:r>
      <w:r>
        <w:rPr>
          <w:rFonts w:hint="eastAsia"/>
          <w:color w:val="000000" w:themeColor="text1"/>
          <w:sz w:val="28"/>
          <w:szCs w:val="21"/>
          <w:lang w:eastAsia="zh-CN"/>
        </w:rPr>
        <w:t>；</w:t>
      </w:r>
    </w:p>
    <w:p>
      <w:pPr>
        <w:tabs>
          <w:tab w:val="left" w:pos="840"/>
        </w:tabs>
        <w:adjustRightInd w:val="0"/>
        <w:snapToGrid w:val="0"/>
        <w:spacing w:line="480" w:lineRule="exact"/>
        <w:ind w:left="560"/>
        <w:rPr>
          <w:rFonts w:hint="eastAsia" w:eastAsia="宋体"/>
          <w:color w:val="000000" w:themeColor="text1"/>
          <w:sz w:val="28"/>
          <w:szCs w:val="21"/>
          <w:lang w:eastAsia="zh-CN"/>
        </w:rPr>
      </w:pPr>
      <w:r>
        <w:rPr>
          <w:rFonts w:hint="eastAsia"/>
          <w:color w:val="000000" w:themeColor="text1"/>
          <w:sz w:val="28"/>
          <w:szCs w:val="21"/>
        </w:rPr>
        <w:t>10</w:t>
      </w:r>
      <w:r>
        <w:rPr>
          <w:color w:val="000000" w:themeColor="text1"/>
          <w:sz w:val="28"/>
          <w:szCs w:val="21"/>
        </w:rPr>
        <w:t>.《化工设备、管道外防腐设计规范》（HG/T 20679-2014）</w:t>
      </w:r>
      <w:r>
        <w:rPr>
          <w:rFonts w:hint="eastAsia"/>
          <w:color w:val="000000" w:themeColor="text1"/>
          <w:sz w:val="28"/>
          <w:szCs w:val="21"/>
          <w:lang w:eastAsia="zh-CN"/>
        </w:rPr>
        <w:t>。</w:t>
      </w:r>
    </w:p>
    <w:p>
      <w:pPr>
        <w:pStyle w:val="19"/>
        <w:spacing w:afterLines="100" w:line="500" w:lineRule="exact"/>
        <w:rPr>
          <w:rFonts w:ascii="黑体" w:hAnsi="宋体" w:eastAsia="黑体"/>
          <w:color w:val="000000" w:themeColor="text1"/>
          <w:kern w:val="3"/>
          <w:sz w:val="28"/>
          <w:szCs w:val="28"/>
        </w:rPr>
      </w:pPr>
      <w:bookmarkStart w:id="205" w:name="_Toc13927"/>
      <w:bookmarkStart w:id="206" w:name="_Toc26351"/>
      <w:bookmarkStart w:id="207" w:name="_Toc12687"/>
      <w:bookmarkStart w:id="208" w:name="_Toc25954"/>
      <w:bookmarkStart w:id="209" w:name="_Toc16971"/>
      <w:bookmarkStart w:id="210" w:name="_Toc29680"/>
      <w:bookmarkStart w:id="211" w:name="_Toc27391"/>
      <w:bookmarkStart w:id="212" w:name="_Toc6979"/>
      <w:bookmarkStart w:id="213" w:name="_Toc22171"/>
      <w:bookmarkStart w:id="214" w:name="_Toc853"/>
      <w:r>
        <w:rPr>
          <w:rFonts w:hint="eastAsia" w:ascii="黑体" w:hAnsi="宋体" w:eastAsia="黑体"/>
          <w:color w:val="000000" w:themeColor="text1"/>
          <w:kern w:val="3"/>
          <w:sz w:val="28"/>
          <w:szCs w:val="28"/>
        </w:rPr>
        <w:t>1.2.</w:t>
      </w:r>
      <w:r>
        <w:rPr>
          <w:rFonts w:hint="eastAsia" w:ascii="黑体" w:hAnsi="宋体" w:eastAsia="黑体"/>
          <w:color w:val="000000" w:themeColor="text1"/>
          <w:kern w:val="3"/>
          <w:sz w:val="28"/>
          <w:szCs w:val="28"/>
          <w:lang w:val="en-US" w:eastAsia="zh-CN"/>
        </w:rPr>
        <w:t>6</w:t>
      </w:r>
      <w:r>
        <w:rPr>
          <w:rFonts w:hint="eastAsia" w:ascii="黑体" w:hAnsi="宋体" w:eastAsia="黑体"/>
          <w:color w:val="000000" w:themeColor="text1"/>
          <w:kern w:val="3"/>
          <w:sz w:val="28"/>
          <w:szCs w:val="28"/>
        </w:rPr>
        <w:t>其它依据</w:t>
      </w:r>
      <w:bookmarkEnd w:id="137"/>
      <w:bookmarkEnd w:id="138"/>
      <w:bookmarkEnd w:id="139"/>
      <w:bookmarkEnd w:id="203"/>
      <w:bookmarkEnd w:id="204"/>
      <w:bookmarkEnd w:id="205"/>
      <w:bookmarkEnd w:id="206"/>
      <w:bookmarkEnd w:id="207"/>
      <w:bookmarkEnd w:id="208"/>
      <w:bookmarkEnd w:id="209"/>
      <w:bookmarkEnd w:id="210"/>
      <w:bookmarkEnd w:id="211"/>
      <w:bookmarkEnd w:id="212"/>
      <w:bookmarkEnd w:id="213"/>
      <w:bookmarkEnd w:id="214"/>
    </w:p>
    <w:p>
      <w:pPr>
        <w:tabs>
          <w:tab w:val="left" w:pos="840"/>
        </w:tabs>
        <w:adjustRightInd w:val="0"/>
        <w:snapToGrid w:val="0"/>
        <w:spacing w:line="480" w:lineRule="exact"/>
        <w:ind w:firstLine="560" w:firstLineChars="200"/>
        <w:rPr>
          <w:color w:val="000000" w:themeColor="text1"/>
          <w:sz w:val="28"/>
          <w:szCs w:val="21"/>
        </w:rPr>
      </w:pPr>
      <w:r>
        <w:rPr>
          <w:rFonts w:hint="eastAsia"/>
          <w:color w:val="000000" w:themeColor="text1"/>
          <w:sz w:val="28"/>
          <w:szCs w:val="21"/>
        </w:rPr>
        <w:t>1.昭通市耀晨甲醇醇油有限公司</w:t>
      </w:r>
      <w:r>
        <w:rPr>
          <w:color w:val="000000" w:themeColor="text1"/>
          <w:sz w:val="28"/>
          <w:szCs w:val="21"/>
        </w:rPr>
        <w:t>委托</w:t>
      </w:r>
      <w:r>
        <w:rPr>
          <w:rFonts w:hint="eastAsia"/>
          <w:color w:val="000000" w:themeColor="text1"/>
          <w:sz w:val="28"/>
          <w:szCs w:val="21"/>
        </w:rPr>
        <w:t>昭通市鼎安科技有限公司</w:t>
      </w:r>
      <w:r>
        <w:rPr>
          <w:color w:val="000000" w:themeColor="text1"/>
          <w:sz w:val="28"/>
          <w:szCs w:val="21"/>
        </w:rPr>
        <w:t>进行安全现状评价的《委托书》；</w:t>
      </w:r>
    </w:p>
    <w:p>
      <w:pPr>
        <w:tabs>
          <w:tab w:val="left" w:pos="840"/>
        </w:tabs>
        <w:adjustRightInd w:val="0"/>
        <w:snapToGrid w:val="0"/>
        <w:spacing w:line="480" w:lineRule="exact"/>
        <w:ind w:left="560"/>
        <w:rPr>
          <w:color w:val="000000" w:themeColor="text1"/>
          <w:sz w:val="28"/>
          <w:szCs w:val="21"/>
        </w:rPr>
      </w:pPr>
      <w:r>
        <w:rPr>
          <w:color w:val="000000" w:themeColor="text1"/>
          <w:sz w:val="28"/>
          <w:szCs w:val="21"/>
        </w:rPr>
        <w:t>2.《营业执照》；</w:t>
      </w:r>
    </w:p>
    <w:p>
      <w:pPr>
        <w:tabs>
          <w:tab w:val="left" w:pos="840"/>
        </w:tabs>
        <w:adjustRightInd w:val="0"/>
        <w:snapToGrid w:val="0"/>
        <w:spacing w:line="480" w:lineRule="exact"/>
        <w:ind w:left="560"/>
        <w:rPr>
          <w:color w:val="000000" w:themeColor="text1"/>
          <w:sz w:val="28"/>
          <w:szCs w:val="21"/>
        </w:rPr>
      </w:pPr>
      <w:r>
        <w:rPr>
          <w:rFonts w:hint="eastAsia"/>
          <w:color w:val="000000" w:themeColor="text1"/>
          <w:sz w:val="28"/>
          <w:szCs w:val="21"/>
        </w:rPr>
        <w:t>3.评价组现场收集的其他资料；</w:t>
      </w:r>
    </w:p>
    <w:p>
      <w:pPr>
        <w:tabs>
          <w:tab w:val="left" w:pos="840"/>
        </w:tabs>
        <w:adjustRightInd w:val="0"/>
        <w:snapToGrid w:val="0"/>
        <w:spacing w:line="480" w:lineRule="exact"/>
        <w:ind w:left="560"/>
        <w:rPr>
          <w:color w:val="000000" w:themeColor="text1"/>
          <w:sz w:val="28"/>
          <w:szCs w:val="21"/>
        </w:rPr>
      </w:pPr>
      <w:r>
        <w:rPr>
          <w:rFonts w:hint="eastAsia"/>
          <w:color w:val="000000" w:themeColor="text1"/>
          <w:sz w:val="28"/>
          <w:szCs w:val="21"/>
        </w:rPr>
        <w:t>4</w:t>
      </w:r>
      <w:r>
        <w:rPr>
          <w:color w:val="000000" w:themeColor="text1"/>
          <w:sz w:val="28"/>
          <w:szCs w:val="21"/>
        </w:rPr>
        <w:t>.《安全评价（第三版，上、下册）》（煤炭工业出版社）；</w:t>
      </w:r>
    </w:p>
    <w:p>
      <w:pPr>
        <w:tabs>
          <w:tab w:val="left" w:pos="840"/>
        </w:tabs>
        <w:adjustRightInd w:val="0"/>
        <w:snapToGrid w:val="0"/>
        <w:spacing w:line="480" w:lineRule="exact"/>
        <w:ind w:left="560"/>
        <w:rPr>
          <w:color w:val="000000" w:themeColor="text1"/>
          <w:sz w:val="28"/>
          <w:szCs w:val="21"/>
        </w:rPr>
      </w:pPr>
      <w:r>
        <w:rPr>
          <w:rFonts w:hint="eastAsia"/>
          <w:color w:val="000000" w:themeColor="text1"/>
          <w:sz w:val="28"/>
          <w:szCs w:val="21"/>
        </w:rPr>
        <w:t>5</w:t>
      </w:r>
      <w:r>
        <w:rPr>
          <w:color w:val="000000" w:themeColor="text1"/>
          <w:sz w:val="28"/>
          <w:szCs w:val="21"/>
        </w:rPr>
        <w:t>.与本项目有关的技术文件、资料和其它图片；</w:t>
      </w:r>
    </w:p>
    <w:p>
      <w:pPr>
        <w:tabs>
          <w:tab w:val="left" w:pos="840"/>
        </w:tabs>
        <w:adjustRightInd w:val="0"/>
        <w:snapToGrid w:val="0"/>
        <w:spacing w:line="480" w:lineRule="exact"/>
        <w:ind w:left="560"/>
        <w:rPr>
          <w:color w:val="000000" w:themeColor="text1"/>
          <w:sz w:val="28"/>
          <w:szCs w:val="21"/>
        </w:rPr>
      </w:pPr>
      <w:r>
        <w:rPr>
          <w:rFonts w:hint="eastAsia"/>
          <w:color w:val="000000" w:themeColor="text1"/>
          <w:sz w:val="28"/>
          <w:szCs w:val="21"/>
        </w:rPr>
        <w:t>6</w:t>
      </w:r>
      <w:r>
        <w:rPr>
          <w:color w:val="000000" w:themeColor="text1"/>
          <w:sz w:val="28"/>
          <w:szCs w:val="21"/>
        </w:rPr>
        <w:t>.类似工程资料及参考文献。</w:t>
      </w:r>
    </w:p>
    <w:p>
      <w:pPr>
        <w:pStyle w:val="19"/>
        <w:spacing w:afterLines="100" w:line="500" w:lineRule="exact"/>
        <w:jc w:val="center"/>
        <w:rPr>
          <w:rFonts w:ascii="楷体_GB2312" w:hAnsi="宋体" w:eastAsia="楷体_GB2312"/>
          <w:color w:val="000000" w:themeColor="text1"/>
          <w:kern w:val="3"/>
        </w:rPr>
      </w:pPr>
      <w:bookmarkStart w:id="215" w:name="_Toc29069"/>
      <w:bookmarkStart w:id="216" w:name="_Toc2556"/>
      <w:bookmarkStart w:id="217" w:name="_Toc32674"/>
      <w:bookmarkStart w:id="218" w:name="_Toc23310"/>
      <w:bookmarkStart w:id="219" w:name="_Toc31197"/>
      <w:bookmarkStart w:id="220" w:name="_Toc21052"/>
      <w:bookmarkStart w:id="221" w:name="_Toc30608"/>
      <w:bookmarkStart w:id="222" w:name="_Toc1812"/>
      <w:bookmarkStart w:id="223" w:name="_Toc24458"/>
      <w:bookmarkStart w:id="224" w:name="_Toc9663"/>
      <w:bookmarkStart w:id="225" w:name="_Toc18719"/>
      <w:bookmarkStart w:id="226" w:name="_Toc25610_WPSOffice_Level2"/>
      <w:bookmarkStart w:id="227" w:name="_Toc31511"/>
      <w:bookmarkStart w:id="228" w:name="_Toc18631"/>
      <w:bookmarkStart w:id="229" w:name="_Toc17979"/>
      <w:bookmarkStart w:id="230" w:name="_Toc217444147"/>
      <w:bookmarkStart w:id="231" w:name="_Toc191729654"/>
      <w:bookmarkStart w:id="232" w:name="_Toc191728094"/>
      <w:bookmarkStart w:id="233" w:name="_Toc31778"/>
      <w:bookmarkStart w:id="234" w:name="_Toc8210"/>
      <w:bookmarkStart w:id="235" w:name="_Toc191729972"/>
      <w:bookmarkStart w:id="236" w:name="_Toc194389869"/>
      <w:r>
        <w:rPr>
          <w:rFonts w:hint="eastAsia" w:ascii="楷体_GB2312" w:hAnsi="宋体" w:eastAsia="楷体_GB2312"/>
          <w:color w:val="000000" w:themeColor="text1"/>
          <w:kern w:val="3"/>
        </w:rPr>
        <w:t>1.3评价原则</w:t>
      </w:r>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p>
    <w:p>
      <w:pPr>
        <w:tabs>
          <w:tab w:val="left" w:pos="900"/>
        </w:tabs>
        <w:adjustRightInd w:val="0"/>
        <w:snapToGrid w:val="0"/>
        <w:spacing w:line="500" w:lineRule="exact"/>
        <w:ind w:firstLine="560" w:firstLineChars="200"/>
        <w:rPr>
          <w:color w:val="000000" w:themeColor="text1"/>
          <w:sz w:val="28"/>
          <w:szCs w:val="20"/>
        </w:rPr>
      </w:pPr>
      <w:r>
        <w:rPr>
          <w:rFonts w:hint="eastAsia"/>
          <w:snapToGrid w:val="0"/>
          <w:color w:val="000000" w:themeColor="text1"/>
          <w:kern w:val="0"/>
          <w:sz w:val="28"/>
          <w:szCs w:val="28"/>
        </w:rPr>
        <w:t>昭通市鼎安科技有限公司</w:t>
      </w:r>
      <w:r>
        <w:rPr>
          <w:snapToGrid w:val="0"/>
          <w:color w:val="000000" w:themeColor="text1"/>
          <w:kern w:val="0"/>
          <w:sz w:val="28"/>
          <w:szCs w:val="28"/>
        </w:rPr>
        <w:t>在对该项目进行安全现状评价工作中，始终坚持以下原则：</w:t>
      </w:r>
    </w:p>
    <w:p>
      <w:pPr>
        <w:tabs>
          <w:tab w:val="left" w:pos="0"/>
          <w:tab w:val="left" w:pos="945"/>
          <w:tab w:val="left" w:pos="1680"/>
        </w:tabs>
        <w:spacing w:line="500" w:lineRule="exact"/>
        <w:ind w:firstLine="560" w:firstLineChars="200"/>
        <w:rPr>
          <w:snapToGrid w:val="0"/>
          <w:color w:val="000000" w:themeColor="text1"/>
          <w:kern w:val="0"/>
          <w:sz w:val="28"/>
          <w:szCs w:val="28"/>
        </w:rPr>
      </w:pPr>
      <w:r>
        <w:rPr>
          <w:snapToGrid w:val="0"/>
          <w:color w:val="000000" w:themeColor="text1"/>
          <w:kern w:val="0"/>
          <w:sz w:val="28"/>
          <w:szCs w:val="28"/>
        </w:rPr>
        <w:t>1</w:t>
      </w:r>
      <w:r>
        <w:rPr>
          <w:rFonts w:hint="eastAsia"/>
          <w:snapToGrid w:val="0"/>
          <w:color w:val="000000" w:themeColor="text1"/>
          <w:kern w:val="0"/>
          <w:sz w:val="28"/>
          <w:szCs w:val="28"/>
        </w:rPr>
        <w:t>.</w:t>
      </w:r>
      <w:r>
        <w:rPr>
          <w:snapToGrid w:val="0"/>
          <w:color w:val="000000" w:themeColor="text1"/>
          <w:kern w:val="0"/>
          <w:sz w:val="28"/>
          <w:szCs w:val="28"/>
        </w:rPr>
        <w:t>严格执行国家现行有关法律、法规、标准和规范的要求，对该项目进行科学、客观、公正、独立的评价。</w:t>
      </w:r>
    </w:p>
    <w:p>
      <w:pPr>
        <w:tabs>
          <w:tab w:val="left" w:pos="0"/>
          <w:tab w:val="left" w:pos="945"/>
          <w:tab w:val="left" w:pos="1680"/>
        </w:tabs>
        <w:spacing w:line="500" w:lineRule="exact"/>
        <w:ind w:firstLine="560" w:firstLineChars="200"/>
        <w:rPr>
          <w:color w:val="000000" w:themeColor="text1"/>
          <w:sz w:val="28"/>
          <w:szCs w:val="28"/>
        </w:rPr>
      </w:pPr>
      <w:r>
        <w:rPr>
          <w:color w:val="000000" w:themeColor="text1"/>
          <w:sz w:val="28"/>
          <w:szCs w:val="28"/>
        </w:rPr>
        <w:t>2</w:t>
      </w:r>
      <w:r>
        <w:rPr>
          <w:rFonts w:hint="eastAsia"/>
          <w:color w:val="000000" w:themeColor="text1"/>
          <w:sz w:val="28"/>
          <w:szCs w:val="28"/>
        </w:rPr>
        <w:t>.</w:t>
      </w:r>
      <w:r>
        <w:rPr>
          <w:color w:val="000000" w:themeColor="text1"/>
          <w:sz w:val="28"/>
          <w:szCs w:val="28"/>
        </w:rPr>
        <w:t>采用可靠、适用的评价技术和评价方法对该项目进行定性、定量评价，遵循针对性、技术可行性、经济合理性、可操作性的原则，提出消除或减弱危险、有害因素的技术和管理对策措施建议。</w:t>
      </w:r>
    </w:p>
    <w:p>
      <w:pPr>
        <w:tabs>
          <w:tab w:val="left" w:pos="0"/>
          <w:tab w:val="left" w:pos="945"/>
          <w:tab w:val="left" w:pos="1680"/>
        </w:tabs>
        <w:spacing w:line="500" w:lineRule="exact"/>
        <w:ind w:firstLine="560" w:firstLineChars="200"/>
        <w:rPr>
          <w:snapToGrid w:val="0"/>
          <w:color w:val="000000" w:themeColor="text1"/>
          <w:kern w:val="0"/>
          <w:sz w:val="28"/>
          <w:szCs w:val="28"/>
        </w:rPr>
      </w:pPr>
      <w:r>
        <w:rPr>
          <w:snapToGrid w:val="0"/>
          <w:color w:val="000000" w:themeColor="text1"/>
          <w:kern w:val="0"/>
          <w:sz w:val="28"/>
          <w:szCs w:val="28"/>
        </w:rPr>
        <w:t>3</w:t>
      </w:r>
      <w:r>
        <w:rPr>
          <w:rFonts w:hint="eastAsia"/>
          <w:snapToGrid w:val="0"/>
          <w:color w:val="000000" w:themeColor="text1"/>
          <w:kern w:val="0"/>
          <w:sz w:val="28"/>
          <w:szCs w:val="28"/>
        </w:rPr>
        <w:t>.</w:t>
      </w:r>
      <w:r>
        <w:rPr>
          <w:snapToGrid w:val="0"/>
          <w:color w:val="000000" w:themeColor="text1"/>
          <w:kern w:val="0"/>
          <w:sz w:val="28"/>
          <w:szCs w:val="28"/>
        </w:rPr>
        <w:t>真实、准确地做出评价结论，并对在当时条件下做出的安全评价结果承担法律责任。</w:t>
      </w:r>
    </w:p>
    <w:p>
      <w:pPr>
        <w:tabs>
          <w:tab w:val="left" w:pos="0"/>
          <w:tab w:val="left" w:pos="945"/>
          <w:tab w:val="left" w:pos="1680"/>
        </w:tabs>
        <w:spacing w:line="500" w:lineRule="exact"/>
        <w:ind w:firstLine="560" w:firstLineChars="200"/>
        <w:rPr>
          <w:snapToGrid w:val="0"/>
          <w:color w:val="000000" w:themeColor="text1"/>
          <w:kern w:val="0"/>
          <w:sz w:val="28"/>
          <w:szCs w:val="28"/>
        </w:rPr>
      </w:pPr>
      <w:r>
        <w:rPr>
          <w:color w:val="000000" w:themeColor="text1"/>
          <w:sz w:val="28"/>
          <w:szCs w:val="20"/>
        </w:rPr>
        <w:t>4</w:t>
      </w:r>
      <w:r>
        <w:rPr>
          <w:rFonts w:hint="eastAsia"/>
          <w:color w:val="000000" w:themeColor="text1"/>
          <w:sz w:val="28"/>
          <w:szCs w:val="20"/>
        </w:rPr>
        <w:t>.</w:t>
      </w:r>
      <w:r>
        <w:rPr>
          <w:color w:val="000000" w:themeColor="text1"/>
          <w:sz w:val="28"/>
          <w:szCs w:val="20"/>
        </w:rPr>
        <w:t>遵纪守法、</w:t>
      </w:r>
      <w:r>
        <w:rPr>
          <w:snapToGrid w:val="0"/>
          <w:color w:val="000000" w:themeColor="text1"/>
          <w:kern w:val="0"/>
          <w:sz w:val="28"/>
          <w:szCs w:val="28"/>
        </w:rPr>
        <w:t>恪守职业道德、诚实守信，对被评价单位的技术和商业秘密保密。</w:t>
      </w:r>
    </w:p>
    <w:p>
      <w:pPr>
        <w:pStyle w:val="19"/>
        <w:spacing w:afterLines="100" w:line="500" w:lineRule="exact"/>
        <w:jc w:val="center"/>
        <w:rPr>
          <w:rFonts w:ascii="楷体_GB2312" w:hAnsi="宋体" w:eastAsia="楷体_GB2312"/>
          <w:color w:val="000000" w:themeColor="text1"/>
          <w:kern w:val="3"/>
        </w:rPr>
      </w:pPr>
      <w:bookmarkStart w:id="237" w:name="_Toc5893"/>
      <w:bookmarkStart w:id="238" w:name="_Toc15738"/>
      <w:bookmarkStart w:id="239" w:name="_Toc191729655"/>
      <w:bookmarkStart w:id="240" w:name="_Toc217444148"/>
      <w:bookmarkStart w:id="241" w:name="_Toc9954"/>
      <w:bookmarkStart w:id="242" w:name="_Toc14175"/>
      <w:bookmarkStart w:id="243" w:name="_Toc1198"/>
      <w:bookmarkStart w:id="244" w:name="_Toc191729973"/>
      <w:bookmarkStart w:id="245" w:name="_Toc14558"/>
      <w:bookmarkStart w:id="246" w:name="_Toc12445_WPSOffice_Level2"/>
      <w:bookmarkStart w:id="247" w:name="_Toc20366"/>
      <w:bookmarkStart w:id="248" w:name="_Toc191728095"/>
      <w:bookmarkStart w:id="249" w:name="_Toc1521"/>
      <w:bookmarkStart w:id="250" w:name="_Toc7992"/>
      <w:bookmarkStart w:id="251" w:name="_Toc2259"/>
      <w:bookmarkStart w:id="252" w:name="_Toc194389870"/>
      <w:bookmarkStart w:id="253" w:name="_Toc13799"/>
      <w:bookmarkStart w:id="254" w:name="_Toc3137"/>
      <w:bookmarkStart w:id="255" w:name="_Toc4698"/>
      <w:bookmarkStart w:id="256" w:name="_Toc21619"/>
      <w:bookmarkStart w:id="257" w:name="_Toc24878"/>
      <w:bookmarkStart w:id="258" w:name="_Toc26709"/>
      <w:r>
        <w:rPr>
          <w:rFonts w:hint="eastAsia" w:ascii="楷体_GB2312" w:hAnsi="宋体" w:eastAsia="楷体_GB2312"/>
          <w:color w:val="000000" w:themeColor="text1"/>
          <w:kern w:val="3"/>
        </w:rPr>
        <w:t>1.4评价范围</w:t>
      </w:r>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p>
    <w:p>
      <w:pPr>
        <w:adjustRightInd w:val="0"/>
        <w:snapToGrid w:val="0"/>
        <w:spacing w:line="500" w:lineRule="exact"/>
        <w:ind w:firstLine="560" w:firstLineChars="200"/>
        <w:rPr>
          <w:snapToGrid w:val="0"/>
          <w:color w:val="000000" w:themeColor="text1"/>
          <w:kern w:val="0"/>
          <w:sz w:val="28"/>
          <w:szCs w:val="28"/>
        </w:rPr>
      </w:pPr>
      <w:r>
        <w:rPr>
          <w:snapToGrid w:val="0"/>
          <w:color w:val="000000" w:themeColor="text1"/>
          <w:kern w:val="0"/>
          <w:sz w:val="28"/>
          <w:szCs w:val="28"/>
        </w:rPr>
        <w:t>本次评价范围为</w:t>
      </w:r>
      <w:r>
        <w:rPr>
          <w:rFonts w:hint="eastAsia"/>
          <w:color w:val="000000" w:themeColor="text1"/>
          <w:sz w:val="28"/>
          <w:szCs w:val="21"/>
        </w:rPr>
        <w:t>昭通市耀晨甲醇醇油有限公司经营甲醇所涉及</w:t>
      </w:r>
      <w:r>
        <w:rPr>
          <w:snapToGrid w:val="0"/>
          <w:color w:val="000000" w:themeColor="text1"/>
          <w:kern w:val="0"/>
          <w:sz w:val="28"/>
          <w:szCs w:val="28"/>
        </w:rPr>
        <w:t>的厂址、总平面布置、工艺及装置、储存设施、安全设施及配套公辅设施、安全管理</w:t>
      </w:r>
      <w:r>
        <w:rPr>
          <w:bCs/>
          <w:color w:val="000000" w:themeColor="text1"/>
          <w:sz w:val="28"/>
        </w:rPr>
        <w:t>等</w:t>
      </w:r>
      <w:r>
        <w:rPr>
          <w:color w:val="000000" w:themeColor="text1"/>
          <w:kern w:val="3"/>
          <w:sz w:val="28"/>
        </w:rPr>
        <w:t>方面</w:t>
      </w:r>
      <w:r>
        <w:rPr>
          <w:snapToGrid w:val="0"/>
          <w:color w:val="000000" w:themeColor="text1"/>
          <w:kern w:val="0"/>
          <w:sz w:val="28"/>
        </w:rPr>
        <w:t>。</w:t>
      </w:r>
    </w:p>
    <w:p>
      <w:pPr>
        <w:adjustRightInd w:val="0"/>
        <w:snapToGrid w:val="0"/>
        <w:spacing w:line="500" w:lineRule="exact"/>
        <w:ind w:firstLine="560" w:firstLineChars="200"/>
        <w:rPr>
          <w:rFonts w:hint="eastAsia" w:eastAsia="宋体"/>
          <w:color w:val="000000" w:themeColor="text1"/>
          <w:sz w:val="28"/>
          <w:szCs w:val="28"/>
          <w:lang w:eastAsia="zh-CN"/>
        </w:rPr>
      </w:pPr>
      <w:bookmarkStart w:id="259" w:name="_Toc191729974"/>
      <w:bookmarkStart w:id="260" w:name="_Toc191729656"/>
      <w:bookmarkStart w:id="261" w:name="_Toc194389871"/>
      <w:bookmarkStart w:id="262" w:name="_Toc19290"/>
      <w:bookmarkStart w:id="263" w:name="_Toc191728096"/>
      <w:bookmarkStart w:id="264" w:name="_Toc217444149"/>
      <w:r>
        <w:rPr>
          <w:rFonts w:hint="eastAsia"/>
          <w:color w:val="000000" w:themeColor="text1"/>
          <w:sz w:val="28"/>
          <w:szCs w:val="21"/>
        </w:rPr>
        <w:t>昭通市耀晨甲醇醇油有限公司</w:t>
      </w:r>
      <w:r>
        <w:rPr>
          <w:snapToGrid w:val="0"/>
          <w:color w:val="000000" w:themeColor="text1"/>
          <w:kern w:val="0"/>
          <w:sz w:val="28"/>
          <w:szCs w:val="28"/>
        </w:rPr>
        <w:t>项目之外的</w:t>
      </w:r>
      <w:r>
        <w:rPr>
          <w:color w:val="000000" w:themeColor="text1"/>
          <w:sz w:val="28"/>
          <w:szCs w:val="28"/>
        </w:rPr>
        <w:t>危险化学品运输、环境保护、职业卫生等方面不在本次评价范围内，但在报告中会有所提及，应按照国家有关规定及相关部门的要求执行。</w:t>
      </w:r>
      <w:r>
        <w:rPr>
          <w:rFonts w:hint="eastAsia" w:ascii="宋体" w:hAnsi="宋体"/>
          <w:snapToGrid w:val="0"/>
          <w:color w:val="000000"/>
          <w:kern w:val="0"/>
          <w:sz w:val="28"/>
          <w:szCs w:val="28"/>
        </w:rPr>
        <w:t>环境影响评价和消防设计等文件资料为准</w:t>
      </w:r>
      <w:r>
        <w:rPr>
          <w:rFonts w:hint="eastAsia" w:ascii="宋体" w:hAnsi="宋体"/>
          <w:snapToGrid w:val="0"/>
          <w:color w:val="000000"/>
          <w:kern w:val="0"/>
          <w:sz w:val="28"/>
          <w:szCs w:val="28"/>
          <w:lang w:eastAsia="zh-CN"/>
        </w:rPr>
        <w:t>。</w:t>
      </w:r>
    </w:p>
    <w:p>
      <w:pPr>
        <w:pStyle w:val="19"/>
        <w:spacing w:afterLines="100" w:line="500" w:lineRule="exact"/>
        <w:jc w:val="center"/>
        <w:rPr>
          <w:rFonts w:ascii="楷体_GB2312" w:hAnsi="宋体" w:eastAsia="楷体_GB2312"/>
          <w:color w:val="000000" w:themeColor="text1"/>
          <w:kern w:val="3"/>
        </w:rPr>
      </w:pPr>
      <w:bookmarkStart w:id="265" w:name="_Toc27007"/>
      <w:bookmarkStart w:id="266" w:name="_Toc30089"/>
      <w:bookmarkStart w:id="267" w:name="_Toc19878"/>
      <w:bookmarkStart w:id="268" w:name="_Toc9995"/>
      <w:bookmarkStart w:id="269" w:name="_Toc31954"/>
      <w:bookmarkStart w:id="270" w:name="_Toc4018"/>
      <w:bookmarkStart w:id="271" w:name="_Toc15524_WPSOffice_Level2"/>
      <w:bookmarkStart w:id="272" w:name="_Toc24341"/>
      <w:bookmarkStart w:id="273" w:name="_Toc15897"/>
      <w:bookmarkStart w:id="274" w:name="_Toc22194"/>
      <w:bookmarkStart w:id="275" w:name="_Toc12498"/>
      <w:bookmarkStart w:id="276" w:name="_Toc21528"/>
      <w:bookmarkStart w:id="277" w:name="_Toc17409"/>
      <w:bookmarkStart w:id="278" w:name="_Toc2969"/>
      <w:bookmarkStart w:id="279" w:name="_Toc30572"/>
      <w:bookmarkStart w:id="280" w:name="_Toc23603"/>
      <w:r>
        <w:rPr>
          <w:rFonts w:hint="eastAsia" w:ascii="楷体_GB2312" w:hAnsi="宋体" w:eastAsia="楷体_GB2312"/>
          <w:color w:val="000000" w:themeColor="text1"/>
          <w:kern w:val="3"/>
        </w:rPr>
        <w:t>1.5评价程序</w:t>
      </w:r>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p>
    <w:p>
      <w:pPr>
        <w:adjustRightInd w:val="0"/>
        <w:snapToGrid w:val="0"/>
        <w:spacing w:line="500" w:lineRule="exact"/>
        <w:ind w:firstLine="560" w:firstLineChars="200"/>
        <w:rPr>
          <w:rFonts w:hint="eastAsia" w:ascii="宋体" w:hAnsi="宋体"/>
          <w:kern w:val="3"/>
          <w:sz w:val="28"/>
          <w:szCs w:val="28"/>
        </w:rPr>
      </w:pPr>
      <w:r>
        <w:rPr>
          <w:rFonts w:ascii="宋体" w:hAnsi="宋体" w:cs="宋体"/>
          <w:kern w:val="0"/>
          <w:sz w:val="28"/>
          <w:szCs w:val="28"/>
        </w:rPr>
        <w:t>安全</w:t>
      </w:r>
      <w:r>
        <w:rPr>
          <w:rFonts w:hint="eastAsia" w:ascii="宋体" w:hAnsi="宋体" w:cs="宋体"/>
          <w:kern w:val="0"/>
          <w:sz w:val="28"/>
          <w:szCs w:val="28"/>
          <w:lang w:val="en-US" w:eastAsia="zh-CN"/>
        </w:rPr>
        <w:t>评价</w:t>
      </w:r>
      <w:r>
        <w:rPr>
          <w:rFonts w:ascii="宋体" w:hAnsi="宋体" w:cs="宋体"/>
          <w:kern w:val="0"/>
          <w:sz w:val="28"/>
          <w:szCs w:val="28"/>
        </w:rPr>
        <w:t>程序主要包括：准备阶段；危险、有害因素辨识与分析；定性定量评价；提出安全对策措施；形成安全</w:t>
      </w:r>
      <w:r>
        <w:rPr>
          <w:rFonts w:hint="eastAsia" w:ascii="宋体" w:hAnsi="宋体" w:cs="宋体"/>
          <w:kern w:val="0"/>
          <w:sz w:val="28"/>
          <w:szCs w:val="28"/>
          <w:lang w:val="en-US" w:eastAsia="zh-CN"/>
        </w:rPr>
        <w:t>评价</w:t>
      </w:r>
      <w:r>
        <w:rPr>
          <w:rFonts w:ascii="宋体" w:hAnsi="宋体" w:cs="宋体"/>
          <w:kern w:val="0"/>
          <w:sz w:val="28"/>
          <w:szCs w:val="28"/>
        </w:rPr>
        <w:t>结论及建议；编制安全</w:t>
      </w:r>
      <w:r>
        <w:rPr>
          <w:rFonts w:hint="eastAsia" w:ascii="宋体" w:hAnsi="宋体" w:cs="宋体"/>
          <w:kern w:val="0"/>
          <w:sz w:val="28"/>
          <w:szCs w:val="28"/>
          <w:lang w:val="en-US" w:eastAsia="zh-CN"/>
        </w:rPr>
        <w:t>评价</w:t>
      </w:r>
      <w:r>
        <w:rPr>
          <w:rFonts w:ascii="宋体" w:hAnsi="宋体" w:cs="宋体"/>
          <w:kern w:val="0"/>
          <w:sz w:val="28"/>
          <w:szCs w:val="28"/>
        </w:rPr>
        <w:t>报告</w:t>
      </w:r>
    </w:p>
    <w:p>
      <w:pPr>
        <w:adjustRightInd w:val="0"/>
        <w:snapToGrid w:val="0"/>
        <w:spacing w:line="500" w:lineRule="exact"/>
        <w:ind w:firstLine="560" w:firstLineChars="200"/>
        <w:rPr>
          <w:rFonts w:ascii="宋体" w:hAnsi="宋体"/>
          <w:kern w:val="3"/>
          <w:sz w:val="28"/>
          <w:szCs w:val="28"/>
        </w:rPr>
      </w:pPr>
      <w:r>
        <w:rPr>
          <w:rFonts w:hint="eastAsia" w:ascii="宋体" w:hAnsi="宋体"/>
          <w:kern w:val="3"/>
          <w:sz w:val="28"/>
          <w:szCs w:val="28"/>
        </w:rPr>
        <w:t>（1）</w:t>
      </w:r>
      <w:r>
        <w:rPr>
          <w:rFonts w:ascii="宋体" w:hAnsi="宋体"/>
          <w:kern w:val="3"/>
          <w:sz w:val="28"/>
          <w:szCs w:val="28"/>
        </w:rPr>
        <w:t>前期准备工作</w:t>
      </w:r>
    </w:p>
    <w:p>
      <w:pPr>
        <w:adjustRightInd w:val="0"/>
        <w:snapToGrid w:val="0"/>
        <w:spacing w:line="500" w:lineRule="exact"/>
        <w:ind w:firstLine="560" w:firstLineChars="200"/>
        <w:rPr>
          <w:rFonts w:ascii="宋体" w:hAnsi="宋体"/>
          <w:kern w:val="3"/>
          <w:sz w:val="28"/>
          <w:szCs w:val="28"/>
        </w:rPr>
      </w:pPr>
      <w:r>
        <w:rPr>
          <w:rFonts w:ascii="宋体" w:hAnsi="宋体" w:cs="宋体"/>
          <w:kern w:val="0"/>
          <w:sz w:val="28"/>
          <w:szCs w:val="28"/>
        </w:rPr>
        <w:t>明确被评价对象和范围，收集国内外相关法律法规、技术标准及工程、系统的技术资料</w:t>
      </w:r>
      <w:r>
        <w:rPr>
          <w:rFonts w:ascii="宋体" w:hAnsi="宋体"/>
          <w:kern w:val="3"/>
          <w:sz w:val="28"/>
          <w:szCs w:val="28"/>
        </w:rPr>
        <w:t>。</w:t>
      </w:r>
    </w:p>
    <w:p>
      <w:pPr>
        <w:adjustRightInd w:val="0"/>
        <w:snapToGrid w:val="0"/>
        <w:spacing w:line="500" w:lineRule="exact"/>
        <w:ind w:firstLine="560" w:firstLineChars="200"/>
        <w:rPr>
          <w:rFonts w:hint="eastAsia" w:ascii="宋体" w:hAnsi="宋体"/>
          <w:color w:val="FF0000"/>
          <w:kern w:val="3"/>
          <w:sz w:val="28"/>
          <w:szCs w:val="28"/>
        </w:rPr>
      </w:pPr>
      <w:r>
        <w:rPr>
          <w:rFonts w:hint="eastAsia" w:ascii="宋体" w:hAnsi="宋体"/>
          <w:kern w:val="3"/>
          <w:sz w:val="28"/>
          <w:szCs w:val="28"/>
        </w:rPr>
        <w:t>（2）</w:t>
      </w:r>
      <w:r>
        <w:rPr>
          <w:rFonts w:ascii="宋体" w:hAnsi="宋体" w:cs="宋体"/>
          <w:kern w:val="0"/>
          <w:sz w:val="28"/>
          <w:szCs w:val="28"/>
        </w:rPr>
        <w:t>危险、有害因素辨识与分析</w:t>
      </w:r>
    </w:p>
    <w:p>
      <w:pPr>
        <w:adjustRightInd w:val="0"/>
        <w:snapToGrid w:val="0"/>
        <w:spacing w:line="500" w:lineRule="exact"/>
        <w:ind w:firstLine="560" w:firstLineChars="200"/>
        <w:rPr>
          <w:rFonts w:ascii="宋体" w:hAnsi="宋体"/>
          <w:color w:val="FF0000"/>
          <w:kern w:val="3"/>
          <w:sz w:val="28"/>
          <w:szCs w:val="28"/>
        </w:rPr>
      </w:pPr>
      <w:r>
        <w:rPr>
          <w:rFonts w:ascii="宋体" w:hAnsi="宋体" w:cs="宋体"/>
          <w:kern w:val="0"/>
          <w:sz w:val="28"/>
          <w:szCs w:val="28"/>
        </w:rPr>
        <w:t>根据被评价的工程、系统的情况，辨识和分析危险、有害因素，确定危险、有害因素存在的部位、存在的方式、事故发生的途径及其变化的规律。</w:t>
      </w:r>
    </w:p>
    <w:p>
      <w:pPr>
        <w:adjustRightInd w:val="0"/>
        <w:snapToGrid w:val="0"/>
        <w:spacing w:line="500" w:lineRule="exact"/>
        <w:ind w:firstLine="560" w:firstLineChars="200"/>
        <w:rPr>
          <w:rFonts w:hint="eastAsia" w:ascii="宋体" w:hAnsi="宋体"/>
          <w:color w:val="FF0000"/>
          <w:kern w:val="3"/>
          <w:sz w:val="28"/>
          <w:szCs w:val="28"/>
        </w:rPr>
      </w:pPr>
      <w:r>
        <w:rPr>
          <w:rFonts w:hint="eastAsia" w:ascii="宋体" w:hAnsi="宋体"/>
          <w:kern w:val="3"/>
          <w:sz w:val="28"/>
          <w:szCs w:val="28"/>
        </w:rPr>
        <w:t>（3）</w:t>
      </w:r>
      <w:r>
        <w:rPr>
          <w:rFonts w:ascii="宋体" w:hAnsi="宋体" w:cs="宋体"/>
          <w:kern w:val="0"/>
          <w:sz w:val="28"/>
          <w:szCs w:val="28"/>
        </w:rPr>
        <w:t>定性、定量评价</w:t>
      </w:r>
    </w:p>
    <w:p>
      <w:pPr>
        <w:adjustRightInd w:val="0"/>
        <w:snapToGrid w:val="0"/>
        <w:spacing w:line="500" w:lineRule="exact"/>
        <w:ind w:firstLine="560" w:firstLineChars="200"/>
        <w:rPr>
          <w:rFonts w:ascii="宋体" w:hAnsi="宋体"/>
          <w:color w:val="FF0000"/>
          <w:kern w:val="3"/>
          <w:sz w:val="28"/>
          <w:szCs w:val="28"/>
        </w:rPr>
      </w:pPr>
      <w:r>
        <w:rPr>
          <w:rFonts w:ascii="宋体" w:hAnsi="宋体" w:cs="宋体"/>
          <w:kern w:val="0"/>
          <w:sz w:val="28"/>
          <w:szCs w:val="28"/>
        </w:rPr>
        <w:t>在危险、有害因素辨识和分析的基础上，划分评价单元，选择合理的评价方法，对工程、系统发生事故的可能性和严重程度进行定性、定量评价。</w:t>
      </w:r>
    </w:p>
    <w:p>
      <w:pPr>
        <w:adjustRightInd w:val="0"/>
        <w:snapToGrid w:val="0"/>
        <w:spacing w:line="500" w:lineRule="exact"/>
        <w:ind w:firstLine="560" w:firstLineChars="200"/>
        <w:rPr>
          <w:rFonts w:hint="eastAsia" w:ascii="宋体" w:hAnsi="宋体" w:cs="宋体"/>
          <w:kern w:val="0"/>
          <w:sz w:val="28"/>
          <w:szCs w:val="28"/>
        </w:rPr>
      </w:pPr>
      <w:r>
        <w:rPr>
          <w:rFonts w:hint="eastAsia" w:ascii="宋体" w:hAnsi="宋体"/>
          <w:kern w:val="3"/>
          <w:sz w:val="28"/>
          <w:szCs w:val="28"/>
        </w:rPr>
        <w:t>（4）</w:t>
      </w:r>
      <w:r>
        <w:rPr>
          <w:rFonts w:ascii="宋体" w:hAnsi="宋体" w:cs="宋体"/>
          <w:kern w:val="0"/>
          <w:sz w:val="28"/>
          <w:szCs w:val="28"/>
        </w:rPr>
        <w:t>安全对策措施</w:t>
      </w:r>
    </w:p>
    <w:p>
      <w:pPr>
        <w:adjustRightInd w:val="0"/>
        <w:snapToGrid w:val="0"/>
        <w:spacing w:line="500" w:lineRule="exact"/>
        <w:ind w:firstLine="560" w:firstLineChars="200"/>
        <w:rPr>
          <w:rFonts w:ascii="宋体" w:hAnsi="宋体"/>
          <w:color w:val="FF0000"/>
          <w:kern w:val="3"/>
          <w:sz w:val="28"/>
          <w:szCs w:val="28"/>
        </w:rPr>
      </w:pPr>
      <w:r>
        <w:rPr>
          <w:rFonts w:ascii="宋体" w:hAnsi="宋体" w:cs="宋体"/>
          <w:kern w:val="0"/>
          <w:sz w:val="28"/>
          <w:szCs w:val="28"/>
        </w:rPr>
        <w:t>根据定性、定量评价结果，提出消除或减弱危险、有害因素的技术和管理措施及建议。</w:t>
      </w:r>
    </w:p>
    <w:p>
      <w:pPr>
        <w:adjustRightInd w:val="0"/>
        <w:snapToGrid w:val="0"/>
        <w:spacing w:line="500" w:lineRule="exact"/>
        <w:ind w:firstLine="560" w:firstLineChars="200"/>
        <w:rPr>
          <w:rFonts w:hint="eastAsia" w:ascii="宋体" w:hAnsi="宋体" w:cs="宋体"/>
          <w:kern w:val="0"/>
          <w:sz w:val="28"/>
          <w:szCs w:val="28"/>
        </w:rPr>
      </w:pPr>
      <w:r>
        <w:rPr>
          <w:rFonts w:hint="eastAsia" w:ascii="宋体" w:hAnsi="宋体"/>
          <w:kern w:val="3"/>
          <w:sz w:val="28"/>
          <w:szCs w:val="28"/>
        </w:rPr>
        <w:t>（5）</w:t>
      </w:r>
      <w:r>
        <w:rPr>
          <w:rFonts w:ascii="宋体" w:hAnsi="宋体" w:cs="宋体"/>
          <w:kern w:val="0"/>
          <w:sz w:val="28"/>
          <w:szCs w:val="28"/>
        </w:rPr>
        <w:t>安全</w:t>
      </w:r>
      <w:r>
        <w:rPr>
          <w:rFonts w:hint="eastAsia" w:ascii="宋体" w:hAnsi="宋体" w:cs="宋体"/>
          <w:kern w:val="0"/>
          <w:sz w:val="28"/>
          <w:szCs w:val="28"/>
          <w:lang w:val="en-US" w:eastAsia="zh-CN"/>
        </w:rPr>
        <w:t>评价</w:t>
      </w:r>
      <w:r>
        <w:rPr>
          <w:rFonts w:ascii="宋体" w:hAnsi="宋体" w:cs="宋体"/>
          <w:kern w:val="0"/>
          <w:sz w:val="28"/>
          <w:szCs w:val="28"/>
        </w:rPr>
        <w:t>结论及建议</w:t>
      </w:r>
    </w:p>
    <w:p>
      <w:pPr>
        <w:adjustRightInd w:val="0"/>
        <w:snapToGrid w:val="0"/>
        <w:spacing w:line="500" w:lineRule="exact"/>
        <w:ind w:firstLine="560" w:firstLineChars="200"/>
        <w:rPr>
          <w:rFonts w:ascii="宋体" w:hAnsi="宋体"/>
          <w:color w:val="FF0000"/>
          <w:kern w:val="3"/>
          <w:sz w:val="28"/>
          <w:szCs w:val="28"/>
        </w:rPr>
      </w:pPr>
      <w:r>
        <w:rPr>
          <w:rFonts w:ascii="宋体" w:hAnsi="宋体" w:cs="宋体"/>
          <w:kern w:val="0"/>
          <w:sz w:val="28"/>
          <w:szCs w:val="28"/>
        </w:rPr>
        <w:t>简要地列出主要危险、有害因素的评价结果，指出工程、系统应重点防范的重大危险因素，明确生产经营者应重视的重要安全措施。</w:t>
      </w:r>
    </w:p>
    <w:p>
      <w:pPr>
        <w:adjustRightInd w:val="0"/>
        <w:snapToGrid w:val="0"/>
        <w:spacing w:line="500" w:lineRule="exact"/>
        <w:ind w:firstLine="300"/>
        <w:rPr>
          <w:rFonts w:ascii="宋体" w:hAnsi="宋体"/>
          <w:color w:val="000000"/>
          <w:kern w:val="3"/>
          <w:sz w:val="28"/>
          <w:szCs w:val="28"/>
        </w:rPr>
      </w:pPr>
      <w:r>
        <w:rPr>
          <w:rFonts w:ascii="宋体" w:hAnsi="宋体"/>
          <w:color w:val="000000"/>
          <w:kern w:val="3"/>
          <w:sz w:val="28"/>
          <w:szCs w:val="28"/>
        </w:rPr>
        <w:t xml:space="preserve">  危险化学品经营单位安全</w:t>
      </w:r>
      <w:r>
        <w:rPr>
          <w:rFonts w:hint="eastAsia" w:ascii="宋体" w:hAnsi="宋体"/>
          <w:color w:val="000000"/>
          <w:kern w:val="3"/>
          <w:sz w:val="28"/>
          <w:szCs w:val="28"/>
          <w:lang w:val="en-US" w:eastAsia="zh-CN"/>
        </w:rPr>
        <w:t>评价</w:t>
      </w:r>
      <w:r>
        <w:rPr>
          <w:rFonts w:ascii="宋体" w:hAnsi="宋体"/>
          <w:color w:val="000000"/>
          <w:kern w:val="3"/>
          <w:sz w:val="28"/>
          <w:szCs w:val="28"/>
        </w:rPr>
        <w:t>程序见</w:t>
      </w:r>
      <w:r>
        <w:rPr>
          <w:rFonts w:hint="eastAsia" w:ascii="宋体" w:hAnsi="宋体"/>
          <w:color w:val="000000"/>
          <w:kern w:val="3"/>
          <w:sz w:val="28"/>
          <w:szCs w:val="28"/>
        </w:rPr>
        <w:t>图1-1</w:t>
      </w:r>
      <w:r>
        <w:rPr>
          <w:rFonts w:ascii="宋体" w:hAnsi="宋体"/>
          <w:color w:val="000000"/>
          <w:kern w:val="3"/>
          <w:sz w:val="28"/>
          <w:szCs w:val="28"/>
        </w:rPr>
        <w:t>所示。</w:t>
      </w:r>
    </w:p>
    <w:p>
      <w:pPr>
        <w:pStyle w:val="2"/>
        <w:jc w:val="center"/>
        <w:rPr>
          <w:rFonts w:ascii="宋体" w:hAnsi="宋体"/>
          <w:color w:val="000000"/>
          <w:kern w:val="3"/>
          <w:sz w:val="28"/>
          <w:szCs w:val="28"/>
        </w:rPr>
      </w:pPr>
      <w:r>
        <w:rPr>
          <w:rFonts w:ascii="宋体" w:hAnsi="宋体"/>
          <w:color w:val="000000"/>
          <w:kern w:val="3"/>
          <w:sz w:val="28"/>
          <w:szCs w:val="28"/>
        </w:rPr>
        <w:pict>
          <v:shape id="Picture 2505" o:spid="_x0000_s2063" o:spt="75" type="#_x0000_t75" style="position:absolute;left:0pt;margin-left:144.75pt;margin-top:313.85pt;height:273pt;width:182.9pt;mso-position-horizontal-relative:margin;mso-position-vertical-relative:margin;mso-wrap-distance-bottom:0pt;mso-wrap-distance-top:0pt;z-index:251671552;mso-width-relative:page;mso-height-relative:page;" o:ole="t" filled="f" o:preferrelative="t" stroked="f" coordsize="21600,21600" o:allowoverlap="f">
            <v:path/>
            <v:fill on="f" focussize="0,0"/>
            <v:stroke on="f"/>
            <v:imagedata r:id="rId9" cropleft="22079f" cropright="20962f" cropbottom="1986f" o:title=""/>
            <o:lock v:ext="edit" grouping="f" rotation="f" text="f" aspectratio="t"/>
            <w10:wrap type="topAndBottom"/>
          </v:shape>
          <o:OLEObject Type="Embed" ProgID="" ShapeID="Picture 2505" DrawAspect="Content" ObjectID="_1468075725" r:id="rId8">
            <o:LockedField>false</o:LockedField>
          </o:OLEObject>
        </w:pict>
      </w:r>
      <w:r>
        <w:rPr>
          <w:rFonts w:hint="eastAsia" w:ascii="宋体" w:hAnsi="宋体"/>
          <w:color w:val="000000"/>
          <w:kern w:val="3"/>
          <w:sz w:val="28"/>
          <w:szCs w:val="28"/>
        </w:rPr>
        <w:t>图1-1</w:t>
      </w:r>
      <w:r>
        <w:rPr>
          <w:rFonts w:ascii="宋体" w:hAnsi="宋体"/>
          <w:color w:val="000000"/>
          <w:kern w:val="3"/>
          <w:sz w:val="28"/>
          <w:szCs w:val="28"/>
        </w:rPr>
        <w:t>安全</w:t>
      </w:r>
      <w:r>
        <w:rPr>
          <w:rFonts w:hint="eastAsia" w:ascii="宋体" w:hAnsi="宋体"/>
          <w:color w:val="000000"/>
          <w:kern w:val="3"/>
          <w:sz w:val="28"/>
          <w:szCs w:val="28"/>
          <w:lang w:val="en-US" w:eastAsia="zh-CN"/>
        </w:rPr>
        <w:t>评价</w:t>
      </w:r>
      <w:r>
        <w:rPr>
          <w:rFonts w:ascii="宋体" w:hAnsi="宋体"/>
          <w:color w:val="000000"/>
          <w:kern w:val="3"/>
          <w:sz w:val="28"/>
          <w:szCs w:val="28"/>
        </w:rPr>
        <w:t>程序见</w:t>
      </w:r>
      <w:r>
        <w:rPr>
          <w:rFonts w:hint="eastAsia" w:ascii="宋体" w:hAnsi="宋体"/>
          <w:color w:val="000000"/>
          <w:kern w:val="3"/>
          <w:sz w:val="28"/>
          <w:szCs w:val="28"/>
        </w:rPr>
        <w:t>图</w:t>
      </w:r>
    </w:p>
    <w:p>
      <w:pPr>
        <w:pStyle w:val="2"/>
      </w:pPr>
    </w:p>
    <w:p>
      <w:pPr>
        <w:pStyle w:val="19"/>
        <w:spacing w:afterLines="100" w:line="500" w:lineRule="exact"/>
        <w:jc w:val="center"/>
        <w:rPr>
          <w:rFonts w:ascii="楷体_GB2312" w:hAnsi="宋体" w:eastAsia="楷体_GB2312"/>
          <w:color w:val="000000" w:themeColor="text1"/>
          <w:kern w:val="3"/>
        </w:rPr>
      </w:pPr>
      <w:bookmarkStart w:id="281" w:name="_Toc12154"/>
      <w:bookmarkStart w:id="282" w:name="_Toc5883_WPSOffice_Level2"/>
      <w:r>
        <w:rPr>
          <w:rFonts w:hint="eastAsia" w:ascii="楷体_GB2312" w:hAnsi="宋体" w:eastAsia="楷体_GB2312"/>
          <w:color w:val="000000" w:themeColor="text1"/>
          <w:kern w:val="3"/>
        </w:rPr>
        <w:t>1.6评价基准日</w:t>
      </w:r>
      <w:bookmarkEnd w:id="281"/>
      <w:bookmarkEnd w:id="282"/>
    </w:p>
    <w:p>
      <w:pPr>
        <w:adjustRightInd w:val="0"/>
        <w:snapToGrid w:val="0"/>
        <w:spacing w:line="500" w:lineRule="exact"/>
        <w:ind w:firstLine="560" w:firstLineChars="200"/>
        <w:rPr>
          <w:rFonts w:ascii="宋体" w:hAnsi="宋体" w:cs="宋体"/>
          <w:color w:val="000000" w:themeColor="text1"/>
          <w:kern w:val="0"/>
          <w:sz w:val="28"/>
          <w:szCs w:val="28"/>
        </w:rPr>
      </w:pPr>
      <w:r>
        <w:rPr>
          <w:rFonts w:hint="eastAsia" w:ascii="宋体" w:hAnsi="宋体" w:cs="宋体"/>
          <w:color w:val="000000" w:themeColor="text1"/>
          <w:kern w:val="0"/>
          <w:sz w:val="28"/>
          <w:szCs w:val="28"/>
        </w:rPr>
        <w:t>评价组于202</w:t>
      </w:r>
      <w:r>
        <w:rPr>
          <w:rFonts w:hint="eastAsia" w:ascii="宋体" w:hAnsi="宋体" w:cs="宋体"/>
          <w:color w:val="000000" w:themeColor="text1"/>
          <w:kern w:val="0"/>
          <w:sz w:val="28"/>
          <w:szCs w:val="28"/>
          <w:lang w:val="en-US" w:eastAsia="zh-CN"/>
        </w:rPr>
        <w:t>5</w:t>
      </w:r>
      <w:r>
        <w:rPr>
          <w:rFonts w:hint="eastAsia" w:ascii="宋体" w:hAnsi="宋体" w:cs="宋体"/>
          <w:color w:val="000000" w:themeColor="text1"/>
          <w:kern w:val="0"/>
          <w:sz w:val="28"/>
          <w:szCs w:val="28"/>
        </w:rPr>
        <w:t>年</w:t>
      </w:r>
      <w:r>
        <w:rPr>
          <w:rFonts w:hint="eastAsia" w:ascii="宋体" w:hAnsi="宋体" w:cs="宋体"/>
          <w:color w:val="000000" w:themeColor="text1"/>
          <w:kern w:val="0"/>
          <w:sz w:val="28"/>
          <w:szCs w:val="28"/>
          <w:lang w:val="en-US" w:eastAsia="zh-CN"/>
        </w:rPr>
        <w:t>5</w:t>
      </w:r>
      <w:r>
        <w:rPr>
          <w:rFonts w:hint="eastAsia" w:ascii="宋体" w:hAnsi="宋体" w:cs="宋体"/>
          <w:color w:val="000000" w:themeColor="text1"/>
          <w:kern w:val="0"/>
          <w:sz w:val="28"/>
          <w:szCs w:val="28"/>
        </w:rPr>
        <w:t>月</w:t>
      </w:r>
      <w:r>
        <w:rPr>
          <w:rFonts w:hint="eastAsia" w:ascii="宋体" w:hAnsi="宋体" w:cs="宋体"/>
          <w:color w:val="000000" w:themeColor="text1"/>
          <w:kern w:val="0"/>
          <w:sz w:val="28"/>
          <w:szCs w:val="28"/>
          <w:lang w:val="en-US" w:eastAsia="zh-CN"/>
        </w:rPr>
        <w:t>23</w:t>
      </w:r>
      <w:r>
        <w:rPr>
          <w:rFonts w:hint="eastAsia" w:ascii="宋体" w:hAnsi="宋体" w:cs="宋体"/>
          <w:color w:val="000000" w:themeColor="text1"/>
          <w:kern w:val="0"/>
          <w:sz w:val="28"/>
          <w:szCs w:val="28"/>
        </w:rPr>
        <w:t>日到项目站址进行现场勘验，评价基准时间以202</w:t>
      </w:r>
      <w:r>
        <w:rPr>
          <w:rFonts w:hint="eastAsia" w:ascii="宋体" w:hAnsi="宋体" w:cs="宋体"/>
          <w:color w:val="000000" w:themeColor="text1"/>
          <w:kern w:val="0"/>
          <w:sz w:val="28"/>
          <w:szCs w:val="28"/>
          <w:lang w:val="en-US" w:eastAsia="zh-CN"/>
        </w:rPr>
        <w:t>5</w:t>
      </w:r>
      <w:r>
        <w:rPr>
          <w:rFonts w:hint="eastAsia" w:ascii="宋体" w:hAnsi="宋体" w:cs="宋体"/>
          <w:color w:val="000000" w:themeColor="text1"/>
          <w:kern w:val="0"/>
          <w:sz w:val="28"/>
          <w:szCs w:val="28"/>
        </w:rPr>
        <w:t>年</w:t>
      </w:r>
      <w:r>
        <w:rPr>
          <w:rFonts w:hint="eastAsia" w:ascii="宋体" w:hAnsi="宋体" w:cs="宋体"/>
          <w:color w:val="000000" w:themeColor="text1"/>
          <w:kern w:val="0"/>
          <w:sz w:val="28"/>
          <w:szCs w:val="28"/>
          <w:lang w:val="en-US" w:eastAsia="zh-CN"/>
        </w:rPr>
        <w:t>5</w:t>
      </w:r>
      <w:r>
        <w:rPr>
          <w:rFonts w:hint="eastAsia" w:ascii="宋体" w:hAnsi="宋体" w:cs="宋体"/>
          <w:color w:val="000000" w:themeColor="text1"/>
          <w:kern w:val="0"/>
          <w:sz w:val="28"/>
          <w:szCs w:val="28"/>
        </w:rPr>
        <w:t>月</w:t>
      </w:r>
      <w:r>
        <w:rPr>
          <w:rFonts w:hint="eastAsia" w:ascii="宋体" w:hAnsi="宋体" w:cs="宋体"/>
          <w:color w:val="000000" w:themeColor="text1"/>
          <w:kern w:val="0"/>
          <w:sz w:val="28"/>
          <w:szCs w:val="28"/>
          <w:lang w:val="en-US" w:eastAsia="zh-CN"/>
        </w:rPr>
        <w:t>23</w:t>
      </w:r>
      <w:r>
        <w:rPr>
          <w:rFonts w:hint="eastAsia" w:ascii="宋体" w:hAnsi="宋体" w:cs="宋体"/>
          <w:color w:val="000000" w:themeColor="text1"/>
          <w:kern w:val="0"/>
          <w:sz w:val="28"/>
          <w:szCs w:val="28"/>
        </w:rPr>
        <w:t>日为准。</w:t>
      </w:r>
    </w:p>
    <w:p>
      <w:pPr>
        <w:pStyle w:val="19"/>
        <w:spacing w:afterLines="100" w:line="500" w:lineRule="exact"/>
        <w:jc w:val="center"/>
        <w:rPr>
          <w:rFonts w:ascii="楷体_GB2312" w:hAnsi="宋体" w:eastAsia="楷体_GB2312"/>
          <w:color w:val="000000" w:themeColor="text1"/>
          <w:kern w:val="3"/>
        </w:rPr>
      </w:pPr>
      <w:bookmarkStart w:id="283" w:name="_Toc191728098"/>
      <w:bookmarkStart w:id="284" w:name="_Toc409442590"/>
      <w:bookmarkStart w:id="285" w:name="_Toc191729658"/>
      <w:bookmarkStart w:id="286" w:name="_Toc6293"/>
      <w:bookmarkStart w:id="287" w:name="_Toc191729976"/>
      <w:bookmarkStart w:id="288" w:name="_Toc452548056"/>
      <w:bookmarkStart w:id="289" w:name="_Toc208398660"/>
      <w:bookmarkStart w:id="290" w:name="_Toc4859"/>
      <w:bookmarkStart w:id="291" w:name="_Toc20898_WPSOffice_Level2"/>
      <w:bookmarkStart w:id="292" w:name="_Toc194389873"/>
      <w:bookmarkStart w:id="293" w:name="_Toc315791210"/>
      <w:r>
        <w:rPr>
          <w:rFonts w:hint="eastAsia" w:ascii="楷体_GB2312" w:hAnsi="宋体" w:eastAsia="楷体_GB2312"/>
          <w:color w:val="000000" w:themeColor="text1"/>
          <w:kern w:val="3"/>
        </w:rPr>
        <w:t>1.7 评价报告使用权声明</w:t>
      </w:r>
      <w:bookmarkEnd w:id="283"/>
      <w:bookmarkEnd w:id="284"/>
      <w:bookmarkEnd w:id="285"/>
      <w:bookmarkEnd w:id="286"/>
      <w:bookmarkEnd w:id="287"/>
      <w:bookmarkEnd w:id="288"/>
      <w:bookmarkEnd w:id="289"/>
      <w:bookmarkEnd w:id="290"/>
      <w:bookmarkEnd w:id="291"/>
      <w:bookmarkEnd w:id="292"/>
      <w:bookmarkEnd w:id="293"/>
    </w:p>
    <w:p>
      <w:pPr>
        <w:adjustRightInd w:val="0"/>
        <w:snapToGrid w:val="0"/>
        <w:spacing w:line="500" w:lineRule="exact"/>
        <w:ind w:firstLine="560" w:firstLineChars="200"/>
        <w:rPr>
          <w:rFonts w:ascii="宋体" w:hAnsi="宋体" w:cs="宋体"/>
          <w:color w:val="000000" w:themeColor="text1"/>
          <w:kern w:val="0"/>
          <w:sz w:val="28"/>
          <w:szCs w:val="28"/>
        </w:rPr>
      </w:pPr>
      <w:r>
        <w:rPr>
          <w:rFonts w:hint="eastAsia" w:ascii="宋体" w:hAnsi="宋体" w:cs="宋体"/>
          <w:color w:val="000000" w:themeColor="text1"/>
          <w:kern w:val="0"/>
          <w:sz w:val="28"/>
          <w:szCs w:val="28"/>
        </w:rPr>
        <w:t>本安全现状评价结论的主要技术支撑依据：被评价单位提供的资料以及本评价机构所采用的评价方法等。当被评价项目的周边环境、总平面布置、安全生产设施和企业管理状况发生变化或超出本评价报告所依据技术支撑或已经超过安全现状评价规定的时限，本评价结论不再成立。当发生这些情况后，建议企业及时委托有资质的安全评价机构重新进行安全评价。</w:t>
      </w:r>
    </w:p>
    <w:p>
      <w:pPr>
        <w:rPr>
          <w:rFonts w:ascii="楷体_GB2312" w:hAnsi="宋体" w:eastAsia="楷体_GB2312"/>
          <w:color w:val="000000" w:themeColor="text1"/>
          <w:kern w:val="3"/>
        </w:rPr>
      </w:pPr>
      <w:bookmarkStart w:id="294" w:name="_Toc4973"/>
      <w:bookmarkStart w:id="295" w:name="_Toc28796"/>
      <w:bookmarkStart w:id="296" w:name="_Toc9917"/>
      <w:bookmarkStart w:id="297" w:name="_Toc28615"/>
      <w:bookmarkStart w:id="298" w:name="_Toc1713"/>
      <w:bookmarkStart w:id="299" w:name="_Toc19352"/>
      <w:bookmarkStart w:id="300" w:name="_Toc11994"/>
      <w:bookmarkStart w:id="301" w:name="_Toc10009"/>
      <w:bookmarkStart w:id="302" w:name="_Toc7225"/>
      <w:bookmarkStart w:id="303" w:name="_Toc4219"/>
      <w:bookmarkStart w:id="304" w:name="_Toc20318"/>
      <w:bookmarkStart w:id="305" w:name="_Toc28945"/>
      <w:bookmarkStart w:id="306" w:name="_Toc23253"/>
      <w:bookmarkStart w:id="307" w:name="_Toc25741"/>
      <w:bookmarkStart w:id="308" w:name="_Toc217444152"/>
      <w:bookmarkStart w:id="309" w:name="_Toc3553"/>
      <w:bookmarkStart w:id="310" w:name="_Toc15434"/>
      <w:r>
        <w:rPr>
          <w:rFonts w:hint="eastAsia" w:ascii="楷体_GB2312" w:hAnsi="宋体" w:eastAsia="楷体_GB2312"/>
          <w:color w:val="000000" w:themeColor="text1"/>
          <w:kern w:val="3"/>
        </w:rPr>
        <w:br w:type="page"/>
      </w:r>
    </w:p>
    <w:p>
      <w:pPr>
        <w:pStyle w:val="19"/>
        <w:spacing w:afterLines="100" w:line="500" w:lineRule="exact"/>
        <w:jc w:val="center"/>
        <w:rPr>
          <w:rFonts w:ascii="楷体_GB2312" w:hAnsi="宋体" w:eastAsia="楷体_GB2312"/>
          <w:color w:val="000000" w:themeColor="text1"/>
          <w:kern w:val="3"/>
        </w:rPr>
      </w:pPr>
      <w:bookmarkStart w:id="311" w:name="_Toc2524_WPSOffice_Level1"/>
      <w:r>
        <w:rPr>
          <w:rFonts w:hint="eastAsia" w:ascii="楷体_GB2312" w:hAnsi="宋体" w:eastAsia="楷体_GB2312"/>
          <w:color w:val="000000" w:themeColor="text1"/>
          <w:kern w:val="3"/>
        </w:rPr>
        <w:t>第2章 评价项目概况</w:t>
      </w:r>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p>
    <w:p>
      <w:pPr>
        <w:pStyle w:val="19"/>
        <w:spacing w:afterLines="100" w:line="500" w:lineRule="exact"/>
        <w:jc w:val="center"/>
        <w:rPr>
          <w:rFonts w:ascii="楷体_GB2312" w:hAnsi="宋体" w:eastAsia="楷体_GB2312"/>
          <w:color w:val="000000" w:themeColor="text1"/>
          <w:kern w:val="3"/>
        </w:rPr>
      </w:pPr>
      <w:bookmarkStart w:id="312" w:name="_Toc1890"/>
      <w:bookmarkStart w:id="313" w:name="_Toc20905"/>
      <w:bookmarkStart w:id="314" w:name="_Toc5768"/>
      <w:bookmarkStart w:id="315" w:name="_Toc1759"/>
      <w:bookmarkStart w:id="316" w:name="_Toc17946"/>
      <w:bookmarkStart w:id="317" w:name="_Toc26889"/>
      <w:bookmarkStart w:id="318" w:name="_Toc18575"/>
      <w:bookmarkStart w:id="319" w:name="_Toc2233"/>
      <w:bookmarkStart w:id="320" w:name="_Toc4633"/>
      <w:bookmarkStart w:id="321" w:name="_Toc31898"/>
      <w:bookmarkStart w:id="322" w:name="_Toc31270"/>
      <w:bookmarkStart w:id="323" w:name="_Toc7376"/>
      <w:bookmarkStart w:id="324" w:name="_Toc13789_WPSOffice_Level2"/>
      <w:bookmarkStart w:id="325" w:name="_Toc16412"/>
      <w:bookmarkStart w:id="326" w:name="_Toc10704"/>
      <w:bookmarkStart w:id="327" w:name="_Toc17677"/>
      <w:bookmarkStart w:id="328" w:name="_Toc22922"/>
      <w:bookmarkStart w:id="329" w:name="_Toc217444154"/>
      <w:bookmarkStart w:id="330" w:name="_Toc191728101"/>
      <w:bookmarkStart w:id="331" w:name="_Toc191729661"/>
      <w:bookmarkStart w:id="332" w:name="_Toc191729979"/>
      <w:bookmarkStart w:id="333" w:name="_Toc194389876"/>
      <w:r>
        <w:rPr>
          <w:rFonts w:hint="eastAsia" w:ascii="楷体_GB2312" w:hAnsi="宋体" w:eastAsia="楷体_GB2312"/>
          <w:color w:val="000000" w:themeColor="text1"/>
          <w:kern w:val="3"/>
        </w:rPr>
        <w:t>2.1</w:t>
      </w:r>
      <w:bookmarkEnd w:id="312"/>
      <w:r>
        <w:rPr>
          <w:rFonts w:hint="eastAsia" w:ascii="楷体_GB2312" w:hAnsi="宋体" w:eastAsia="楷体_GB2312"/>
          <w:color w:val="000000" w:themeColor="text1"/>
          <w:kern w:val="3"/>
        </w:rPr>
        <w:t>企业概况</w:t>
      </w:r>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p>
    <w:p>
      <w:pPr>
        <w:pStyle w:val="25"/>
        <w:spacing w:line="500" w:lineRule="exact"/>
        <w:ind w:firstLine="560" w:firstLineChars="200"/>
        <w:jc w:val="both"/>
        <w:rPr>
          <w:rFonts w:hint="eastAsia"/>
          <w:color w:val="000000" w:themeColor="text1"/>
          <w:sz w:val="28"/>
          <w:szCs w:val="28"/>
          <w:shd w:val="clear" w:color="auto" w:fill="FFFFFF"/>
        </w:rPr>
      </w:pPr>
      <w:r>
        <w:rPr>
          <w:rFonts w:hint="eastAsia"/>
          <w:snapToGrid w:val="0"/>
          <w:color w:val="000000" w:themeColor="text1"/>
          <w:kern w:val="0"/>
          <w:sz w:val="28"/>
          <w:szCs w:val="28"/>
        </w:rPr>
        <w:t>昭通市耀晨甲醇醇油有限公司</w:t>
      </w:r>
      <w:r>
        <w:rPr>
          <w:color w:val="000000" w:themeColor="text1"/>
          <w:sz w:val="28"/>
          <w:szCs w:val="28"/>
          <w:shd w:val="clear" w:color="auto" w:fill="FFFFFF"/>
        </w:rPr>
        <w:t>成立于</w:t>
      </w:r>
      <w:r>
        <w:rPr>
          <w:rFonts w:hint="eastAsia"/>
          <w:color w:val="000000" w:themeColor="text1"/>
          <w:sz w:val="28"/>
          <w:szCs w:val="28"/>
          <w:shd w:val="clear" w:color="auto" w:fill="FFFFFF"/>
        </w:rPr>
        <w:t>2015年</w:t>
      </w:r>
      <w:r>
        <w:rPr>
          <w:color w:val="000000" w:themeColor="text1"/>
          <w:sz w:val="28"/>
          <w:szCs w:val="28"/>
          <w:shd w:val="clear" w:color="auto" w:fill="FFFFFF"/>
        </w:rPr>
        <w:t>，于</w:t>
      </w:r>
      <w:r>
        <w:rPr>
          <w:rFonts w:hint="eastAsia"/>
          <w:snapToGrid w:val="0"/>
          <w:color w:val="000000" w:themeColor="text1"/>
          <w:kern w:val="0"/>
          <w:sz w:val="28"/>
          <w:szCs w:val="28"/>
        </w:rPr>
        <w:t>2018</w:t>
      </w:r>
      <w:r>
        <w:rPr>
          <w:snapToGrid w:val="0"/>
          <w:color w:val="000000" w:themeColor="text1"/>
          <w:kern w:val="0"/>
          <w:sz w:val="28"/>
          <w:szCs w:val="28"/>
        </w:rPr>
        <w:t>年</w:t>
      </w:r>
      <w:r>
        <w:rPr>
          <w:rFonts w:hint="eastAsia"/>
          <w:snapToGrid w:val="0"/>
          <w:color w:val="000000" w:themeColor="text1"/>
          <w:kern w:val="0"/>
          <w:sz w:val="28"/>
          <w:szCs w:val="28"/>
          <w:lang w:val="en-US" w:eastAsia="zh-CN"/>
        </w:rPr>
        <w:t>3</w:t>
      </w:r>
      <w:r>
        <w:rPr>
          <w:snapToGrid w:val="0"/>
          <w:color w:val="000000" w:themeColor="text1"/>
          <w:kern w:val="0"/>
          <w:sz w:val="28"/>
          <w:szCs w:val="28"/>
        </w:rPr>
        <w:t>月</w:t>
      </w:r>
      <w:r>
        <w:rPr>
          <w:rFonts w:hint="eastAsia"/>
          <w:snapToGrid w:val="0"/>
          <w:color w:val="000000" w:themeColor="text1"/>
          <w:kern w:val="0"/>
          <w:sz w:val="28"/>
          <w:szCs w:val="28"/>
          <w:lang w:val="en-US" w:eastAsia="zh-CN"/>
        </w:rPr>
        <w:t>20</w:t>
      </w:r>
      <w:r>
        <w:rPr>
          <w:snapToGrid w:val="0"/>
          <w:color w:val="000000" w:themeColor="text1"/>
          <w:kern w:val="0"/>
          <w:sz w:val="28"/>
          <w:szCs w:val="28"/>
        </w:rPr>
        <w:t>日</w:t>
      </w:r>
      <w:r>
        <w:rPr>
          <w:color w:val="000000" w:themeColor="text1"/>
          <w:sz w:val="28"/>
          <w:szCs w:val="28"/>
          <w:shd w:val="clear" w:color="auto" w:fill="FFFFFF"/>
        </w:rPr>
        <w:t>经</w:t>
      </w:r>
      <w:r>
        <w:rPr>
          <w:rFonts w:hint="eastAsia"/>
          <w:color w:val="000000" w:themeColor="text1"/>
          <w:sz w:val="28"/>
          <w:szCs w:val="28"/>
          <w:shd w:val="clear" w:color="auto" w:fill="FFFFFF"/>
        </w:rPr>
        <w:t>昭通市昭阳区市场监督管理局</w:t>
      </w:r>
      <w:r>
        <w:rPr>
          <w:color w:val="000000" w:themeColor="text1"/>
          <w:sz w:val="28"/>
          <w:szCs w:val="28"/>
          <w:shd w:val="clear" w:color="auto" w:fill="FFFFFF"/>
        </w:rPr>
        <w:t>换发了《营业执照》，统一社会信用代码：</w:t>
      </w:r>
      <w:r>
        <w:rPr>
          <w:rFonts w:hint="eastAsia"/>
          <w:color w:val="000000" w:themeColor="text1"/>
          <w:sz w:val="28"/>
          <w:szCs w:val="28"/>
          <w:shd w:val="clear" w:color="auto" w:fill="FFFFFF"/>
        </w:rPr>
        <w:t>91530602MA6MYFTN7G</w:t>
      </w:r>
      <w:r>
        <w:rPr>
          <w:color w:val="000000" w:themeColor="text1"/>
          <w:sz w:val="28"/>
          <w:szCs w:val="28"/>
          <w:shd w:val="clear" w:color="auto" w:fill="FFFFFF"/>
        </w:rPr>
        <w:t>，注册资本：</w:t>
      </w:r>
      <w:r>
        <w:rPr>
          <w:rFonts w:hint="eastAsia"/>
          <w:snapToGrid w:val="0"/>
          <w:color w:val="000000" w:themeColor="text1"/>
          <w:kern w:val="0"/>
          <w:sz w:val="28"/>
          <w:szCs w:val="28"/>
        </w:rPr>
        <w:t>伍佰万元</w:t>
      </w:r>
      <w:r>
        <w:rPr>
          <w:color w:val="000000" w:themeColor="text1"/>
          <w:sz w:val="28"/>
          <w:szCs w:val="28"/>
          <w:shd w:val="clear" w:color="auto" w:fill="FFFFFF"/>
        </w:rPr>
        <w:t>整，公司类型为有限责任公司</w:t>
      </w:r>
      <w:r>
        <w:rPr>
          <w:snapToGrid w:val="0"/>
          <w:color w:val="000000" w:themeColor="text1"/>
          <w:kern w:val="0"/>
          <w:sz w:val="28"/>
          <w:szCs w:val="28"/>
        </w:rPr>
        <w:t>有限责任公司（自然人</w:t>
      </w:r>
      <w:r>
        <w:rPr>
          <w:rFonts w:hint="eastAsia"/>
          <w:snapToGrid w:val="0"/>
          <w:color w:val="000000" w:themeColor="text1"/>
          <w:kern w:val="0"/>
          <w:sz w:val="28"/>
          <w:szCs w:val="28"/>
        </w:rPr>
        <w:t>独资</w:t>
      </w:r>
      <w:r>
        <w:rPr>
          <w:snapToGrid w:val="0"/>
          <w:color w:val="000000" w:themeColor="text1"/>
          <w:kern w:val="0"/>
          <w:sz w:val="28"/>
          <w:szCs w:val="28"/>
        </w:rPr>
        <w:t>）</w:t>
      </w:r>
      <w:r>
        <w:rPr>
          <w:color w:val="000000" w:themeColor="text1"/>
          <w:sz w:val="28"/>
          <w:szCs w:val="28"/>
          <w:shd w:val="clear" w:color="auto" w:fill="FFFFFF"/>
        </w:rPr>
        <w:t>，公司法人代表为</w:t>
      </w:r>
      <w:r>
        <w:rPr>
          <w:rFonts w:hint="eastAsia"/>
          <w:color w:val="000000" w:themeColor="text1"/>
          <w:sz w:val="28"/>
          <w:szCs w:val="28"/>
          <w:shd w:val="clear" w:color="auto" w:fill="FFFFFF"/>
        </w:rPr>
        <w:t>杨明书</w:t>
      </w:r>
      <w:r>
        <w:rPr>
          <w:color w:val="000000" w:themeColor="text1"/>
          <w:sz w:val="28"/>
          <w:szCs w:val="28"/>
          <w:shd w:val="clear" w:color="auto" w:fill="FFFFFF"/>
        </w:rPr>
        <w:t>，核准经营的范围为：</w:t>
      </w:r>
      <w:r>
        <w:rPr>
          <w:rFonts w:hint="eastAsia"/>
          <w:snapToGrid w:val="0"/>
          <w:color w:val="000000" w:themeColor="text1"/>
          <w:kern w:val="0"/>
          <w:sz w:val="28"/>
          <w:szCs w:val="28"/>
        </w:rPr>
        <w:t>甲醇、生物醇油批发兼零售</w:t>
      </w:r>
      <w:r>
        <w:rPr>
          <w:color w:val="000000" w:themeColor="text1"/>
          <w:sz w:val="28"/>
          <w:szCs w:val="28"/>
          <w:shd w:val="clear" w:color="auto" w:fill="FFFFFF"/>
        </w:rPr>
        <w:t>。</w:t>
      </w:r>
      <w:r>
        <w:rPr>
          <w:rFonts w:hint="eastAsia"/>
          <w:color w:val="000000" w:themeColor="text1"/>
          <w:sz w:val="28"/>
          <w:szCs w:val="28"/>
          <w:shd w:val="clear" w:color="auto" w:fill="FFFFFF"/>
        </w:rPr>
        <w:t>公司</w:t>
      </w:r>
      <w:r>
        <w:rPr>
          <w:color w:val="000000" w:themeColor="text1"/>
          <w:sz w:val="28"/>
          <w:szCs w:val="28"/>
          <w:shd w:val="clear" w:color="auto" w:fill="FFFFFF"/>
        </w:rPr>
        <w:t>于</w:t>
      </w:r>
      <w:r>
        <w:rPr>
          <w:rFonts w:hint="eastAsia"/>
          <w:color w:val="000000" w:themeColor="text1"/>
          <w:sz w:val="28"/>
          <w:szCs w:val="28"/>
          <w:shd w:val="clear" w:color="auto" w:fill="FFFFFF"/>
          <w:lang w:val="en-US" w:eastAsia="zh-CN"/>
        </w:rPr>
        <w:t>2022</w:t>
      </w:r>
      <w:r>
        <w:rPr>
          <w:color w:val="000000" w:themeColor="text1"/>
          <w:sz w:val="28"/>
          <w:szCs w:val="28"/>
          <w:shd w:val="clear" w:color="auto" w:fill="FFFFFF"/>
        </w:rPr>
        <w:t>年</w:t>
      </w:r>
      <w:r>
        <w:rPr>
          <w:rFonts w:hint="eastAsia"/>
          <w:color w:val="000000" w:themeColor="text1"/>
          <w:sz w:val="28"/>
          <w:szCs w:val="28"/>
          <w:shd w:val="clear" w:color="auto" w:fill="FFFFFF"/>
        </w:rPr>
        <w:t>6</w:t>
      </w:r>
      <w:r>
        <w:rPr>
          <w:color w:val="000000" w:themeColor="text1"/>
          <w:sz w:val="28"/>
          <w:szCs w:val="28"/>
          <w:shd w:val="clear" w:color="auto" w:fill="FFFFFF"/>
        </w:rPr>
        <w:t>月</w:t>
      </w:r>
      <w:r>
        <w:rPr>
          <w:rFonts w:hint="eastAsia"/>
          <w:color w:val="000000" w:themeColor="text1"/>
          <w:sz w:val="28"/>
          <w:szCs w:val="28"/>
          <w:shd w:val="clear" w:color="auto" w:fill="FFFFFF"/>
          <w:lang w:val="en-US" w:eastAsia="zh-CN"/>
        </w:rPr>
        <w:t>1</w:t>
      </w:r>
      <w:r>
        <w:rPr>
          <w:rFonts w:hint="eastAsia"/>
          <w:color w:val="000000" w:themeColor="text1"/>
          <w:sz w:val="28"/>
          <w:szCs w:val="28"/>
          <w:shd w:val="clear" w:color="auto" w:fill="FFFFFF"/>
        </w:rPr>
        <w:t>7</w:t>
      </w:r>
      <w:r>
        <w:rPr>
          <w:color w:val="000000" w:themeColor="text1"/>
          <w:sz w:val="28"/>
          <w:szCs w:val="28"/>
          <w:shd w:val="clear" w:color="auto" w:fill="FFFFFF"/>
        </w:rPr>
        <w:t>日取得危险化学品经营许可证（</w:t>
      </w:r>
      <w:r>
        <w:rPr>
          <w:rFonts w:hint="eastAsia"/>
          <w:color w:val="000000" w:themeColor="text1"/>
          <w:sz w:val="28"/>
          <w:szCs w:val="28"/>
          <w:shd w:val="clear" w:color="auto" w:fill="FFFFFF"/>
        </w:rPr>
        <w:t>昭应经字【20</w:t>
      </w:r>
      <w:r>
        <w:rPr>
          <w:rFonts w:hint="eastAsia"/>
          <w:color w:val="000000" w:themeColor="text1"/>
          <w:sz w:val="28"/>
          <w:szCs w:val="28"/>
          <w:shd w:val="clear" w:color="auto" w:fill="FFFFFF"/>
          <w:lang w:val="en-US" w:eastAsia="zh-CN"/>
        </w:rPr>
        <w:t>22</w:t>
      </w:r>
      <w:r>
        <w:rPr>
          <w:rFonts w:hint="eastAsia"/>
          <w:color w:val="000000" w:themeColor="text1"/>
          <w:sz w:val="28"/>
          <w:szCs w:val="28"/>
          <w:shd w:val="clear" w:color="auto" w:fill="FFFFFF"/>
        </w:rPr>
        <w:t>】04</w:t>
      </w:r>
      <w:r>
        <w:rPr>
          <w:rFonts w:hint="eastAsia"/>
          <w:color w:val="000000" w:themeColor="text1"/>
          <w:sz w:val="28"/>
          <w:szCs w:val="28"/>
          <w:shd w:val="clear" w:color="auto" w:fill="FFFFFF"/>
          <w:lang w:val="en-US" w:eastAsia="zh-CN"/>
        </w:rPr>
        <w:t>9</w:t>
      </w:r>
      <w:r>
        <w:rPr>
          <w:color w:val="000000" w:themeColor="text1"/>
          <w:sz w:val="28"/>
          <w:szCs w:val="28"/>
          <w:shd w:val="clear" w:color="auto" w:fill="FFFFFF"/>
        </w:rPr>
        <w:t>号），有效期至</w:t>
      </w:r>
      <w:r>
        <w:rPr>
          <w:rFonts w:hint="eastAsia"/>
          <w:color w:val="000000" w:themeColor="text1"/>
          <w:sz w:val="28"/>
          <w:szCs w:val="28"/>
          <w:shd w:val="clear" w:color="auto" w:fill="FFFFFF"/>
        </w:rPr>
        <w:t>202</w:t>
      </w:r>
      <w:r>
        <w:rPr>
          <w:rFonts w:hint="eastAsia"/>
          <w:color w:val="000000" w:themeColor="text1"/>
          <w:sz w:val="28"/>
          <w:szCs w:val="28"/>
          <w:shd w:val="clear" w:color="auto" w:fill="FFFFFF"/>
          <w:lang w:val="en-US" w:eastAsia="zh-CN"/>
        </w:rPr>
        <w:t>5</w:t>
      </w:r>
      <w:r>
        <w:rPr>
          <w:color w:val="000000" w:themeColor="text1"/>
          <w:sz w:val="28"/>
          <w:szCs w:val="28"/>
          <w:shd w:val="clear" w:color="auto" w:fill="FFFFFF"/>
        </w:rPr>
        <w:t>年</w:t>
      </w:r>
      <w:r>
        <w:rPr>
          <w:rFonts w:hint="eastAsia"/>
          <w:color w:val="000000" w:themeColor="text1"/>
          <w:sz w:val="28"/>
          <w:szCs w:val="28"/>
          <w:shd w:val="clear" w:color="auto" w:fill="FFFFFF"/>
          <w:lang w:val="en-US" w:eastAsia="zh-CN"/>
        </w:rPr>
        <w:t>6</w:t>
      </w:r>
      <w:r>
        <w:rPr>
          <w:color w:val="000000" w:themeColor="text1"/>
          <w:sz w:val="28"/>
          <w:szCs w:val="28"/>
          <w:shd w:val="clear" w:color="auto" w:fill="FFFFFF"/>
        </w:rPr>
        <w:t>月</w:t>
      </w:r>
      <w:r>
        <w:rPr>
          <w:rFonts w:hint="eastAsia"/>
          <w:color w:val="000000" w:themeColor="text1"/>
          <w:sz w:val="28"/>
          <w:szCs w:val="28"/>
          <w:shd w:val="clear" w:color="auto" w:fill="FFFFFF"/>
          <w:lang w:val="en-US" w:eastAsia="zh-CN"/>
        </w:rPr>
        <w:t>1</w:t>
      </w:r>
      <w:r>
        <w:rPr>
          <w:rFonts w:hint="eastAsia"/>
          <w:color w:val="000000" w:themeColor="text1"/>
          <w:sz w:val="28"/>
          <w:szCs w:val="28"/>
          <w:shd w:val="clear" w:color="auto" w:fill="FFFFFF"/>
        </w:rPr>
        <w:t>6日。</w:t>
      </w:r>
    </w:p>
    <w:p>
      <w:pPr>
        <w:pStyle w:val="25"/>
        <w:spacing w:line="500" w:lineRule="exact"/>
        <w:ind w:firstLine="560" w:firstLineChars="200"/>
        <w:jc w:val="both"/>
        <w:rPr>
          <w:rFonts w:ascii="宋体" w:hAnsi="宋体" w:cs="宋体"/>
          <w:color w:val="000000" w:themeColor="text1"/>
          <w:sz w:val="28"/>
          <w:szCs w:val="28"/>
          <w:shd w:val="clear" w:color="auto" w:fill="FFFFFF"/>
        </w:rPr>
      </w:pPr>
      <w:r>
        <w:rPr>
          <w:rFonts w:hint="eastAsia" w:ascii="宋体" w:hAnsi="宋体" w:cs="宋体"/>
          <w:color w:val="000000" w:themeColor="text1"/>
          <w:sz w:val="28"/>
          <w:szCs w:val="28"/>
          <w:shd w:val="clear" w:color="auto" w:fill="FFFFFF"/>
        </w:rPr>
        <w:t>根据现场调查，企业现经营流程为：向有资质的厂家或经销商采购甲醇，经运输至公司甲醇储罐进行储存，甲醇再经加注机分装成25kg/桶后作为燃料向餐饮单位销售。</w:t>
      </w:r>
    </w:p>
    <w:p>
      <w:pPr>
        <w:ind w:firstLine="562" w:firstLineChars="200"/>
        <w:rPr>
          <w:color w:val="000000" w:themeColor="text1"/>
        </w:rPr>
      </w:pPr>
      <w:r>
        <w:rPr>
          <w:rFonts w:hint="eastAsia" w:ascii="宋体" w:hAnsi="宋体"/>
          <w:b/>
          <w:color w:val="000000" w:themeColor="text1"/>
          <w:sz w:val="28"/>
          <w:szCs w:val="28"/>
        </w:rPr>
        <w:t>营业执照</w:t>
      </w:r>
    </w:p>
    <w:bookmarkEnd w:id="329"/>
    <w:bookmarkEnd w:id="330"/>
    <w:bookmarkEnd w:id="331"/>
    <w:bookmarkEnd w:id="332"/>
    <w:bookmarkEnd w:id="333"/>
    <w:p>
      <w:pPr>
        <w:adjustRightInd w:val="0"/>
        <w:snapToGrid w:val="0"/>
        <w:spacing w:line="500" w:lineRule="exact"/>
        <w:ind w:firstLine="560" w:firstLineChars="200"/>
        <w:rPr>
          <w:snapToGrid w:val="0"/>
          <w:color w:val="000000" w:themeColor="text1"/>
          <w:kern w:val="0"/>
          <w:sz w:val="28"/>
          <w:szCs w:val="28"/>
        </w:rPr>
      </w:pPr>
      <w:r>
        <w:rPr>
          <w:snapToGrid w:val="0"/>
          <w:color w:val="000000" w:themeColor="text1"/>
          <w:kern w:val="0"/>
          <w:sz w:val="28"/>
          <w:szCs w:val="28"/>
        </w:rPr>
        <w:t>名    称：</w:t>
      </w:r>
      <w:r>
        <w:rPr>
          <w:rFonts w:hint="eastAsia"/>
          <w:snapToGrid w:val="0"/>
          <w:color w:val="000000" w:themeColor="text1"/>
          <w:kern w:val="0"/>
          <w:sz w:val="28"/>
          <w:szCs w:val="28"/>
        </w:rPr>
        <w:t>昭通市耀晨甲醇醇油有限公司</w:t>
      </w:r>
    </w:p>
    <w:p>
      <w:pPr>
        <w:adjustRightInd w:val="0"/>
        <w:snapToGrid w:val="0"/>
        <w:spacing w:line="500" w:lineRule="exact"/>
        <w:ind w:firstLine="560" w:firstLineChars="200"/>
        <w:rPr>
          <w:snapToGrid w:val="0"/>
          <w:color w:val="000000" w:themeColor="text1"/>
          <w:kern w:val="0"/>
          <w:sz w:val="28"/>
          <w:szCs w:val="28"/>
        </w:rPr>
      </w:pPr>
      <w:r>
        <w:rPr>
          <w:snapToGrid w:val="0"/>
          <w:color w:val="000000" w:themeColor="text1"/>
          <w:kern w:val="0"/>
          <w:sz w:val="28"/>
          <w:szCs w:val="28"/>
        </w:rPr>
        <w:t>住    所：</w:t>
      </w:r>
      <w:r>
        <w:rPr>
          <w:rFonts w:hint="eastAsia"/>
          <w:snapToGrid w:val="0"/>
          <w:color w:val="000000" w:themeColor="text1"/>
          <w:kern w:val="0"/>
          <w:sz w:val="28"/>
          <w:szCs w:val="28"/>
        </w:rPr>
        <w:t>云南省昭通市昭阳区太平办事处桃源社区三社88号</w:t>
      </w:r>
    </w:p>
    <w:p>
      <w:pPr>
        <w:adjustRightInd w:val="0"/>
        <w:snapToGrid w:val="0"/>
        <w:spacing w:line="500" w:lineRule="exact"/>
        <w:ind w:firstLine="560" w:firstLineChars="200"/>
        <w:rPr>
          <w:snapToGrid w:val="0"/>
          <w:color w:val="000000" w:themeColor="text1"/>
          <w:kern w:val="0"/>
          <w:sz w:val="28"/>
          <w:szCs w:val="28"/>
        </w:rPr>
      </w:pPr>
      <w:r>
        <w:rPr>
          <w:snapToGrid w:val="0"/>
          <w:color w:val="000000" w:themeColor="text1"/>
          <w:kern w:val="0"/>
          <w:sz w:val="28"/>
          <w:szCs w:val="28"/>
        </w:rPr>
        <w:t>法人代表：</w:t>
      </w:r>
      <w:r>
        <w:rPr>
          <w:rFonts w:hint="eastAsia"/>
          <w:snapToGrid w:val="0"/>
          <w:color w:val="000000" w:themeColor="text1"/>
          <w:kern w:val="0"/>
          <w:sz w:val="28"/>
          <w:szCs w:val="28"/>
        </w:rPr>
        <w:t>杨明书</w:t>
      </w:r>
    </w:p>
    <w:p>
      <w:pPr>
        <w:adjustRightInd w:val="0"/>
        <w:snapToGrid w:val="0"/>
        <w:spacing w:line="500" w:lineRule="exact"/>
        <w:ind w:firstLine="560" w:firstLineChars="200"/>
        <w:rPr>
          <w:snapToGrid w:val="0"/>
          <w:color w:val="000000" w:themeColor="text1"/>
          <w:kern w:val="0"/>
          <w:sz w:val="28"/>
          <w:szCs w:val="28"/>
        </w:rPr>
      </w:pPr>
      <w:r>
        <w:rPr>
          <w:snapToGrid w:val="0"/>
          <w:color w:val="000000" w:themeColor="text1"/>
          <w:kern w:val="0"/>
          <w:sz w:val="28"/>
          <w:szCs w:val="28"/>
        </w:rPr>
        <w:t>类型：有限责任公司（自然人</w:t>
      </w:r>
      <w:r>
        <w:rPr>
          <w:rFonts w:hint="eastAsia"/>
          <w:snapToGrid w:val="0"/>
          <w:color w:val="000000" w:themeColor="text1"/>
          <w:kern w:val="0"/>
          <w:sz w:val="28"/>
          <w:szCs w:val="28"/>
        </w:rPr>
        <w:t>独资</w:t>
      </w:r>
      <w:r>
        <w:rPr>
          <w:snapToGrid w:val="0"/>
          <w:color w:val="000000" w:themeColor="text1"/>
          <w:kern w:val="0"/>
          <w:sz w:val="28"/>
          <w:szCs w:val="28"/>
        </w:rPr>
        <w:t>）</w:t>
      </w:r>
    </w:p>
    <w:p>
      <w:pPr>
        <w:adjustRightInd w:val="0"/>
        <w:snapToGrid w:val="0"/>
        <w:spacing w:line="500" w:lineRule="exact"/>
        <w:ind w:firstLine="560" w:firstLineChars="200"/>
        <w:rPr>
          <w:snapToGrid w:val="0"/>
          <w:color w:val="000000" w:themeColor="text1"/>
          <w:kern w:val="0"/>
          <w:sz w:val="28"/>
          <w:szCs w:val="28"/>
        </w:rPr>
      </w:pPr>
      <w:r>
        <w:rPr>
          <w:snapToGrid w:val="0"/>
          <w:color w:val="000000" w:themeColor="text1"/>
          <w:kern w:val="0"/>
          <w:sz w:val="28"/>
          <w:szCs w:val="28"/>
        </w:rPr>
        <w:t>注册资本：</w:t>
      </w:r>
      <w:r>
        <w:rPr>
          <w:rFonts w:hint="eastAsia"/>
          <w:snapToGrid w:val="0"/>
          <w:color w:val="000000" w:themeColor="text1"/>
          <w:kern w:val="0"/>
          <w:sz w:val="28"/>
          <w:szCs w:val="28"/>
        </w:rPr>
        <w:t>伍佰万元整</w:t>
      </w:r>
    </w:p>
    <w:p>
      <w:pPr>
        <w:adjustRightInd w:val="0"/>
        <w:snapToGrid w:val="0"/>
        <w:spacing w:line="500" w:lineRule="exact"/>
        <w:ind w:firstLine="560" w:firstLineChars="200"/>
        <w:rPr>
          <w:snapToGrid w:val="0"/>
          <w:color w:val="000000" w:themeColor="text1"/>
          <w:kern w:val="0"/>
          <w:sz w:val="28"/>
          <w:szCs w:val="28"/>
        </w:rPr>
      </w:pPr>
      <w:r>
        <w:rPr>
          <w:snapToGrid w:val="0"/>
          <w:color w:val="000000" w:themeColor="text1"/>
          <w:kern w:val="0"/>
          <w:sz w:val="28"/>
          <w:szCs w:val="28"/>
        </w:rPr>
        <w:t>成立时间：</w:t>
      </w:r>
      <w:r>
        <w:rPr>
          <w:rFonts w:hint="eastAsia"/>
          <w:snapToGrid w:val="0"/>
          <w:color w:val="000000" w:themeColor="text1"/>
          <w:kern w:val="0"/>
          <w:sz w:val="28"/>
          <w:szCs w:val="28"/>
        </w:rPr>
        <w:t>2018</w:t>
      </w:r>
      <w:r>
        <w:rPr>
          <w:snapToGrid w:val="0"/>
          <w:color w:val="000000" w:themeColor="text1"/>
          <w:kern w:val="0"/>
          <w:sz w:val="28"/>
          <w:szCs w:val="28"/>
        </w:rPr>
        <w:t>年</w:t>
      </w:r>
      <w:r>
        <w:rPr>
          <w:rFonts w:hint="eastAsia"/>
          <w:snapToGrid w:val="0"/>
          <w:color w:val="000000" w:themeColor="text1"/>
          <w:kern w:val="0"/>
          <w:sz w:val="28"/>
          <w:szCs w:val="28"/>
        </w:rPr>
        <w:t>01</w:t>
      </w:r>
      <w:r>
        <w:rPr>
          <w:snapToGrid w:val="0"/>
          <w:color w:val="000000" w:themeColor="text1"/>
          <w:kern w:val="0"/>
          <w:sz w:val="28"/>
          <w:szCs w:val="28"/>
        </w:rPr>
        <w:t>月</w:t>
      </w:r>
      <w:r>
        <w:rPr>
          <w:rFonts w:hint="eastAsia"/>
          <w:snapToGrid w:val="0"/>
          <w:color w:val="000000" w:themeColor="text1"/>
          <w:kern w:val="0"/>
          <w:sz w:val="28"/>
          <w:szCs w:val="28"/>
        </w:rPr>
        <w:t>01</w:t>
      </w:r>
      <w:r>
        <w:rPr>
          <w:snapToGrid w:val="0"/>
          <w:color w:val="000000" w:themeColor="text1"/>
          <w:kern w:val="0"/>
          <w:sz w:val="28"/>
          <w:szCs w:val="28"/>
        </w:rPr>
        <w:t>日</w:t>
      </w:r>
    </w:p>
    <w:p>
      <w:pPr>
        <w:adjustRightInd w:val="0"/>
        <w:snapToGrid w:val="0"/>
        <w:spacing w:line="500" w:lineRule="exact"/>
        <w:ind w:firstLine="560" w:firstLineChars="200"/>
        <w:rPr>
          <w:snapToGrid w:val="0"/>
          <w:color w:val="000000" w:themeColor="text1"/>
          <w:kern w:val="0"/>
          <w:sz w:val="28"/>
          <w:szCs w:val="28"/>
        </w:rPr>
      </w:pPr>
      <w:r>
        <w:rPr>
          <w:snapToGrid w:val="0"/>
          <w:color w:val="000000" w:themeColor="text1"/>
          <w:kern w:val="0"/>
          <w:sz w:val="28"/>
          <w:szCs w:val="28"/>
        </w:rPr>
        <w:t>营业期限：201</w:t>
      </w:r>
      <w:r>
        <w:rPr>
          <w:rFonts w:hint="eastAsia"/>
          <w:snapToGrid w:val="0"/>
          <w:color w:val="000000" w:themeColor="text1"/>
          <w:kern w:val="0"/>
          <w:sz w:val="28"/>
          <w:szCs w:val="28"/>
        </w:rPr>
        <w:t>8</w:t>
      </w:r>
      <w:r>
        <w:rPr>
          <w:snapToGrid w:val="0"/>
          <w:color w:val="000000" w:themeColor="text1"/>
          <w:kern w:val="0"/>
          <w:sz w:val="28"/>
          <w:szCs w:val="28"/>
        </w:rPr>
        <w:t>年</w:t>
      </w:r>
      <w:r>
        <w:rPr>
          <w:rFonts w:hint="eastAsia"/>
          <w:snapToGrid w:val="0"/>
          <w:color w:val="000000" w:themeColor="text1"/>
          <w:kern w:val="0"/>
          <w:sz w:val="28"/>
          <w:szCs w:val="28"/>
        </w:rPr>
        <w:t>01</w:t>
      </w:r>
      <w:r>
        <w:rPr>
          <w:snapToGrid w:val="0"/>
          <w:color w:val="000000" w:themeColor="text1"/>
          <w:kern w:val="0"/>
          <w:sz w:val="28"/>
          <w:szCs w:val="28"/>
        </w:rPr>
        <w:t>月</w:t>
      </w:r>
      <w:r>
        <w:rPr>
          <w:rFonts w:hint="eastAsia"/>
          <w:snapToGrid w:val="0"/>
          <w:color w:val="000000" w:themeColor="text1"/>
          <w:kern w:val="0"/>
          <w:sz w:val="28"/>
          <w:szCs w:val="28"/>
        </w:rPr>
        <w:t>01</w:t>
      </w:r>
      <w:r>
        <w:rPr>
          <w:snapToGrid w:val="0"/>
          <w:color w:val="000000" w:themeColor="text1"/>
          <w:kern w:val="0"/>
          <w:sz w:val="28"/>
          <w:szCs w:val="28"/>
        </w:rPr>
        <w:t>日至20</w:t>
      </w:r>
      <w:r>
        <w:rPr>
          <w:rFonts w:hint="eastAsia"/>
          <w:snapToGrid w:val="0"/>
          <w:color w:val="000000" w:themeColor="text1"/>
          <w:kern w:val="0"/>
          <w:sz w:val="28"/>
          <w:szCs w:val="28"/>
        </w:rPr>
        <w:t>47</w:t>
      </w:r>
      <w:r>
        <w:rPr>
          <w:snapToGrid w:val="0"/>
          <w:color w:val="000000" w:themeColor="text1"/>
          <w:kern w:val="0"/>
          <w:sz w:val="28"/>
          <w:szCs w:val="28"/>
        </w:rPr>
        <w:t>年</w:t>
      </w:r>
      <w:r>
        <w:rPr>
          <w:rFonts w:hint="eastAsia"/>
          <w:snapToGrid w:val="0"/>
          <w:color w:val="000000" w:themeColor="text1"/>
          <w:kern w:val="0"/>
          <w:sz w:val="28"/>
          <w:szCs w:val="28"/>
        </w:rPr>
        <w:t>12</w:t>
      </w:r>
      <w:r>
        <w:rPr>
          <w:snapToGrid w:val="0"/>
          <w:color w:val="000000" w:themeColor="text1"/>
          <w:kern w:val="0"/>
          <w:sz w:val="28"/>
          <w:szCs w:val="28"/>
        </w:rPr>
        <w:t>月</w:t>
      </w:r>
      <w:r>
        <w:rPr>
          <w:rFonts w:hint="eastAsia"/>
          <w:snapToGrid w:val="0"/>
          <w:color w:val="000000" w:themeColor="text1"/>
          <w:kern w:val="0"/>
          <w:sz w:val="28"/>
          <w:szCs w:val="28"/>
        </w:rPr>
        <w:t>31</w:t>
      </w:r>
      <w:r>
        <w:rPr>
          <w:snapToGrid w:val="0"/>
          <w:color w:val="000000" w:themeColor="text1"/>
          <w:kern w:val="0"/>
          <w:sz w:val="28"/>
          <w:szCs w:val="28"/>
        </w:rPr>
        <w:t>日</w:t>
      </w:r>
    </w:p>
    <w:p>
      <w:pPr>
        <w:adjustRightInd w:val="0"/>
        <w:snapToGrid w:val="0"/>
        <w:spacing w:line="500" w:lineRule="exact"/>
        <w:ind w:firstLine="560" w:firstLineChars="200"/>
        <w:rPr>
          <w:snapToGrid w:val="0"/>
          <w:color w:val="000000" w:themeColor="text1"/>
          <w:kern w:val="0"/>
          <w:sz w:val="28"/>
          <w:szCs w:val="28"/>
        </w:rPr>
      </w:pPr>
      <w:r>
        <w:rPr>
          <w:snapToGrid w:val="0"/>
          <w:color w:val="000000" w:themeColor="text1"/>
          <w:kern w:val="0"/>
          <w:sz w:val="28"/>
          <w:szCs w:val="28"/>
        </w:rPr>
        <w:t>经营范围：</w:t>
      </w:r>
      <w:r>
        <w:rPr>
          <w:rFonts w:hint="eastAsia"/>
          <w:snapToGrid w:val="0"/>
          <w:color w:val="000000" w:themeColor="text1"/>
          <w:kern w:val="0"/>
          <w:sz w:val="28"/>
          <w:szCs w:val="28"/>
        </w:rPr>
        <w:t>甲醇、生物醇油批发兼零售</w:t>
      </w:r>
      <w:r>
        <w:rPr>
          <w:snapToGrid w:val="0"/>
          <w:color w:val="000000" w:themeColor="text1"/>
          <w:kern w:val="0"/>
          <w:sz w:val="28"/>
          <w:szCs w:val="28"/>
        </w:rPr>
        <w:t>。（依法须经批准的项目，经相关部门批准后方可开展经营活动）。</w:t>
      </w:r>
    </w:p>
    <w:p>
      <w:pPr>
        <w:spacing w:line="500" w:lineRule="exact"/>
        <w:ind w:firstLine="562" w:firstLineChars="200"/>
        <w:rPr>
          <w:rFonts w:ascii="宋体" w:hAnsi="宋体"/>
          <w:b/>
          <w:color w:val="000000" w:themeColor="text1"/>
          <w:sz w:val="28"/>
          <w:szCs w:val="28"/>
        </w:rPr>
      </w:pPr>
      <w:r>
        <w:rPr>
          <w:rFonts w:hint="eastAsia" w:ascii="宋体" w:hAnsi="宋体"/>
          <w:b/>
          <w:color w:val="000000" w:themeColor="text1"/>
          <w:sz w:val="28"/>
          <w:szCs w:val="28"/>
        </w:rPr>
        <w:t>危险化学品经营许可证</w:t>
      </w:r>
    </w:p>
    <w:p>
      <w:pPr>
        <w:spacing w:line="500" w:lineRule="exact"/>
        <w:ind w:firstLine="560" w:firstLineChars="200"/>
        <w:rPr>
          <w:rFonts w:ascii="宋体" w:hAnsi="宋体"/>
          <w:color w:val="000000" w:themeColor="text1"/>
          <w:sz w:val="28"/>
          <w:szCs w:val="28"/>
        </w:rPr>
      </w:pPr>
      <w:r>
        <w:rPr>
          <w:rFonts w:hint="eastAsia" w:ascii="宋体" w:hAnsi="宋体"/>
          <w:color w:val="000000" w:themeColor="text1"/>
          <w:sz w:val="28"/>
          <w:szCs w:val="28"/>
        </w:rPr>
        <w:t>证号：昭安经字【20</w:t>
      </w:r>
      <w:r>
        <w:rPr>
          <w:rFonts w:hint="eastAsia" w:ascii="宋体" w:hAnsi="宋体"/>
          <w:color w:val="000000" w:themeColor="text1"/>
          <w:sz w:val="28"/>
          <w:szCs w:val="28"/>
          <w:lang w:val="en-US" w:eastAsia="zh-CN"/>
        </w:rPr>
        <w:t>22</w:t>
      </w:r>
      <w:r>
        <w:rPr>
          <w:rFonts w:hint="eastAsia" w:ascii="宋体" w:hAnsi="宋体"/>
          <w:color w:val="000000" w:themeColor="text1"/>
          <w:sz w:val="28"/>
          <w:szCs w:val="28"/>
        </w:rPr>
        <w:t>】04</w:t>
      </w:r>
      <w:r>
        <w:rPr>
          <w:rFonts w:hint="eastAsia" w:ascii="宋体" w:hAnsi="宋体"/>
          <w:color w:val="000000" w:themeColor="text1"/>
          <w:sz w:val="28"/>
          <w:szCs w:val="28"/>
          <w:lang w:val="en-US" w:eastAsia="zh-CN"/>
        </w:rPr>
        <w:t>9</w:t>
      </w:r>
      <w:r>
        <w:rPr>
          <w:rFonts w:hint="eastAsia" w:ascii="宋体" w:hAnsi="宋体"/>
          <w:color w:val="000000" w:themeColor="text1"/>
          <w:sz w:val="28"/>
          <w:szCs w:val="28"/>
        </w:rPr>
        <w:t>号</w:t>
      </w:r>
    </w:p>
    <w:p>
      <w:pPr>
        <w:spacing w:line="500" w:lineRule="exact"/>
        <w:ind w:firstLine="560" w:firstLineChars="200"/>
        <w:rPr>
          <w:rFonts w:ascii="宋体" w:hAnsi="宋体"/>
          <w:color w:val="000000" w:themeColor="text1"/>
          <w:sz w:val="28"/>
          <w:szCs w:val="28"/>
        </w:rPr>
      </w:pPr>
      <w:r>
        <w:rPr>
          <w:rFonts w:hint="eastAsia" w:ascii="宋体" w:hAnsi="宋体"/>
          <w:color w:val="000000" w:themeColor="text1"/>
          <w:sz w:val="28"/>
          <w:szCs w:val="28"/>
        </w:rPr>
        <w:t>企业名称：</w:t>
      </w:r>
      <w:r>
        <w:rPr>
          <w:rFonts w:hint="eastAsia"/>
          <w:snapToGrid w:val="0"/>
          <w:color w:val="000000" w:themeColor="text1"/>
          <w:kern w:val="0"/>
          <w:sz w:val="28"/>
          <w:szCs w:val="28"/>
        </w:rPr>
        <w:t>昭通市耀晨甲醇醇油有限公司</w:t>
      </w:r>
    </w:p>
    <w:p>
      <w:pPr>
        <w:spacing w:line="500" w:lineRule="exact"/>
        <w:ind w:firstLine="560" w:firstLineChars="200"/>
        <w:rPr>
          <w:rFonts w:ascii="宋体" w:hAnsi="宋体"/>
          <w:color w:val="000000" w:themeColor="text1"/>
          <w:sz w:val="28"/>
          <w:szCs w:val="28"/>
        </w:rPr>
      </w:pPr>
      <w:r>
        <w:rPr>
          <w:rFonts w:hint="eastAsia" w:ascii="宋体" w:hAnsi="宋体"/>
          <w:color w:val="000000" w:themeColor="text1"/>
          <w:sz w:val="28"/>
          <w:szCs w:val="28"/>
        </w:rPr>
        <w:t>企业法定代表人：</w:t>
      </w:r>
      <w:r>
        <w:rPr>
          <w:rFonts w:hint="eastAsia"/>
          <w:snapToGrid w:val="0"/>
          <w:color w:val="000000" w:themeColor="text1"/>
          <w:kern w:val="0"/>
          <w:sz w:val="28"/>
          <w:szCs w:val="28"/>
        </w:rPr>
        <w:t>杨明书</w:t>
      </w:r>
    </w:p>
    <w:p>
      <w:pPr>
        <w:spacing w:line="500" w:lineRule="exact"/>
        <w:ind w:firstLine="560" w:firstLineChars="200"/>
        <w:rPr>
          <w:rFonts w:ascii="宋体" w:hAnsi="宋体"/>
          <w:color w:val="000000" w:themeColor="text1"/>
          <w:sz w:val="28"/>
          <w:szCs w:val="28"/>
        </w:rPr>
      </w:pPr>
      <w:r>
        <w:rPr>
          <w:rFonts w:hint="eastAsia" w:ascii="宋体" w:hAnsi="宋体"/>
          <w:color w:val="000000" w:themeColor="text1"/>
          <w:sz w:val="28"/>
          <w:szCs w:val="28"/>
        </w:rPr>
        <w:t>经营方式：批发、零售</w:t>
      </w:r>
    </w:p>
    <w:p>
      <w:pPr>
        <w:spacing w:line="500" w:lineRule="exact"/>
        <w:ind w:firstLine="560" w:firstLineChars="200"/>
        <w:rPr>
          <w:rFonts w:ascii="宋体" w:hAnsi="宋体"/>
          <w:color w:val="000000" w:themeColor="text1"/>
          <w:sz w:val="28"/>
          <w:szCs w:val="28"/>
        </w:rPr>
      </w:pPr>
      <w:r>
        <w:rPr>
          <w:rFonts w:hint="eastAsia" w:ascii="宋体" w:hAnsi="宋体"/>
          <w:color w:val="000000" w:themeColor="text1"/>
          <w:sz w:val="28"/>
          <w:szCs w:val="28"/>
        </w:rPr>
        <w:t>许可范围：甲醇</w:t>
      </w:r>
    </w:p>
    <w:p>
      <w:pPr>
        <w:spacing w:line="500" w:lineRule="exact"/>
        <w:ind w:firstLine="560" w:firstLineChars="200"/>
        <w:rPr>
          <w:snapToGrid w:val="0"/>
          <w:color w:val="000000" w:themeColor="text1"/>
          <w:kern w:val="20"/>
          <w:sz w:val="28"/>
        </w:rPr>
      </w:pPr>
      <w:r>
        <w:rPr>
          <w:rFonts w:hint="eastAsia" w:ascii="宋体" w:hAnsi="宋体"/>
          <w:color w:val="000000" w:themeColor="text1"/>
          <w:sz w:val="28"/>
          <w:szCs w:val="28"/>
        </w:rPr>
        <w:t>有效期：</w:t>
      </w:r>
      <w:r>
        <w:rPr>
          <w:rFonts w:hint="eastAsia" w:ascii="宋体" w:hAnsi="宋体"/>
          <w:color w:val="000000" w:themeColor="text1"/>
          <w:sz w:val="28"/>
        </w:rPr>
        <w:t>20</w:t>
      </w:r>
      <w:r>
        <w:rPr>
          <w:rFonts w:hint="eastAsia" w:ascii="宋体" w:hAnsi="宋体"/>
          <w:color w:val="000000" w:themeColor="text1"/>
          <w:sz w:val="28"/>
          <w:lang w:val="en-US" w:eastAsia="zh-CN"/>
        </w:rPr>
        <w:t>22</w:t>
      </w:r>
      <w:r>
        <w:rPr>
          <w:rFonts w:hint="eastAsia" w:ascii="宋体" w:hAnsi="宋体"/>
          <w:color w:val="000000" w:themeColor="text1"/>
          <w:sz w:val="28"/>
        </w:rPr>
        <w:t>年6月</w:t>
      </w:r>
      <w:r>
        <w:rPr>
          <w:rFonts w:hint="eastAsia" w:ascii="宋体" w:hAnsi="宋体"/>
          <w:color w:val="000000" w:themeColor="text1"/>
          <w:sz w:val="28"/>
          <w:lang w:val="en-US" w:eastAsia="zh-CN"/>
        </w:rPr>
        <w:t>1</w:t>
      </w:r>
      <w:r>
        <w:rPr>
          <w:rFonts w:hint="eastAsia" w:ascii="宋体" w:hAnsi="宋体"/>
          <w:color w:val="000000" w:themeColor="text1"/>
          <w:sz w:val="28"/>
        </w:rPr>
        <w:t>7日</w:t>
      </w:r>
      <w:r>
        <w:rPr>
          <w:rFonts w:hint="eastAsia"/>
          <w:snapToGrid w:val="0"/>
          <w:color w:val="000000" w:themeColor="text1"/>
          <w:kern w:val="20"/>
          <w:sz w:val="28"/>
        </w:rPr>
        <w:t>至</w:t>
      </w:r>
      <w:r>
        <w:rPr>
          <w:rFonts w:hint="eastAsia" w:ascii="宋体" w:hAnsi="宋体"/>
          <w:color w:val="000000" w:themeColor="text1"/>
          <w:sz w:val="28"/>
        </w:rPr>
        <w:t>202</w:t>
      </w:r>
      <w:r>
        <w:rPr>
          <w:rFonts w:hint="eastAsia" w:ascii="宋体" w:hAnsi="宋体"/>
          <w:color w:val="000000" w:themeColor="text1"/>
          <w:sz w:val="28"/>
          <w:lang w:val="en-US" w:eastAsia="zh-CN"/>
        </w:rPr>
        <w:t>5</w:t>
      </w:r>
      <w:r>
        <w:rPr>
          <w:rFonts w:hint="eastAsia" w:ascii="宋体" w:hAnsi="宋体"/>
          <w:color w:val="000000" w:themeColor="text1"/>
          <w:sz w:val="28"/>
        </w:rPr>
        <w:t>年6月</w:t>
      </w:r>
      <w:r>
        <w:rPr>
          <w:rFonts w:hint="eastAsia" w:ascii="宋体" w:hAnsi="宋体"/>
          <w:color w:val="000000" w:themeColor="text1"/>
          <w:sz w:val="28"/>
          <w:lang w:val="en-US" w:eastAsia="zh-CN"/>
        </w:rPr>
        <w:t>1</w:t>
      </w:r>
      <w:r>
        <w:rPr>
          <w:rFonts w:hint="eastAsia" w:ascii="宋体" w:hAnsi="宋体"/>
          <w:color w:val="000000" w:themeColor="text1"/>
          <w:sz w:val="28"/>
        </w:rPr>
        <w:t>6日</w:t>
      </w:r>
    </w:p>
    <w:p>
      <w:pPr>
        <w:pStyle w:val="19"/>
        <w:spacing w:afterLines="100" w:line="500" w:lineRule="exact"/>
        <w:jc w:val="center"/>
        <w:rPr>
          <w:rFonts w:ascii="楷体_GB2312" w:hAnsi="宋体" w:eastAsia="楷体_GB2312"/>
          <w:color w:val="000000" w:themeColor="text1"/>
          <w:kern w:val="3"/>
        </w:rPr>
      </w:pPr>
      <w:bookmarkStart w:id="334" w:name="_Toc25761"/>
      <w:bookmarkStart w:id="335" w:name="_Toc4644"/>
      <w:bookmarkStart w:id="336" w:name="_Toc14603_WPSOffice_Level2"/>
      <w:bookmarkStart w:id="337" w:name="_Toc30098"/>
      <w:bookmarkStart w:id="338" w:name="_Toc1617"/>
      <w:bookmarkStart w:id="339" w:name="_Toc13225"/>
      <w:bookmarkStart w:id="340" w:name="_Toc5315"/>
      <w:bookmarkStart w:id="341" w:name="_Toc10487"/>
      <w:bookmarkStart w:id="342" w:name="_Toc12916"/>
      <w:bookmarkStart w:id="343" w:name="_Toc14618"/>
      <w:bookmarkStart w:id="344" w:name="_Toc13106"/>
      <w:bookmarkStart w:id="345" w:name="_Toc27076"/>
      <w:bookmarkStart w:id="346" w:name="_Toc3249"/>
      <w:bookmarkStart w:id="347" w:name="_Toc28350"/>
      <w:bookmarkStart w:id="348" w:name="_Toc21050"/>
      <w:bookmarkStart w:id="349" w:name="_Toc28381"/>
      <w:r>
        <w:rPr>
          <w:rFonts w:hint="eastAsia" w:ascii="楷体_GB2312" w:hAnsi="宋体" w:eastAsia="楷体_GB2312"/>
          <w:color w:val="000000" w:themeColor="text1"/>
          <w:kern w:val="3"/>
        </w:rPr>
        <w:t>2.2项目概况</w:t>
      </w:r>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p>
    <w:p>
      <w:pPr>
        <w:pStyle w:val="19"/>
        <w:spacing w:afterLines="100" w:line="500" w:lineRule="exact"/>
        <w:rPr>
          <w:rFonts w:ascii="黑体" w:hAnsi="宋体" w:eastAsia="黑体"/>
          <w:color w:val="000000" w:themeColor="text1"/>
          <w:kern w:val="3"/>
          <w:sz w:val="28"/>
          <w:szCs w:val="28"/>
        </w:rPr>
      </w:pPr>
      <w:bookmarkStart w:id="350" w:name="_Toc26325"/>
      <w:bookmarkStart w:id="351" w:name="_Toc3308"/>
      <w:bookmarkStart w:id="352" w:name="_Toc31965"/>
      <w:bookmarkStart w:id="353" w:name="_Toc21459"/>
      <w:bookmarkStart w:id="354" w:name="_Toc17008"/>
      <w:bookmarkStart w:id="355" w:name="_Toc7325"/>
      <w:bookmarkStart w:id="356" w:name="_Toc240"/>
      <w:bookmarkStart w:id="357" w:name="_Toc11333"/>
      <w:bookmarkStart w:id="358" w:name="_Toc25906"/>
      <w:bookmarkStart w:id="359" w:name="_Toc69312227"/>
      <w:bookmarkStart w:id="360" w:name="_Toc1442"/>
      <w:r>
        <w:rPr>
          <w:rFonts w:hint="eastAsia" w:ascii="黑体" w:hAnsi="宋体" w:eastAsia="黑体"/>
          <w:color w:val="000000" w:themeColor="text1"/>
          <w:kern w:val="3"/>
          <w:sz w:val="28"/>
          <w:szCs w:val="28"/>
        </w:rPr>
        <w:t>2.2.1项目简介</w:t>
      </w:r>
      <w:bookmarkEnd w:id="350"/>
      <w:bookmarkEnd w:id="351"/>
      <w:bookmarkEnd w:id="352"/>
      <w:bookmarkEnd w:id="353"/>
      <w:bookmarkEnd w:id="354"/>
      <w:bookmarkEnd w:id="355"/>
      <w:bookmarkEnd w:id="356"/>
      <w:bookmarkEnd w:id="357"/>
      <w:bookmarkEnd w:id="358"/>
      <w:bookmarkEnd w:id="359"/>
      <w:bookmarkEnd w:id="360"/>
    </w:p>
    <w:p>
      <w:pPr>
        <w:pStyle w:val="25"/>
        <w:spacing w:line="500" w:lineRule="exact"/>
        <w:ind w:firstLine="560" w:firstLineChars="200"/>
        <w:jc w:val="both"/>
        <w:rPr>
          <w:rFonts w:ascii="宋体" w:hAnsi="宋体" w:cs="宋体"/>
          <w:color w:val="000000" w:themeColor="text1"/>
          <w:sz w:val="28"/>
          <w:szCs w:val="28"/>
          <w:shd w:val="clear" w:color="auto" w:fill="FFFFFF"/>
        </w:rPr>
      </w:pPr>
      <w:bookmarkStart w:id="361" w:name="_Toc194389877"/>
      <w:bookmarkStart w:id="362" w:name="_Toc24108"/>
      <w:bookmarkStart w:id="363" w:name="_Toc191728102"/>
      <w:bookmarkStart w:id="364" w:name="_Toc217444155"/>
      <w:bookmarkStart w:id="365" w:name="_Toc191729662"/>
      <w:bookmarkStart w:id="366" w:name="_Toc191729980"/>
      <w:r>
        <w:rPr>
          <w:rFonts w:hint="eastAsia" w:ascii="宋体" w:hAnsi="宋体" w:cs="仿宋"/>
          <w:color w:val="000000" w:themeColor="text1"/>
          <w:sz w:val="28"/>
        </w:rPr>
        <w:t>昭通市耀晨甲醇醇油有限公司占地为900㎡，总建筑面积为361.95㎡（其中加注区占地面积83.2㎡，储罐区占地面积78.75㎡，其他利用区域200㎡（含配电、值班室及办公室等））。公司甲醇储罐区现有50m³甲醇埋地储罐1个、30m³甲醇埋地储罐1个，两个甲醇储罐采用卧式埋地储罐，储罐区周围设置高于地面0.5m的围堰，罐体周围填充中性沙或细土，罐顶的覆土厚度为0.5m，并在埋地储罐人口处设置操作井</w:t>
      </w:r>
      <w:r>
        <w:rPr>
          <w:rFonts w:hint="eastAsia" w:ascii="宋体" w:hAnsi="宋体" w:cs="仿宋"/>
          <w:color w:val="000000" w:themeColor="text1"/>
          <w:sz w:val="28"/>
          <w:lang w:eastAsia="zh-CN"/>
        </w:rPr>
        <w:t>。</w:t>
      </w:r>
      <w:r>
        <w:rPr>
          <w:rFonts w:hint="eastAsia" w:ascii="宋体" w:hAnsi="宋体" w:cs="仿宋"/>
          <w:color w:val="000000" w:themeColor="text1"/>
          <w:sz w:val="28"/>
        </w:rPr>
        <w:t>储罐按要求设置通气管，通气管高出罐顶3m，其管口安装有阻火器。储罐区北、东及东南面三面面设置有2.0m高的围墙，</w:t>
      </w:r>
      <w:r>
        <w:rPr>
          <w:rFonts w:hint="eastAsia" w:ascii="宋体" w:hAnsi="宋体" w:cs="仿宋"/>
          <w:color w:val="000000" w:themeColor="text1"/>
          <w:sz w:val="28"/>
          <w:lang w:val="en-US" w:eastAsia="zh-CN"/>
        </w:rPr>
        <w:t>西</w:t>
      </w:r>
      <w:r>
        <w:rPr>
          <w:rFonts w:hint="eastAsia" w:ascii="宋体" w:hAnsi="宋体" w:cs="仿宋"/>
          <w:color w:val="000000" w:themeColor="text1"/>
          <w:sz w:val="28"/>
        </w:rPr>
        <w:t>北面为一开放式堆物场地且有一进出储罐区2.0m高大门（目前大门为</w:t>
      </w:r>
      <w:r>
        <w:rPr>
          <w:rFonts w:hint="eastAsia" w:ascii="宋体" w:hAnsi="宋体" w:cs="仿宋"/>
          <w:color w:val="000000" w:themeColor="text1"/>
          <w:sz w:val="28"/>
          <w:lang w:val="en-US" w:eastAsia="zh-CN"/>
        </w:rPr>
        <w:t>关闭</w:t>
      </w:r>
      <w:r>
        <w:rPr>
          <w:rFonts w:hint="eastAsia" w:ascii="宋体" w:hAnsi="宋体" w:cs="仿宋"/>
          <w:color w:val="000000" w:themeColor="text1"/>
          <w:sz w:val="28"/>
        </w:rPr>
        <w:t>不再使用状态），西南面围墙下部为2.0m高砖混实体围墙且有一连通加注区域的大门，上部为1.0m高彩钢围墙，</w:t>
      </w:r>
    </w:p>
    <w:p>
      <w:pPr>
        <w:pStyle w:val="19"/>
        <w:spacing w:afterLines="100" w:line="500" w:lineRule="exact"/>
        <w:rPr>
          <w:rFonts w:ascii="黑体" w:hAnsi="宋体" w:eastAsia="黑体"/>
          <w:color w:val="000000" w:themeColor="text1"/>
          <w:kern w:val="3"/>
          <w:sz w:val="28"/>
          <w:szCs w:val="28"/>
        </w:rPr>
      </w:pPr>
      <w:bookmarkStart w:id="367" w:name="_Toc27513"/>
      <w:bookmarkStart w:id="368" w:name="_Toc536"/>
      <w:bookmarkStart w:id="369" w:name="_Toc23616"/>
      <w:bookmarkStart w:id="370" w:name="_Toc7910"/>
      <w:bookmarkStart w:id="371" w:name="_Toc11470"/>
      <w:bookmarkStart w:id="372" w:name="_Toc13262"/>
      <w:bookmarkStart w:id="373" w:name="_Toc2400"/>
      <w:bookmarkStart w:id="374" w:name="_Toc26173"/>
      <w:bookmarkStart w:id="375" w:name="_Toc19458"/>
      <w:bookmarkStart w:id="376" w:name="_Toc11862"/>
      <w:r>
        <w:rPr>
          <w:rFonts w:hint="eastAsia" w:ascii="黑体" w:hAnsi="宋体" w:eastAsia="黑体"/>
          <w:color w:val="000000" w:themeColor="text1"/>
          <w:kern w:val="3"/>
          <w:sz w:val="28"/>
          <w:szCs w:val="28"/>
        </w:rPr>
        <w:t>2.2.2地理位置、交通条件</w:t>
      </w:r>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r>
        <w:rPr>
          <w:rFonts w:hint="eastAsia" w:ascii="黑体" w:hAnsi="宋体" w:eastAsia="黑体"/>
          <w:color w:val="000000" w:themeColor="text1"/>
          <w:kern w:val="3"/>
          <w:sz w:val="28"/>
          <w:szCs w:val="28"/>
        </w:rPr>
        <w:t>及周边环境情况</w:t>
      </w:r>
    </w:p>
    <w:p>
      <w:pPr>
        <w:spacing w:line="500" w:lineRule="exact"/>
        <w:ind w:firstLine="560" w:firstLineChars="200"/>
        <w:rPr>
          <w:rFonts w:ascii="宋体" w:hAnsi="宋体"/>
          <w:color w:val="000000" w:themeColor="text1"/>
          <w:sz w:val="28"/>
          <w:szCs w:val="28"/>
        </w:rPr>
      </w:pPr>
      <w:r>
        <w:rPr>
          <w:rFonts w:hint="eastAsia" w:ascii="宋体" w:hAnsi="宋体"/>
          <w:color w:val="000000" w:themeColor="text1"/>
          <w:sz w:val="28"/>
          <w:szCs w:val="28"/>
        </w:rPr>
        <w:t>1.地理位置、交通条件</w:t>
      </w:r>
    </w:p>
    <w:p>
      <w:pPr>
        <w:spacing w:line="500" w:lineRule="exact"/>
        <w:ind w:firstLine="560" w:firstLineChars="200"/>
        <w:rPr>
          <w:color w:val="000000" w:themeColor="text1"/>
          <w:sz w:val="28"/>
          <w:szCs w:val="28"/>
          <w:shd w:val="clear" w:color="auto" w:fill="FFFFFF"/>
        </w:rPr>
      </w:pPr>
      <w:r>
        <w:rPr>
          <w:rFonts w:hint="eastAsia" w:ascii="宋体" w:hAnsi="宋体"/>
          <w:color w:val="000000" w:themeColor="text1"/>
          <w:sz w:val="28"/>
          <w:szCs w:val="28"/>
        </w:rPr>
        <w:t>昭通市耀晨甲醇醇油有限公司位于</w:t>
      </w:r>
      <w:r>
        <w:rPr>
          <w:rFonts w:hint="eastAsia" w:ascii="宋体" w:hAnsi="宋体" w:cs="仿宋"/>
          <w:color w:val="000000" w:themeColor="text1"/>
          <w:sz w:val="28"/>
        </w:rPr>
        <w:t>昭通市昭阳区太平办事处桃园社区三社88号内</w:t>
      </w:r>
      <w:r>
        <w:rPr>
          <w:rFonts w:hint="eastAsia" w:ascii="宋体" w:hAnsi="宋体"/>
          <w:color w:val="000000" w:themeColor="text1"/>
          <w:sz w:val="28"/>
          <w:szCs w:val="28"/>
        </w:rPr>
        <w:t>，公司位于昭阳区城郊，交通较为方便</w:t>
      </w:r>
      <w:r>
        <w:rPr>
          <w:color w:val="000000" w:themeColor="text1"/>
          <w:sz w:val="28"/>
          <w:szCs w:val="28"/>
          <w:shd w:val="clear" w:color="auto" w:fill="FFFFFF"/>
        </w:rPr>
        <w:t>。</w:t>
      </w:r>
    </w:p>
    <w:p>
      <w:pPr>
        <w:spacing w:line="500" w:lineRule="exact"/>
        <w:ind w:firstLine="560" w:firstLineChars="200"/>
        <w:rPr>
          <w:color w:val="000000" w:themeColor="text1"/>
          <w:sz w:val="28"/>
          <w:szCs w:val="28"/>
          <w:shd w:val="clear" w:color="auto" w:fill="FFFFFF"/>
        </w:rPr>
      </w:pPr>
      <w:r>
        <w:rPr>
          <w:color w:val="000000" w:themeColor="text1"/>
          <w:sz w:val="28"/>
          <w:szCs w:val="28"/>
          <w:shd w:val="clear" w:color="auto" w:fill="FFFFFF"/>
        </w:rPr>
        <w:t>该项目所在地地理位置及交通图如下图所示。</w:t>
      </w:r>
    </w:p>
    <w:p>
      <w:pPr>
        <w:jc w:val="center"/>
        <w:rPr>
          <w:rFonts w:ascii="宋体" w:hAnsi="宋体" w:cs="仿宋"/>
          <w:color w:val="000000" w:themeColor="text1"/>
          <w:sz w:val="28"/>
          <w:szCs w:val="28"/>
        </w:rPr>
      </w:pPr>
      <w:r>
        <w:rPr>
          <w:rFonts w:hint="eastAsia"/>
          <w:color w:val="000000" w:themeColor="text1"/>
          <w:sz w:val="28"/>
          <w:lang w:val="en-US" w:eastAsia="zh-CN"/>
        </w:rPr>
        <w:t xml:space="preserve"> </w:t>
      </w:r>
      <w:r>
        <w:rPr>
          <w:color w:val="000000" w:themeColor="text1"/>
          <w:sz w:val="28"/>
        </w:rPr>
        <w:pict>
          <v:shape id="_x0000_s1026" o:spid="_x0000_s1026" o:spt="61" type="#_x0000_t61" style="position:absolute;left:0pt;margin-left:154.1pt;margin-top:171pt;height:30.7pt;width:68.85pt;z-index:251660288;mso-width-relative:page;mso-height-relative:page;" coordsize="21600,21600" o:gfxdata="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B8G8F92AAA&#10;AAsBAAAPAAAAAAAAAAEAIAAAACIAAABkcnMvZG93bnJldi54bWxQSwECFAAUAAAACACHTuJAOXZb&#10;MB4CAAA+BAAADgAAAAAAAAABACAAAAAnAQAAZHJzL2Uyb0RvYy54bWxQSwUGAAAAAAYABgBZAQAA&#10;twUAAAAA&#10;">
            <v:path/>
            <v:fill focussize="0,0"/>
            <v:stroke joinstyle="miter"/>
            <v:imagedata o:title=""/>
            <o:lock v:ext="edit"/>
            <v:textbox>
              <w:txbxContent>
                <w:p>
                  <w:r>
                    <w:rPr>
                      <w:rFonts w:hint="eastAsia" w:ascii="宋体" w:hAnsi="宋体"/>
                      <w:color w:val="000000"/>
                      <w:sz w:val="24"/>
                    </w:rPr>
                    <w:t>昭通耀晨</w:t>
                  </w:r>
                </w:p>
              </w:txbxContent>
            </v:textbox>
          </v:shape>
        </w:pict>
      </w:r>
      <w:r>
        <w:rPr>
          <w:color w:val="000000" w:themeColor="text1"/>
          <w:sz w:val="28"/>
        </w:rPr>
        <w:drawing>
          <wp:inline distT="0" distB="0" distL="114300" distR="114300">
            <wp:extent cx="5830570" cy="4228465"/>
            <wp:effectExtent l="0" t="0" r="17780" b="635"/>
            <wp:docPr id="1" name="图片 1" descr="16539826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653982646(1)"/>
                    <pic:cNvPicPr>
                      <a:picLocks noChangeAspect="1"/>
                    </pic:cNvPicPr>
                  </pic:nvPicPr>
                  <pic:blipFill>
                    <a:blip r:embed="rId10"/>
                    <a:stretch>
                      <a:fillRect/>
                    </a:stretch>
                  </pic:blipFill>
                  <pic:spPr>
                    <a:xfrm>
                      <a:off x="0" y="0"/>
                      <a:ext cx="5830570" cy="4228465"/>
                    </a:xfrm>
                    <a:prstGeom prst="rect">
                      <a:avLst/>
                    </a:prstGeom>
                  </pic:spPr>
                </pic:pic>
              </a:graphicData>
            </a:graphic>
          </wp:inline>
        </w:drawing>
      </w:r>
    </w:p>
    <w:p>
      <w:pPr>
        <w:autoSpaceDN w:val="0"/>
        <w:spacing w:beforeLines="50"/>
        <w:jc w:val="center"/>
        <w:rPr>
          <w:color w:val="000000" w:themeColor="text1"/>
          <w:sz w:val="24"/>
          <w:szCs w:val="20"/>
        </w:rPr>
      </w:pPr>
      <w:r>
        <w:rPr>
          <w:color w:val="000000" w:themeColor="text1"/>
          <w:sz w:val="24"/>
          <w:szCs w:val="20"/>
        </w:rPr>
        <w:t xml:space="preserve">图2-1 </w:t>
      </w:r>
      <w:r>
        <w:rPr>
          <w:rFonts w:hint="eastAsia"/>
          <w:color w:val="000000" w:themeColor="text1"/>
          <w:sz w:val="24"/>
          <w:szCs w:val="20"/>
        </w:rPr>
        <w:t>昭通市耀晨甲醇醇油有限公司</w:t>
      </w:r>
      <w:r>
        <w:rPr>
          <w:color w:val="000000" w:themeColor="text1"/>
          <w:sz w:val="24"/>
          <w:szCs w:val="20"/>
        </w:rPr>
        <w:t>交通、地理位置图</w:t>
      </w:r>
    </w:p>
    <w:p>
      <w:pPr>
        <w:spacing w:line="500" w:lineRule="exact"/>
        <w:ind w:firstLine="560" w:firstLineChars="200"/>
        <w:rPr>
          <w:rFonts w:ascii="宋体" w:hAnsi="宋体"/>
          <w:color w:val="000000" w:themeColor="text1"/>
          <w:sz w:val="28"/>
          <w:szCs w:val="28"/>
        </w:rPr>
      </w:pPr>
      <w:r>
        <w:rPr>
          <w:rFonts w:hint="eastAsia" w:ascii="宋体" w:hAnsi="宋体"/>
          <w:color w:val="000000" w:themeColor="text1"/>
          <w:sz w:val="28"/>
          <w:szCs w:val="28"/>
        </w:rPr>
        <w:t>2.项目周边环境</w:t>
      </w:r>
    </w:p>
    <w:p>
      <w:pPr>
        <w:spacing w:line="500" w:lineRule="exact"/>
        <w:ind w:firstLine="560" w:firstLineChars="200"/>
        <w:rPr>
          <w:rFonts w:ascii="宋体" w:hAnsi="宋体"/>
          <w:color w:val="000000" w:themeColor="text1"/>
          <w:sz w:val="28"/>
          <w:szCs w:val="28"/>
        </w:rPr>
      </w:pPr>
      <w:r>
        <w:rPr>
          <w:rFonts w:hint="eastAsia" w:ascii="宋体" w:hAnsi="宋体"/>
          <w:color w:val="000000" w:themeColor="text1"/>
          <w:sz w:val="28"/>
          <w:szCs w:val="28"/>
        </w:rPr>
        <w:t>昭通市昭阳区耀晨甲醇醇油有限公司东面及东南面分布有民房（2层，且靠近储罐区一侧的民房面向储罐区设置有窗户），甲醇储罐、通气管口与民房分别相距7.</w:t>
      </w:r>
      <w:r>
        <w:rPr>
          <w:rFonts w:hint="eastAsia" w:ascii="宋体" w:hAnsi="宋体"/>
          <w:color w:val="000000" w:themeColor="text1"/>
          <w:sz w:val="28"/>
          <w:szCs w:val="28"/>
          <w:lang w:val="en-US" w:eastAsia="zh-CN"/>
        </w:rPr>
        <w:t>5</w:t>
      </w:r>
      <w:r>
        <w:rPr>
          <w:rFonts w:hint="eastAsia" w:ascii="宋体" w:hAnsi="宋体"/>
          <w:color w:val="000000" w:themeColor="text1"/>
          <w:sz w:val="28"/>
          <w:szCs w:val="28"/>
        </w:rPr>
        <w:t>m、11.7m。</w:t>
      </w:r>
    </w:p>
    <w:p>
      <w:pPr>
        <w:spacing w:line="500" w:lineRule="exact"/>
        <w:ind w:firstLine="560" w:firstLineChars="200"/>
        <w:rPr>
          <w:rFonts w:hint="eastAsia" w:ascii="宋体" w:hAnsi="宋体"/>
          <w:color w:val="000000" w:themeColor="text1"/>
          <w:sz w:val="28"/>
          <w:szCs w:val="28"/>
        </w:rPr>
      </w:pPr>
      <w:r>
        <w:rPr>
          <w:rFonts w:hint="eastAsia" w:ascii="宋体" w:hAnsi="宋体"/>
          <w:color w:val="000000" w:themeColor="text1"/>
          <w:sz w:val="28"/>
          <w:szCs w:val="28"/>
        </w:rPr>
        <w:t>公司南面为公路，公司内加注机与公路相距20m，西南面围墙一侧为小道，公司内加注机及装卸口与小道相距12.3m，小道一侧分布有民房，站内加注机及装卸口与</w:t>
      </w:r>
      <w:r>
        <w:rPr>
          <w:rFonts w:hint="eastAsia" w:ascii="宋体" w:hAnsi="宋体"/>
          <w:color w:val="000000" w:themeColor="text1"/>
          <w:sz w:val="28"/>
          <w:szCs w:val="28"/>
          <w:lang w:val="en-US" w:eastAsia="zh-CN"/>
        </w:rPr>
        <w:t>最近</w:t>
      </w:r>
      <w:r>
        <w:rPr>
          <w:rFonts w:hint="eastAsia" w:ascii="宋体" w:hAnsi="宋体"/>
          <w:color w:val="000000" w:themeColor="text1"/>
          <w:sz w:val="28"/>
          <w:szCs w:val="28"/>
        </w:rPr>
        <w:t>民房相距17.5m。</w:t>
      </w:r>
    </w:p>
    <w:p>
      <w:pPr>
        <w:pStyle w:val="2"/>
        <w:ind w:firstLine="560" w:firstLineChars="200"/>
        <w:rPr>
          <w:rFonts w:hint="default" w:eastAsia="宋体"/>
          <w:lang w:val="en-US" w:eastAsia="zh-CN"/>
        </w:rPr>
      </w:pPr>
      <w:r>
        <w:rPr>
          <w:rFonts w:hint="eastAsia"/>
          <w:color w:val="000000" w:themeColor="text1"/>
          <w:sz w:val="28"/>
          <w:szCs w:val="28"/>
          <w:lang w:val="en-US" w:eastAsia="zh-CN"/>
        </w:rPr>
        <w:t>公司西北面为空地，空地上有一线塔，站内</w:t>
      </w:r>
      <w:r>
        <w:rPr>
          <w:rFonts w:hint="eastAsia" w:ascii="宋体" w:hAnsi="宋体"/>
          <w:color w:val="000000" w:themeColor="text1"/>
          <w:sz w:val="28"/>
          <w:szCs w:val="28"/>
        </w:rPr>
        <w:t>加注机及装卸口与</w:t>
      </w:r>
      <w:r>
        <w:rPr>
          <w:rFonts w:hint="eastAsia"/>
          <w:color w:val="000000" w:themeColor="text1"/>
          <w:sz w:val="28"/>
          <w:szCs w:val="28"/>
          <w:lang w:val="en-US" w:eastAsia="zh-CN"/>
        </w:rPr>
        <w:t>线塔相距大于10m且有实体墙相隔。电线未跨越公司加注区。</w:t>
      </w:r>
    </w:p>
    <w:p>
      <w:pPr>
        <w:spacing w:line="500" w:lineRule="exact"/>
        <w:ind w:firstLine="560" w:firstLineChars="200"/>
        <w:rPr>
          <w:rFonts w:ascii="宋体" w:hAnsi="宋体"/>
          <w:color w:val="000000" w:themeColor="text1"/>
          <w:sz w:val="28"/>
          <w:szCs w:val="28"/>
        </w:rPr>
      </w:pPr>
      <w:r>
        <w:rPr>
          <w:rFonts w:hint="eastAsia" w:ascii="宋体" w:hAnsi="宋体"/>
          <w:color w:val="000000" w:themeColor="text1"/>
          <w:sz w:val="28"/>
          <w:szCs w:val="28"/>
        </w:rPr>
        <w:t>公司北面为空地，东北面为空地及厕所。</w:t>
      </w:r>
    </w:p>
    <w:p>
      <w:pPr>
        <w:spacing w:line="500" w:lineRule="exact"/>
        <w:ind w:firstLine="560" w:firstLineChars="200"/>
        <w:rPr>
          <w:rFonts w:ascii="宋体" w:hAnsi="宋体"/>
          <w:color w:val="000000" w:themeColor="text1"/>
          <w:sz w:val="28"/>
          <w:szCs w:val="28"/>
        </w:rPr>
      </w:pPr>
      <w:r>
        <w:rPr>
          <w:rFonts w:hint="eastAsia" w:ascii="宋体" w:hAnsi="宋体"/>
          <w:color w:val="000000" w:themeColor="text1"/>
          <w:sz w:val="28"/>
          <w:szCs w:val="28"/>
        </w:rPr>
        <w:t>公司周边无特殊名胜、风景、旅游，动植物及水生物保护区等环境保护敏感点。从现场踏勘情况看，公司周边无特殊名胜、风景、旅游，动植物及水生物保护区等环境保护敏感点。</w:t>
      </w:r>
    </w:p>
    <w:p>
      <w:pPr>
        <w:pStyle w:val="2"/>
        <w:jc w:val="center"/>
        <w:rPr>
          <w:rFonts w:hint="default"/>
          <w:color w:val="000000" w:themeColor="text1"/>
        </w:rPr>
      </w:pPr>
      <w:r>
        <w:rPr>
          <w:color w:val="000000" w:themeColor="text1"/>
        </w:rPr>
        <w:drawing>
          <wp:inline distT="0" distB="0" distL="114300" distR="114300">
            <wp:extent cx="5278120" cy="4042410"/>
            <wp:effectExtent l="0" t="0" r="17780" b="15240"/>
            <wp:docPr id="32" name="图片 2" descr="15591332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2" descr="1559133254(1)"/>
                    <pic:cNvPicPr>
                      <a:picLocks noChangeAspect="1"/>
                    </pic:cNvPicPr>
                  </pic:nvPicPr>
                  <pic:blipFill>
                    <a:blip r:embed="rId11"/>
                    <a:stretch>
                      <a:fillRect/>
                    </a:stretch>
                  </pic:blipFill>
                  <pic:spPr>
                    <a:xfrm>
                      <a:off x="0" y="0"/>
                      <a:ext cx="5278120" cy="4042410"/>
                    </a:xfrm>
                    <a:prstGeom prst="rect">
                      <a:avLst/>
                    </a:prstGeom>
                    <a:noFill/>
                    <a:ln>
                      <a:noFill/>
                    </a:ln>
                  </pic:spPr>
                </pic:pic>
              </a:graphicData>
            </a:graphic>
          </wp:inline>
        </w:drawing>
      </w:r>
      <w:r>
        <w:rPr>
          <w:rFonts w:hint="default"/>
          <w:color w:val="000000" w:themeColor="text1"/>
        </w:rPr>
        <w:pict>
          <v:shape id="_x0000_s2054" o:spid="_x0000_s2054" o:spt="62" type="#_x0000_t62" style="position:absolute;left:0pt;margin-left:22.45pt;margin-top:94.75pt;height:23.8pt;width:61.95pt;z-index:251665408;mso-width-relative:page;mso-height-relative:page;" coordsize="21600,21600" o:gfxdata="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aBmtTtoAAAAKAQAADwAAAAAAAAABACAAAAAiAAAAZHJzL2Rvd25y&#10;ZXYueG1sUEsBAhQAFAAAAAgAh07iQA7w9rs1AgAAbwQAAA4AAAAAAAAAAQAgAAAAKQEAAGRycy9l&#10;Mm9Eb2MueG1sUEsFBgAAAAAGAAYAWQEAANAFAAAAAA==&#10;" adj="19909,35576,14400">
            <v:path/>
            <v:fill focussize="0,0"/>
            <v:stroke joinstyle="miter"/>
            <v:imagedata o:title=""/>
            <o:lock v:ext="edit"/>
            <v:textbox>
              <w:txbxContent>
                <w:p>
                  <w:pPr>
                    <w:rPr>
                      <w:szCs w:val="21"/>
                    </w:rPr>
                  </w:pPr>
                  <w:r>
                    <w:rPr>
                      <w:rFonts w:hint="eastAsia"/>
                      <w:szCs w:val="21"/>
                    </w:rPr>
                    <w:t>公司位置</w:t>
                  </w:r>
                </w:p>
              </w:txbxContent>
            </v:textbox>
          </v:shape>
        </w:pict>
      </w:r>
      <w:r>
        <w:rPr>
          <w:rFonts w:hint="default"/>
          <w:color w:val="000000" w:themeColor="text1"/>
        </w:rPr>
        <w:pict>
          <v:shape id="_x0000_s2053" o:spid="_x0000_s2053" o:spt="32" type="#_x0000_t32" style="position:absolute;left:0pt;flip:y;margin-left:94.65pt;margin-top:144.2pt;height:19.45pt;width:29.2pt;z-index:251664384;mso-width-relative:page;mso-height-relative:page;" filled="f" stroked="t" coordsize="21600,21600" o:gfxdata="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j/SFtgAAAALAQAADwAAAAAAAAABACAAAAAiAAAAZHJzL2Rvd25yZXYueG1sUEsBAhQAFAAA&#10;AAgAh07iQG7+oz7vAQAArwMAAA4AAAAAAAAAAQAgAAAAJwEAAGRycy9lMm9Eb2MueG1sUEsFBgAA&#10;AAAGAAYAWQEAAIgFAAAAAA==&#10;">
            <v:path arrowok="t"/>
            <v:fill on="f" focussize="0,0"/>
            <v:stroke weight="1pt" color="#F79646"/>
            <v:imagedata o:title=""/>
            <o:lock v:ext="edit"/>
          </v:shape>
        </w:pict>
      </w:r>
      <w:r>
        <w:rPr>
          <w:rFonts w:hint="default"/>
          <w:color w:val="000000" w:themeColor="text1"/>
        </w:rPr>
        <w:pict>
          <v:shape id="_x0000_s2052" o:spid="_x0000_s2052" o:spt="32" type="#_x0000_t32" style="position:absolute;left:0pt;margin-left:94.65pt;margin-top:105.4pt;height:38.8pt;width:29.2pt;z-index:251663360;mso-width-relative:page;mso-height-relative:page;" filled="f" stroked="t" coordsize="21600,21600" o:gfxdata="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ER0Tc3YAAAACwEAAA8AAAAAAAAAAQAgAAAAIgAAAGRycy9kb3ducmV2LnhtbFBLAQIUABQAAAAI&#10;AIdO4kC6j+HS7QEAAKUDAAAOAAAAAAAAAAEAIAAAACcBAABkcnMvZTJvRG9jLnhtbFBLBQYAAAAA&#10;BgAGAFkBAACGBQAAAAA=&#10;">
            <v:path arrowok="t"/>
            <v:fill on="f" focussize="0,0"/>
            <v:stroke weight="1pt" color="#F79646"/>
            <v:imagedata o:title=""/>
            <o:lock v:ext="edit"/>
          </v:shape>
        </w:pict>
      </w:r>
      <w:r>
        <w:rPr>
          <w:rFonts w:hint="default"/>
          <w:color w:val="000000" w:themeColor="text1"/>
        </w:rPr>
        <w:pict>
          <v:shape id="_x0000_s2051" o:spid="_x0000_s2051" o:spt="32" type="#_x0000_t32" style="position:absolute;left:0pt;margin-left:56.85pt;margin-top:132.35pt;height:31.3pt;width:37.8pt;z-index:251662336;mso-width-relative:page;mso-height-relative:page;" filled="f" stroked="t" coordsize="21600,21600" o:gfxdata="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HAFvT9kAAAALAQAADwAAAAAAAAABACAAAAAiAAAAZHJzL2Rvd25yZXYueG1sUEsBAhQAFAAAAAgA&#10;h07iQCX4flbrAQAApQMAAA4AAAAAAAAAAQAgAAAAKAEAAGRycy9lMm9Eb2MueG1sUEsFBgAAAAAG&#10;AAYAWQEAAIUFAAAAAA==&#10;">
            <v:path arrowok="t"/>
            <v:fill on="f" focussize="0,0"/>
            <v:stroke weight="1pt" color="#F79646"/>
            <v:imagedata o:title=""/>
            <o:lock v:ext="edit"/>
          </v:shape>
        </w:pict>
      </w:r>
      <w:r>
        <w:rPr>
          <w:rFonts w:hint="default"/>
          <w:color w:val="000000" w:themeColor="text1"/>
        </w:rPr>
        <w:pict>
          <v:shape id="_x0000_s2050" o:spid="_x0000_s2050" o:spt="32" type="#_x0000_t32" style="position:absolute;left:0pt;flip:y;margin-left:60.65pt;margin-top:105.4pt;height:26.95pt;width:34pt;z-index:251661312;mso-width-relative:page;mso-height-relative:page;" filled="f" stroked="t" coordsize="21600,21600" o:gfxdata="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F7mBFTWAAAACwEAAA8AAAAAAAAAAQAgAAAAIgAAAGRycy9kb3ducmV2LnhtbFBLAQIUABQAAAAI&#10;AIdO4kCB5ClB7wEAAK8DAAAOAAAAAAAAAAEAIAAAACUBAABkcnMvZTJvRG9jLnhtbFBLBQYAAAAA&#10;BgAGAFkBAACGBQAAAAA=&#10;">
            <v:path arrowok="t"/>
            <v:fill on="f" focussize="0,0"/>
            <v:stroke weight="1pt" color="#F79646"/>
            <v:imagedata o:title=""/>
            <o:lock v:ext="edit"/>
          </v:shape>
        </w:pict>
      </w:r>
    </w:p>
    <w:p>
      <w:pPr>
        <w:autoSpaceDN w:val="0"/>
        <w:spacing w:beforeLines="50"/>
        <w:jc w:val="center"/>
        <w:rPr>
          <w:color w:val="000000" w:themeColor="text1"/>
          <w:sz w:val="24"/>
          <w:szCs w:val="20"/>
        </w:rPr>
      </w:pPr>
      <w:r>
        <w:rPr>
          <w:color w:val="000000" w:themeColor="text1"/>
          <w:sz w:val="24"/>
          <w:szCs w:val="20"/>
        </w:rPr>
        <w:t>图2-</w:t>
      </w:r>
      <w:r>
        <w:rPr>
          <w:rFonts w:hint="eastAsia"/>
          <w:color w:val="000000" w:themeColor="text1"/>
          <w:sz w:val="24"/>
          <w:szCs w:val="20"/>
        </w:rPr>
        <w:t>2昭通市耀晨甲醇醇油有限公司及周边卫星图</w:t>
      </w:r>
    </w:p>
    <w:p>
      <w:pPr>
        <w:spacing w:line="500" w:lineRule="exact"/>
        <w:ind w:firstLine="560" w:firstLineChars="200"/>
        <w:rPr>
          <w:color w:val="000000" w:themeColor="text1"/>
          <w:sz w:val="28"/>
          <w:szCs w:val="28"/>
        </w:rPr>
      </w:pPr>
      <w:r>
        <w:rPr>
          <w:rFonts w:hint="eastAsia" w:ascii="宋体" w:hAnsi="宋体"/>
          <w:color w:val="000000" w:themeColor="text1"/>
          <w:sz w:val="28"/>
          <w:szCs w:val="28"/>
        </w:rPr>
        <w:t>由于甲醇储存</w:t>
      </w:r>
      <w:r>
        <w:rPr>
          <w:rFonts w:hint="eastAsia" w:ascii="宋体" w:hAnsi="宋体"/>
          <w:color w:val="000000" w:themeColor="text1"/>
          <w:sz w:val="28"/>
          <w:szCs w:val="28"/>
          <w:lang w:val="en-US" w:eastAsia="zh-CN"/>
        </w:rPr>
        <w:t>及加注的经营方式</w:t>
      </w:r>
      <w:r>
        <w:rPr>
          <w:rFonts w:hint="eastAsia" w:ascii="宋体" w:hAnsi="宋体"/>
          <w:color w:val="000000" w:themeColor="text1"/>
          <w:sz w:val="28"/>
          <w:szCs w:val="28"/>
        </w:rPr>
        <w:t>没有标准规范，甲醇属于甲类液体，且与汽油理化性质相近，故本次甲醇储罐与厂外建（构）筑物的防火间距采用《建筑设计防火规范（2018年版）》（GB50016-2014）及《汽车加油加气加氢站技术标准》（GB50156-2021）进行</w:t>
      </w:r>
      <w:r>
        <w:rPr>
          <w:rFonts w:hint="eastAsia" w:ascii="宋体" w:hAnsi="宋体"/>
          <w:color w:val="000000" w:themeColor="text1"/>
          <w:sz w:val="28"/>
          <w:szCs w:val="28"/>
          <w:lang w:val="en-US" w:eastAsia="zh-CN"/>
        </w:rPr>
        <w:t>辨识</w:t>
      </w:r>
      <w:r>
        <w:rPr>
          <w:rFonts w:hint="eastAsia" w:ascii="宋体" w:hAnsi="宋体"/>
          <w:color w:val="000000" w:themeColor="text1"/>
          <w:sz w:val="28"/>
          <w:szCs w:val="28"/>
        </w:rPr>
        <w:t>。昭通市昭阳区耀晨甲醇醇油有限公司的</w:t>
      </w:r>
      <w:r>
        <w:rPr>
          <w:color w:val="000000" w:themeColor="text1"/>
          <w:sz w:val="28"/>
          <w:szCs w:val="28"/>
        </w:rPr>
        <w:t>甲醇储罐与厂外建（构）筑物的防火间距见表2-1</w:t>
      </w:r>
      <w:r>
        <w:rPr>
          <w:rFonts w:hint="eastAsia"/>
          <w:color w:val="000000" w:themeColor="text1"/>
          <w:sz w:val="28"/>
          <w:szCs w:val="28"/>
        </w:rPr>
        <w:t>。</w:t>
      </w:r>
    </w:p>
    <w:p>
      <w:pPr>
        <w:autoSpaceDN w:val="0"/>
        <w:spacing w:beforeLines="50"/>
        <w:jc w:val="center"/>
        <w:rPr>
          <w:color w:val="000000" w:themeColor="text1"/>
          <w:sz w:val="24"/>
          <w:szCs w:val="20"/>
        </w:rPr>
      </w:pPr>
      <w:r>
        <w:rPr>
          <w:color w:val="000000" w:themeColor="text1"/>
          <w:sz w:val="24"/>
          <w:szCs w:val="20"/>
        </w:rPr>
        <w:t>表2-1 厂内甲醇储罐与厂外建（构）筑物的防火间距（m）</w:t>
      </w:r>
    </w:p>
    <w:tbl>
      <w:tblPr>
        <w:tblStyle w:val="52"/>
        <w:tblpPr w:leftFromText="180" w:rightFromText="180" w:vertAnchor="text" w:horzAnchor="page" w:tblpX="1540" w:tblpY="474"/>
        <w:tblOverlap w:val="never"/>
        <w:tblW w:w="87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2"/>
        <w:gridCol w:w="1116"/>
        <w:gridCol w:w="1090"/>
        <w:gridCol w:w="1083"/>
        <w:gridCol w:w="46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blHeader/>
          <w:jc w:val="center"/>
        </w:trPr>
        <w:tc>
          <w:tcPr>
            <w:tcW w:w="862" w:type="dxa"/>
            <w:vMerge w:val="restart"/>
            <w:vAlign w:val="center"/>
          </w:tcPr>
          <w:p>
            <w:pPr>
              <w:keepNext/>
              <w:adjustRightInd w:val="0"/>
              <w:snapToGrid w:val="0"/>
              <w:spacing w:line="500" w:lineRule="exact"/>
              <w:jc w:val="center"/>
              <w:rPr>
                <w:color w:val="000000" w:themeColor="text1"/>
                <w:szCs w:val="21"/>
              </w:rPr>
            </w:pPr>
            <w:r>
              <w:rPr>
                <w:color w:val="000000" w:themeColor="text1"/>
                <w:szCs w:val="21"/>
              </w:rPr>
              <w:t>方位</w:t>
            </w:r>
          </w:p>
        </w:tc>
        <w:tc>
          <w:tcPr>
            <w:tcW w:w="1116" w:type="dxa"/>
            <w:vMerge w:val="restart"/>
            <w:vAlign w:val="center"/>
          </w:tcPr>
          <w:p>
            <w:pPr>
              <w:keepNext/>
              <w:adjustRightInd w:val="0"/>
              <w:snapToGrid w:val="0"/>
              <w:spacing w:line="500" w:lineRule="exact"/>
              <w:rPr>
                <w:color w:val="000000" w:themeColor="text1"/>
                <w:szCs w:val="21"/>
              </w:rPr>
            </w:pPr>
            <w:r>
              <w:rPr>
                <w:color w:val="000000" w:themeColor="text1"/>
                <w:szCs w:val="21"/>
              </w:rPr>
              <w:t>周边环境</w:t>
            </w:r>
          </w:p>
        </w:tc>
        <w:tc>
          <w:tcPr>
            <w:tcW w:w="6780" w:type="dxa"/>
            <w:gridSpan w:val="3"/>
            <w:vAlign w:val="center"/>
          </w:tcPr>
          <w:p>
            <w:pPr>
              <w:keepNext/>
              <w:adjustRightInd w:val="0"/>
              <w:snapToGrid w:val="0"/>
              <w:spacing w:line="500" w:lineRule="exact"/>
              <w:jc w:val="center"/>
              <w:rPr>
                <w:color w:val="000000" w:themeColor="text1"/>
                <w:szCs w:val="21"/>
              </w:rPr>
            </w:pPr>
            <w:r>
              <w:rPr>
                <w:color w:val="000000" w:themeColor="text1"/>
                <w:szCs w:val="21"/>
              </w:rPr>
              <w:t>甲醇罐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862" w:type="dxa"/>
            <w:vMerge w:val="continue"/>
            <w:vAlign w:val="center"/>
          </w:tcPr>
          <w:p>
            <w:pPr>
              <w:keepNext/>
              <w:adjustRightInd w:val="0"/>
              <w:snapToGrid w:val="0"/>
              <w:spacing w:line="500" w:lineRule="exact"/>
              <w:ind w:firstLine="420" w:firstLineChars="200"/>
              <w:jc w:val="center"/>
              <w:rPr>
                <w:color w:val="000000" w:themeColor="text1"/>
                <w:szCs w:val="21"/>
              </w:rPr>
            </w:pPr>
          </w:p>
        </w:tc>
        <w:tc>
          <w:tcPr>
            <w:tcW w:w="1116" w:type="dxa"/>
            <w:vMerge w:val="continue"/>
            <w:vAlign w:val="center"/>
          </w:tcPr>
          <w:p>
            <w:pPr>
              <w:keepNext/>
              <w:adjustRightInd w:val="0"/>
              <w:snapToGrid w:val="0"/>
              <w:spacing w:line="500" w:lineRule="exact"/>
              <w:ind w:firstLine="420" w:firstLineChars="200"/>
              <w:jc w:val="center"/>
              <w:rPr>
                <w:color w:val="000000" w:themeColor="text1"/>
                <w:szCs w:val="21"/>
              </w:rPr>
            </w:pPr>
          </w:p>
        </w:tc>
        <w:tc>
          <w:tcPr>
            <w:tcW w:w="1090" w:type="dxa"/>
            <w:vAlign w:val="center"/>
          </w:tcPr>
          <w:p>
            <w:pPr>
              <w:keepNext/>
              <w:adjustRightInd w:val="0"/>
              <w:snapToGrid w:val="0"/>
              <w:spacing w:line="500" w:lineRule="exact"/>
              <w:jc w:val="center"/>
              <w:rPr>
                <w:color w:val="000000" w:themeColor="text1"/>
                <w:szCs w:val="21"/>
              </w:rPr>
            </w:pPr>
            <w:r>
              <w:rPr>
                <w:color w:val="000000" w:themeColor="text1"/>
                <w:szCs w:val="21"/>
              </w:rPr>
              <w:t>实测</w:t>
            </w:r>
            <w:r>
              <w:rPr>
                <w:rFonts w:hint="eastAsia"/>
                <w:color w:val="000000" w:themeColor="text1"/>
                <w:szCs w:val="21"/>
              </w:rPr>
              <w:t>值</w:t>
            </w:r>
          </w:p>
        </w:tc>
        <w:tc>
          <w:tcPr>
            <w:tcW w:w="1083" w:type="dxa"/>
            <w:vAlign w:val="center"/>
          </w:tcPr>
          <w:p>
            <w:pPr>
              <w:keepNext/>
              <w:adjustRightInd w:val="0"/>
              <w:snapToGrid w:val="0"/>
              <w:spacing w:line="500" w:lineRule="exact"/>
              <w:jc w:val="center"/>
              <w:rPr>
                <w:b/>
                <w:bCs/>
                <w:color w:val="000000" w:themeColor="text1"/>
                <w:szCs w:val="21"/>
              </w:rPr>
            </w:pPr>
            <w:r>
              <w:rPr>
                <w:b/>
                <w:bCs/>
                <w:color w:val="000000" w:themeColor="text1"/>
                <w:szCs w:val="21"/>
              </w:rPr>
              <w:t>标准值</w:t>
            </w:r>
          </w:p>
        </w:tc>
        <w:tc>
          <w:tcPr>
            <w:tcW w:w="4607" w:type="dxa"/>
            <w:vAlign w:val="center"/>
          </w:tcPr>
          <w:p>
            <w:pPr>
              <w:keepNext/>
              <w:adjustRightInd w:val="0"/>
              <w:snapToGrid w:val="0"/>
              <w:spacing w:line="500" w:lineRule="exact"/>
              <w:jc w:val="center"/>
              <w:rPr>
                <w:color w:val="000000" w:themeColor="text1"/>
                <w:szCs w:val="21"/>
              </w:rPr>
            </w:pPr>
            <w:r>
              <w:rPr>
                <w:rFonts w:hint="eastAsia"/>
                <w:color w:val="000000" w:themeColor="text1"/>
                <w:szCs w:val="21"/>
              </w:rPr>
              <w:t>依据标准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blHeader/>
          <w:jc w:val="center"/>
        </w:trPr>
        <w:tc>
          <w:tcPr>
            <w:tcW w:w="862" w:type="dxa"/>
            <w:vAlign w:val="center"/>
          </w:tcPr>
          <w:p>
            <w:pPr>
              <w:keepNext/>
              <w:adjustRightInd w:val="0"/>
              <w:snapToGrid w:val="0"/>
              <w:spacing w:line="500" w:lineRule="exact"/>
              <w:jc w:val="center"/>
              <w:rPr>
                <w:color w:val="000000" w:themeColor="text1"/>
                <w:szCs w:val="21"/>
              </w:rPr>
            </w:pPr>
            <w:r>
              <w:rPr>
                <w:rFonts w:hint="eastAsia"/>
                <w:color w:val="000000" w:themeColor="text1"/>
                <w:szCs w:val="21"/>
              </w:rPr>
              <w:t>东南面</w:t>
            </w:r>
          </w:p>
        </w:tc>
        <w:tc>
          <w:tcPr>
            <w:tcW w:w="1116" w:type="dxa"/>
            <w:vAlign w:val="center"/>
          </w:tcPr>
          <w:p>
            <w:pPr>
              <w:keepNext/>
              <w:adjustRightInd w:val="0"/>
              <w:snapToGrid w:val="0"/>
              <w:spacing w:line="500" w:lineRule="exact"/>
              <w:jc w:val="center"/>
              <w:rPr>
                <w:color w:val="000000" w:themeColor="text1"/>
                <w:szCs w:val="21"/>
              </w:rPr>
            </w:pPr>
            <w:r>
              <w:rPr>
                <w:color w:val="000000" w:themeColor="text1"/>
                <w:szCs w:val="21"/>
              </w:rPr>
              <w:t>民房</w:t>
            </w:r>
            <w:r>
              <w:rPr>
                <w:rFonts w:hint="eastAsia"/>
                <w:color w:val="000000" w:themeColor="text1"/>
                <w:szCs w:val="21"/>
              </w:rPr>
              <w:t>（三级）</w:t>
            </w:r>
          </w:p>
        </w:tc>
        <w:tc>
          <w:tcPr>
            <w:tcW w:w="1090" w:type="dxa"/>
            <w:vAlign w:val="center"/>
          </w:tcPr>
          <w:p>
            <w:pPr>
              <w:keepNext/>
              <w:adjustRightInd w:val="0"/>
              <w:snapToGrid w:val="0"/>
              <w:spacing w:line="500" w:lineRule="exact"/>
              <w:jc w:val="center"/>
              <w:rPr>
                <w:color w:val="000000" w:themeColor="text1"/>
                <w:szCs w:val="21"/>
              </w:rPr>
            </w:pPr>
            <w:r>
              <w:rPr>
                <w:rFonts w:hint="eastAsia"/>
                <w:color w:val="000000" w:themeColor="text1"/>
                <w:szCs w:val="21"/>
              </w:rPr>
              <w:t>7.5</w:t>
            </w:r>
          </w:p>
        </w:tc>
        <w:tc>
          <w:tcPr>
            <w:tcW w:w="1083" w:type="dxa"/>
            <w:vAlign w:val="center"/>
          </w:tcPr>
          <w:p>
            <w:pPr>
              <w:keepNext/>
              <w:adjustRightInd w:val="0"/>
              <w:snapToGrid w:val="0"/>
              <w:spacing w:line="500" w:lineRule="exact"/>
              <w:jc w:val="center"/>
              <w:rPr>
                <w:b/>
                <w:bCs/>
                <w:color w:val="000000" w:themeColor="text1"/>
                <w:szCs w:val="21"/>
              </w:rPr>
            </w:pPr>
            <w:r>
              <w:rPr>
                <w:rFonts w:hint="eastAsia"/>
                <w:b/>
                <w:bCs/>
                <w:color w:val="000000" w:themeColor="text1"/>
                <w:szCs w:val="21"/>
              </w:rPr>
              <w:t>7.5</w:t>
            </w:r>
          </w:p>
        </w:tc>
        <w:tc>
          <w:tcPr>
            <w:tcW w:w="4607" w:type="dxa"/>
            <w:vAlign w:val="center"/>
          </w:tcPr>
          <w:p>
            <w:pPr>
              <w:keepNext/>
              <w:adjustRightInd w:val="0"/>
              <w:snapToGrid w:val="0"/>
              <w:jc w:val="center"/>
              <w:rPr>
                <w:color w:val="000000" w:themeColor="text1"/>
                <w:szCs w:val="21"/>
              </w:rPr>
            </w:pPr>
            <w:r>
              <w:rPr>
                <w:rFonts w:hint="eastAsia"/>
                <w:color w:val="000000" w:themeColor="text1"/>
                <w:szCs w:val="21"/>
              </w:rPr>
              <w:t>《建筑设计防火规范（2018年版）》（GB50016-2014）表4.2.1及注6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7" w:hRule="atLeast"/>
          <w:tblHeader/>
          <w:jc w:val="center"/>
        </w:trPr>
        <w:tc>
          <w:tcPr>
            <w:tcW w:w="862" w:type="dxa"/>
            <w:vAlign w:val="center"/>
          </w:tcPr>
          <w:p>
            <w:pPr>
              <w:keepNext/>
              <w:adjustRightInd w:val="0"/>
              <w:snapToGrid w:val="0"/>
              <w:spacing w:line="500" w:lineRule="exact"/>
              <w:jc w:val="center"/>
              <w:rPr>
                <w:color w:val="000000" w:themeColor="text1"/>
                <w:szCs w:val="21"/>
              </w:rPr>
            </w:pPr>
            <w:r>
              <w:rPr>
                <w:rFonts w:hint="eastAsia"/>
                <w:color w:val="000000" w:themeColor="text1"/>
                <w:szCs w:val="21"/>
              </w:rPr>
              <w:t>西南面</w:t>
            </w:r>
          </w:p>
        </w:tc>
        <w:tc>
          <w:tcPr>
            <w:tcW w:w="1116" w:type="dxa"/>
            <w:vAlign w:val="center"/>
          </w:tcPr>
          <w:p>
            <w:pPr>
              <w:keepNext/>
              <w:adjustRightInd w:val="0"/>
              <w:snapToGrid w:val="0"/>
              <w:spacing w:line="500" w:lineRule="exact"/>
              <w:jc w:val="center"/>
              <w:rPr>
                <w:color w:val="000000" w:themeColor="text1"/>
                <w:szCs w:val="21"/>
              </w:rPr>
            </w:pPr>
            <w:r>
              <w:rPr>
                <w:rFonts w:hint="eastAsia"/>
                <w:color w:val="000000" w:themeColor="text1"/>
                <w:szCs w:val="21"/>
              </w:rPr>
              <w:t>民房（三级）</w:t>
            </w:r>
          </w:p>
        </w:tc>
        <w:tc>
          <w:tcPr>
            <w:tcW w:w="1090" w:type="dxa"/>
            <w:vAlign w:val="center"/>
          </w:tcPr>
          <w:p>
            <w:pPr>
              <w:keepNext/>
              <w:adjustRightInd w:val="0"/>
              <w:snapToGrid w:val="0"/>
              <w:spacing w:line="500" w:lineRule="exact"/>
              <w:jc w:val="center"/>
              <w:rPr>
                <w:color w:val="000000" w:themeColor="text1"/>
                <w:szCs w:val="21"/>
              </w:rPr>
            </w:pPr>
            <w:r>
              <w:rPr>
                <w:rFonts w:hint="eastAsia"/>
                <w:color w:val="000000" w:themeColor="text1"/>
                <w:szCs w:val="21"/>
              </w:rPr>
              <w:t>29.8</w:t>
            </w:r>
          </w:p>
        </w:tc>
        <w:tc>
          <w:tcPr>
            <w:tcW w:w="1083" w:type="dxa"/>
            <w:vAlign w:val="center"/>
          </w:tcPr>
          <w:p>
            <w:pPr>
              <w:keepNext/>
              <w:adjustRightInd w:val="0"/>
              <w:snapToGrid w:val="0"/>
              <w:spacing w:line="500" w:lineRule="exact"/>
              <w:jc w:val="center"/>
              <w:rPr>
                <w:b/>
                <w:bCs/>
                <w:color w:val="000000" w:themeColor="text1"/>
                <w:szCs w:val="21"/>
              </w:rPr>
            </w:pPr>
            <w:r>
              <w:rPr>
                <w:rFonts w:hint="eastAsia"/>
                <w:b/>
                <w:bCs/>
                <w:color w:val="000000" w:themeColor="text1"/>
                <w:szCs w:val="21"/>
              </w:rPr>
              <w:t>7.5</w:t>
            </w:r>
          </w:p>
        </w:tc>
        <w:tc>
          <w:tcPr>
            <w:tcW w:w="4607" w:type="dxa"/>
            <w:vAlign w:val="center"/>
          </w:tcPr>
          <w:p>
            <w:pPr>
              <w:keepNext/>
              <w:adjustRightInd w:val="0"/>
              <w:snapToGrid w:val="0"/>
              <w:jc w:val="center"/>
              <w:rPr>
                <w:color w:val="000000" w:themeColor="text1"/>
                <w:szCs w:val="21"/>
              </w:rPr>
            </w:pPr>
            <w:r>
              <w:rPr>
                <w:rFonts w:hint="eastAsia"/>
                <w:color w:val="000000" w:themeColor="text1"/>
                <w:szCs w:val="21"/>
              </w:rPr>
              <w:t>《建筑设计防火规范（2018年版）》（GB50016-2014）表4.2.1及注6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blHeader/>
          <w:jc w:val="center"/>
        </w:trPr>
        <w:tc>
          <w:tcPr>
            <w:tcW w:w="862" w:type="dxa"/>
            <w:vAlign w:val="center"/>
          </w:tcPr>
          <w:p>
            <w:pPr>
              <w:keepNext/>
              <w:adjustRightInd w:val="0"/>
              <w:snapToGrid w:val="0"/>
              <w:spacing w:line="500" w:lineRule="exact"/>
              <w:jc w:val="center"/>
              <w:rPr>
                <w:color w:val="000000" w:themeColor="text1"/>
                <w:szCs w:val="21"/>
              </w:rPr>
            </w:pPr>
            <w:r>
              <w:rPr>
                <w:rFonts w:hint="eastAsia"/>
                <w:color w:val="000000" w:themeColor="text1"/>
                <w:szCs w:val="21"/>
              </w:rPr>
              <w:t>东面</w:t>
            </w:r>
          </w:p>
        </w:tc>
        <w:tc>
          <w:tcPr>
            <w:tcW w:w="1116" w:type="dxa"/>
            <w:vAlign w:val="center"/>
          </w:tcPr>
          <w:p>
            <w:pPr>
              <w:keepNext/>
              <w:adjustRightInd w:val="0"/>
              <w:snapToGrid w:val="0"/>
              <w:spacing w:line="500" w:lineRule="exact"/>
              <w:jc w:val="center"/>
              <w:rPr>
                <w:color w:val="000000" w:themeColor="text1"/>
                <w:szCs w:val="21"/>
              </w:rPr>
            </w:pPr>
            <w:r>
              <w:rPr>
                <w:rFonts w:hint="eastAsia"/>
                <w:color w:val="000000" w:themeColor="text1"/>
                <w:szCs w:val="21"/>
              </w:rPr>
              <w:t>民房</w:t>
            </w:r>
          </w:p>
        </w:tc>
        <w:tc>
          <w:tcPr>
            <w:tcW w:w="1090" w:type="dxa"/>
            <w:vAlign w:val="center"/>
          </w:tcPr>
          <w:p>
            <w:pPr>
              <w:keepNext/>
              <w:adjustRightInd w:val="0"/>
              <w:snapToGrid w:val="0"/>
              <w:spacing w:line="500" w:lineRule="exact"/>
              <w:jc w:val="center"/>
              <w:rPr>
                <w:color w:val="000000" w:themeColor="text1"/>
                <w:szCs w:val="21"/>
              </w:rPr>
            </w:pPr>
            <w:r>
              <w:rPr>
                <w:rFonts w:hint="eastAsia"/>
                <w:color w:val="000000" w:themeColor="text1"/>
                <w:szCs w:val="21"/>
              </w:rPr>
              <w:t>10.7</w:t>
            </w:r>
          </w:p>
        </w:tc>
        <w:tc>
          <w:tcPr>
            <w:tcW w:w="1083" w:type="dxa"/>
            <w:vAlign w:val="center"/>
          </w:tcPr>
          <w:p>
            <w:pPr>
              <w:keepNext/>
              <w:adjustRightInd w:val="0"/>
              <w:snapToGrid w:val="0"/>
              <w:spacing w:line="500" w:lineRule="exact"/>
              <w:jc w:val="center"/>
              <w:rPr>
                <w:b/>
                <w:bCs/>
                <w:color w:val="000000" w:themeColor="text1"/>
                <w:szCs w:val="21"/>
              </w:rPr>
            </w:pPr>
            <w:r>
              <w:rPr>
                <w:rFonts w:hint="eastAsia"/>
                <w:b/>
                <w:bCs/>
                <w:color w:val="000000" w:themeColor="text1"/>
                <w:szCs w:val="21"/>
              </w:rPr>
              <w:t>7.5</w:t>
            </w:r>
          </w:p>
        </w:tc>
        <w:tc>
          <w:tcPr>
            <w:tcW w:w="4607" w:type="dxa"/>
            <w:vAlign w:val="center"/>
          </w:tcPr>
          <w:p>
            <w:pPr>
              <w:keepNext/>
              <w:adjustRightInd w:val="0"/>
              <w:snapToGrid w:val="0"/>
              <w:jc w:val="center"/>
              <w:rPr>
                <w:color w:val="000000" w:themeColor="text1"/>
                <w:szCs w:val="21"/>
              </w:rPr>
            </w:pPr>
            <w:r>
              <w:rPr>
                <w:rFonts w:hint="eastAsia"/>
                <w:color w:val="000000" w:themeColor="text1"/>
                <w:szCs w:val="21"/>
              </w:rPr>
              <w:t>《建筑设计防火规范（2018年版）》（GB50016-2014）表4.2.1及注6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blHeader/>
          <w:jc w:val="center"/>
        </w:trPr>
        <w:tc>
          <w:tcPr>
            <w:tcW w:w="862" w:type="dxa"/>
            <w:vAlign w:val="center"/>
          </w:tcPr>
          <w:p>
            <w:pPr>
              <w:keepNext/>
              <w:adjustRightInd w:val="0"/>
              <w:snapToGrid w:val="0"/>
              <w:spacing w:line="500" w:lineRule="exact"/>
              <w:jc w:val="center"/>
              <w:rPr>
                <w:color w:val="000000" w:themeColor="text1"/>
                <w:szCs w:val="21"/>
              </w:rPr>
            </w:pPr>
            <w:r>
              <w:rPr>
                <w:rFonts w:hint="eastAsia"/>
                <w:color w:val="000000" w:themeColor="text1"/>
                <w:szCs w:val="21"/>
              </w:rPr>
              <w:t>南</w:t>
            </w:r>
          </w:p>
        </w:tc>
        <w:tc>
          <w:tcPr>
            <w:tcW w:w="1116" w:type="dxa"/>
            <w:vAlign w:val="center"/>
          </w:tcPr>
          <w:p>
            <w:pPr>
              <w:keepNext/>
              <w:adjustRightInd w:val="0"/>
              <w:snapToGrid w:val="0"/>
              <w:spacing w:line="500" w:lineRule="exact"/>
              <w:jc w:val="center"/>
              <w:rPr>
                <w:color w:val="000000" w:themeColor="text1"/>
                <w:szCs w:val="21"/>
              </w:rPr>
            </w:pPr>
            <w:r>
              <w:rPr>
                <w:rFonts w:hint="eastAsia"/>
                <w:color w:val="000000" w:themeColor="text1"/>
                <w:szCs w:val="21"/>
              </w:rPr>
              <w:t>公路</w:t>
            </w:r>
          </w:p>
        </w:tc>
        <w:tc>
          <w:tcPr>
            <w:tcW w:w="1090" w:type="dxa"/>
            <w:vAlign w:val="center"/>
          </w:tcPr>
          <w:p>
            <w:pPr>
              <w:keepNext/>
              <w:adjustRightInd w:val="0"/>
              <w:snapToGrid w:val="0"/>
              <w:spacing w:line="500" w:lineRule="exact"/>
              <w:jc w:val="center"/>
              <w:rPr>
                <w:color w:val="000000" w:themeColor="text1"/>
                <w:szCs w:val="21"/>
              </w:rPr>
            </w:pPr>
            <w:r>
              <w:rPr>
                <w:rFonts w:hint="eastAsia"/>
                <w:color w:val="000000" w:themeColor="text1"/>
                <w:szCs w:val="21"/>
              </w:rPr>
              <w:t>20</w:t>
            </w:r>
          </w:p>
        </w:tc>
        <w:tc>
          <w:tcPr>
            <w:tcW w:w="1083" w:type="dxa"/>
            <w:vAlign w:val="center"/>
          </w:tcPr>
          <w:p>
            <w:pPr>
              <w:keepNext/>
              <w:adjustRightInd w:val="0"/>
              <w:snapToGrid w:val="0"/>
              <w:spacing w:line="500" w:lineRule="exact"/>
              <w:jc w:val="center"/>
              <w:rPr>
                <w:b/>
                <w:bCs/>
                <w:color w:val="000000" w:themeColor="text1"/>
                <w:szCs w:val="21"/>
              </w:rPr>
            </w:pPr>
            <w:r>
              <w:rPr>
                <w:rFonts w:hint="eastAsia"/>
                <w:b/>
                <w:bCs/>
                <w:color w:val="000000" w:themeColor="text1"/>
                <w:szCs w:val="21"/>
              </w:rPr>
              <w:t>20</w:t>
            </w:r>
          </w:p>
        </w:tc>
        <w:tc>
          <w:tcPr>
            <w:tcW w:w="4607" w:type="dxa"/>
            <w:vAlign w:val="center"/>
          </w:tcPr>
          <w:p>
            <w:pPr>
              <w:keepNext/>
              <w:adjustRightInd w:val="0"/>
              <w:snapToGrid w:val="0"/>
              <w:jc w:val="center"/>
              <w:rPr>
                <w:color w:val="000000" w:themeColor="text1"/>
                <w:szCs w:val="21"/>
              </w:rPr>
            </w:pPr>
            <w:r>
              <w:rPr>
                <w:rFonts w:hint="eastAsia"/>
                <w:color w:val="000000" w:themeColor="text1"/>
                <w:szCs w:val="21"/>
              </w:rPr>
              <w:t>《建筑设计防火规范（2018年版）》（GB50016-2014）表4.2.9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blHeader/>
          <w:jc w:val="center"/>
        </w:trPr>
        <w:tc>
          <w:tcPr>
            <w:tcW w:w="862" w:type="dxa"/>
            <w:vMerge w:val="restart"/>
            <w:vAlign w:val="center"/>
          </w:tcPr>
          <w:p>
            <w:pPr>
              <w:keepNext/>
              <w:adjustRightInd w:val="0"/>
              <w:snapToGrid w:val="0"/>
              <w:spacing w:line="500" w:lineRule="exact"/>
              <w:jc w:val="center"/>
              <w:rPr>
                <w:rFonts w:hint="eastAsia" w:ascii="Times New Roman" w:hAnsi="Times New Roman" w:eastAsia="宋体" w:cs="Times New Roman"/>
                <w:color w:val="000000" w:themeColor="text1"/>
                <w:kern w:val="2"/>
                <w:sz w:val="21"/>
                <w:szCs w:val="21"/>
                <w:lang w:val="en-US" w:eastAsia="zh-CN" w:bidi="ar-SA"/>
              </w:rPr>
            </w:pPr>
            <w:r>
              <w:rPr>
                <w:color w:val="000000" w:themeColor="text1"/>
                <w:szCs w:val="21"/>
              </w:rPr>
              <w:t>方位</w:t>
            </w:r>
          </w:p>
        </w:tc>
        <w:tc>
          <w:tcPr>
            <w:tcW w:w="1116" w:type="dxa"/>
            <w:vMerge w:val="restart"/>
            <w:vAlign w:val="center"/>
          </w:tcPr>
          <w:p>
            <w:pPr>
              <w:keepNext/>
              <w:adjustRightInd w:val="0"/>
              <w:snapToGrid w:val="0"/>
              <w:spacing w:line="500" w:lineRule="exact"/>
              <w:rPr>
                <w:rFonts w:hint="eastAsia" w:ascii="Times New Roman" w:hAnsi="Times New Roman" w:eastAsia="宋体" w:cs="Times New Roman"/>
                <w:color w:val="000000" w:themeColor="text1"/>
                <w:kern w:val="2"/>
                <w:sz w:val="21"/>
                <w:szCs w:val="21"/>
                <w:lang w:val="en-US" w:eastAsia="zh-CN" w:bidi="ar-SA"/>
              </w:rPr>
            </w:pPr>
            <w:r>
              <w:rPr>
                <w:color w:val="000000" w:themeColor="text1"/>
                <w:szCs w:val="21"/>
              </w:rPr>
              <w:t>周边环境</w:t>
            </w:r>
          </w:p>
        </w:tc>
        <w:tc>
          <w:tcPr>
            <w:tcW w:w="6780" w:type="dxa"/>
            <w:gridSpan w:val="3"/>
            <w:vAlign w:val="center"/>
          </w:tcPr>
          <w:p>
            <w:pPr>
              <w:keepNext/>
              <w:adjustRightInd w:val="0"/>
              <w:snapToGrid w:val="0"/>
              <w:spacing w:line="500" w:lineRule="exact"/>
              <w:jc w:val="center"/>
              <w:rPr>
                <w:rFonts w:hint="eastAsia"/>
                <w:color w:val="000000" w:themeColor="text1"/>
                <w:szCs w:val="21"/>
              </w:rPr>
            </w:pPr>
            <w:r>
              <w:rPr>
                <w:rFonts w:hint="eastAsia"/>
                <w:color w:val="000000" w:themeColor="text1"/>
                <w:szCs w:val="21"/>
                <w:lang w:val="en-US" w:eastAsia="zh-CN"/>
              </w:rPr>
              <w:t>加注机、</w:t>
            </w:r>
            <w:r>
              <w:rPr>
                <w:color w:val="000000" w:themeColor="text1"/>
                <w:szCs w:val="21"/>
              </w:rPr>
              <w:t>甲醇通气口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blHeader/>
          <w:jc w:val="center"/>
        </w:trPr>
        <w:tc>
          <w:tcPr>
            <w:tcW w:w="862" w:type="dxa"/>
            <w:vMerge w:val="continue"/>
            <w:vAlign w:val="center"/>
          </w:tcPr>
          <w:p>
            <w:pPr>
              <w:keepNext/>
              <w:adjustRightInd w:val="0"/>
              <w:snapToGrid w:val="0"/>
              <w:spacing w:line="500" w:lineRule="exact"/>
              <w:jc w:val="center"/>
              <w:rPr>
                <w:rFonts w:hint="eastAsia"/>
                <w:color w:val="000000" w:themeColor="text1"/>
                <w:szCs w:val="21"/>
              </w:rPr>
            </w:pPr>
          </w:p>
        </w:tc>
        <w:tc>
          <w:tcPr>
            <w:tcW w:w="1116" w:type="dxa"/>
            <w:vMerge w:val="continue"/>
            <w:vAlign w:val="center"/>
          </w:tcPr>
          <w:p>
            <w:pPr>
              <w:keepNext/>
              <w:adjustRightInd w:val="0"/>
              <w:snapToGrid w:val="0"/>
              <w:spacing w:line="500" w:lineRule="exact"/>
              <w:jc w:val="center"/>
              <w:rPr>
                <w:rFonts w:hint="eastAsia"/>
                <w:color w:val="000000" w:themeColor="text1"/>
                <w:szCs w:val="21"/>
              </w:rPr>
            </w:pPr>
          </w:p>
        </w:tc>
        <w:tc>
          <w:tcPr>
            <w:tcW w:w="1090" w:type="dxa"/>
            <w:vAlign w:val="center"/>
          </w:tcPr>
          <w:p>
            <w:pPr>
              <w:keepNext/>
              <w:adjustRightInd w:val="0"/>
              <w:snapToGrid w:val="0"/>
              <w:spacing w:line="500" w:lineRule="exact"/>
              <w:jc w:val="center"/>
              <w:rPr>
                <w:rFonts w:hint="eastAsia"/>
                <w:color w:val="000000" w:themeColor="text1"/>
                <w:szCs w:val="21"/>
              </w:rPr>
            </w:pPr>
            <w:r>
              <w:rPr>
                <w:color w:val="000000" w:themeColor="text1"/>
                <w:szCs w:val="21"/>
              </w:rPr>
              <w:t>实测值</w:t>
            </w:r>
          </w:p>
        </w:tc>
        <w:tc>
          <w:tcPr>
            <w:tcW w:w="1083" w:type="dxa"/>
            <w:vAlign w:val="center"/>
          </w:tcPr>
          <w:p>
            <w:pPr>
              <w:keepNext/>
              <w:adjustRightInd w:val="0"/>
              <w:snapToGrid w:val="0"/>
              <w:spacing w:line="500" w:lineRule="exact"/>
              <w:jc w:val="center"/>
              <w:rPr>
                <w:rFonts w:hint="eastAsia"/>
                <w:b/>
                <w:bCs/>
                <w:color w:val="000000" w:themeColor="text1"/>
                <w:szCs w:val="21"/>
              </w:rPr>
            </w:pPr>
            <w:r>
              <w:rPr>
                <w:b/>
                <w:bCs/>
                <w:color w:val="000000" w:themeColor="text1"/>
                <w:szCs w:val="21"/>
              </w:rPr>
              <w:t>标准值</w:t>
            </w:r>
          </w:p>
        </w:tc>
        <w:tc>
          <w:tcPr>
            <w:tcW w:w="4607" w:type="dxa"/>
            <w:vAlign w:val="center"/>
          </w:tcPr>
          <w:p>
            <w:pPr>
              <w:keepNext/>
              <w:adjustRightInd w:val="0"/>
              <w:snapToGrid w:val="0"/>
              <w:spacing w:line="500" w:lineRule="exact"/>
              <w:jc w:val="center"/>
              <w:rPr>
                <w:rFonts w:hint="eastAsia"/>
                <w:color w:val="000000" w:themeColor="text1"/>
                <w:szCs w:val="21"/>
              </w:rPr>
            </w:pPr>
            <w:r>
              <w:rPr>
                <w:rFonts w:hint="eastAsia"/>
                <w:color w:val="000000" w:themeColor="text1"/>
                <w:szCs w:val="21"/>
              </w:rPr>
              <w:t>依据标准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blHeader/>
          <w:jc w:val="center"/>
        </w:trPr>
        <w:tc>
          <w:tcPr>
            <w:tcW w:w="862" w:type="dxa"/>
            <w:vAlign w:val="center"/>
          </w:tcPr>
          <w:p>
            <w:pPr>
              <w:keepNext/>
              <w:adjustRightInd w:val="0"/>
              <w:snapToGrid w:val="0"/>
              <w:spacing w:line="500" w:lineRule="exact"/>
              <w:jc w:val="center"/>
              <w:rPr>
                <w:rFonts w:hint="eastAsia" w:ascii="Times New Roman" w:hAnsi="Times New Roman" w:eastAsia="宋体" w:cs="Times New Roman"/>
                <w:color w:val="000000" w:themeColor="text1"/>
                <w:kern w:val="2"/>
                <w:sz w:val="21"/>
                <w:szCs w:val="21"/>
                <w:lang w:val="en-US" w:eastAsia="zh-CN" w:bidi="ar-SA"/>
              </w:rPr>
            </w:pPr>
            <w:r>
              <w:rPr>
                <w:rFonts w:hint="eastAsia"/>
                <w:color w:val="000000" w:themeColor="text1"/>
                <w:szCs w:val="21"/>
              </w:rPr>
              <w:t>东南面</w:t>
            </w:r>
          </w:p>
        </w:tc>
        <w:tc>
          <w:tcPr>
            <w:tcW w:w="1116" w:type="dxa"/>
            <w:vAlign w:val="center"/>
          </w:tcPr>
          <w:p>
            <w:pPr>
              <w:keepNext/>
              <w:adjustRightInd w:val="0"/>
              <w:snapToGrid w:val="0"/>
              <w:spacing w:line="500" w:lineRule="exact"/>
              <w:jc w:val="center"/>
              <w:rPr>
                <w:rFonts w:hint="eastAsia" w:ascii="Times New Roman" w:hAnsi="Times New Roman" w:eastAsia="宋体" w:cs="Times New Roman"/>
                <w:color w:val="000000" w:themeColor="text1"/>
                <w:kern w:val="2"/>
                <w:sz w:val="21"/>
                <w:szCs w:val="21"/>
                <w:lang w:val="en-US" w:eastAsia="zh-CN" w:bidi="ar-SA"/>
              </w:rPr>
            </w:pPr>
            <w:r>
              <w:rPr>
                <w:color w:val="000000" w:themeColor="text1"/>
                <w:szCs w:val="21"/>
              </w:rPr>
              <w:t>民房</w:t>
            </w:r>
            <w:r>
              <w:rPr>
                <w:rFonts w:hint="eastAsia"/>
                <w:color w:val="000000" w:themeColor="text1"/>
                <w:szCs w:val="21"/>
              </w:rPr>
              <w:t>（三级）</w:t>
            </w:r>
          </w:p>
        </w:tc>
        <w:tc>
          <w:tcPr>
            <w:tcW w:w="1090" w:type="dxa"/>
            <w:vAlign w:val="center"/>
          </w:tcPr>
          <w:p>
            <w:pPr>
              <w:keepNext/>
              <w:adjustRightInd w:val="0"/>
              <w:snapToGrid w:val="0"/>
              <w:spacing w:line="500" w:lineRule="exact"/>
              <w:jc w:val="center"/>
              <w:rPr>
                <w:rFonts w:hint="default" w:eastAsia="宋体"/>
                <w:color w:val="000000" w:themeColor="text1"/>
                <w:szCs w:val="21"/>
                <w:lang w:val="en-US" w:eastAsia="zh-CN"/>
              </w:rPr>
            </w:pPr>
            <w:r>
              <w:rPr>
                <w:rFonts w:hint="eastAsia"/>
                <w:color w:val="000000" w:themeColor="text1"/>
                <w:szCs w:val="21"/>
                <w:lang w:val="en-US" w:eastAsia="zh-CN"/>
              </w:rPr>
              <w:t>11.7</w:t>
            </w:r>
          </w:p>
        </w:tc>
        <w:tc>
          <w:tcPr>
            <w:tcW w:w="1083" w:type="dxa"/>
            <w:vAlign w:val="center"/>
          </w:tcPr>
          <w:p>
            <w:pPr>
              <w:keepNext/>
              <w:adjustRightInd w:val="0"/>
              <w:snapToGrid w:val="0"/>
              <w:spacing w:line="500" w:lineRule="exact"/>
              <w:jc w:val="center"/>
              <w:rPr>
                <w:rFonts w:hint="eastAsia" w:eastAsia="宋体"/>
                <w:b/>
                <w:bCs/>
                <w:color w:val="000000" w:themeColor="text1"/>
                <w:szCs w:val="21"/>
                <w:lang w:val="en-US" w:eastAsia="zh-CN"/>
              </w:rPr>
            </w:pPr>
            <w:r>
              <w:rPr>
                <w:rFonts w:hint="eastAsia"/>
                <w:b/>
                <w:bCs/>
                <w:color w:val="000000" w:themeColor="text1"/>
                <w:szCs w:val="21"/>
                <w:lang w:val="en-US" w:eastAsia="zh-CN"/>
              </w:rPr>
              <w:t>7</w:t>
            </w:r>
          </w:p>
        </w:tc>
        <w:tc>
          <w:tcPr>
            <w:tcW w:w="4607" w:type="dxa"/>
            <w:vAlign w:val="center"/>
          </w:tcPr>
          <w:p>
            <w:pPr>
              <w:keepNext/>
              <w:adjustRightInd w:val="0"/>
              <w:snapToGrid w:val="0"/>
              <w:jc w:val="center"/>
              <w:rPr>
                <w:rFonts w:hint="default" w:eastAsia="宋体"/>
                <w:color w:val="000000" w:themeColor="text1"/>
                <w:szCs w:val="21"/>
                <w:lang w:val="en-US" w:eastAsia="zh-CN"/>
              </w:rPr>
            </w:pPr>
            <w:r>
              <w:rPr>
                <w:rFonts w:hint="eastAsia"/>
                <w:color w:val="000000" w:themeColor="text1"/>
                <w:szCs w:val="21"/>
              </w:rPr>
              <w:t>《汽车加油加气加氢站技术标准》（GB50156-2021）</w:t>
            </w:r>
            <w:r>
              <w:rPr>
                <w:rFonts w:hint="eastAsia"/>
                <w:color w:val="000000" w:themeColor="text1"/>
                <w:szCs w:val="21"/>
                <w:lang w:val="en-US" w:eastAsia="zh-CN"/>
              </w:rPr>
              <w:t>4.0.4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blHeader/>
          <w:jc w:val="center"/>
        </w:trPr>
        <w:tc>
          <w:tcPr>
            <w:tcW w:w="862" w:type="dxa"/>
            <w:vAlign w:val="center"/>
          </w:tcPr>
          <w:p>
            <w:pPr>
              <w:keepNext/>
              <w:adjustRightInd w:val="0"/>
              <w:snapToGrid w:val="0"/>
              <w:spacing w:line="500" w:lineRule="exact"/>
              <w:jc w:val="center"/>
              <w:rPr>
                <w:rFonts w:hint="eastAsia" w:ascii="Times New Roman" w:hAnsi="Times New Roman" w:eastAsia="宋体" w:cs="Times New Roman"/>
                <w:color w:val="000000" w:themeColor="text1"/>
                <w:kern w:val="2"/>
                <w:sz w:val="21"/>
                <w:szCs w:val="21"/>
                <w:lang w:val="en-US" w:eastAsia="zh-CN" w:bidi="ar-SA"/>
              </w:rPr>
            </w:pPr>
            <w:r>
              <w:rPr>
                <w:rFonts w:hint="eastAsia"/>
                <w:color w:val="000000" w:themeColor="text1"/>
                <w:szCs w:val="21"/>
              </w:rPr>
              <w:t>西南面</w:t>
            </w:r>
          </w:p>
        </w:tc>
        <w:tc>
          <w:tcPr>
            <w:tcW w:w="1116" w:type="dxa"/>
            <w:vAlign w:val="center"/>
          </w:tcPr>
          <w:p>
            <w:pPr>
              <w:keepNext/>
              <w:adjustRightInd w:val="0"/>
              <w:snapToGrid w:val="0"/>
              <w:spacing w:line="500" w:lineRule="exact"/>
              <w:jc w:val="center"/>
              <w:rPr>
                <w:rFonts w:hint="eastAsia" w:ascii="Times New Roman" w:hAnsi="Times New Roman" w:eastAsia="宋体" w:cs="Times New Roman"/>
                <w:color w:val="000000" w:themeColor="text1"/>
                <w:kern w:val="2"/>
                <w:sz w:val="21"/>
                <w:szCs w:val="21"/>
                <w:lang w:val="en-US" w:eastAsia="zh-CN" w:bidi="ar-SA"/>
              </w:rPr>
            </w:pPr>
            <w:r>
              <w:rPr>
                <w:rFonts w:hint="eastAsia"/>
                <w:color w:val="000000" w:themeColor="text1"/>
                <w:szCs w:val="21"/>
              </w:rPr>
              <w:t>民房（三级）</w:t>
            </w:r>
          </w:p>
        </w:tc>
        <w:tc>
          <w:tcPr>
            <w:tcW w:w="1090" w:type="dxa"/>
            <w:vAlign w:val="center"/>
          </w:tcPr>
          <w:p>
            <w:pPr>
              <w:keepNext/>
              <w:adjustRightInd w:val="0"/>
              <w:snapToGrid w:val="0"/>
              <w:spacing w:line="500" w:lineRule="exact"/>
              <w:jc w:val="center"/>
              <w:rPr>
                <w:rFonts w:hint="default" w:eastAsia="宋体"/>
                <w:color w:val="000000" w:themeColor="text1"/>
                <w:szCs w:val="21"/>
                <w:lang w:val="en-US" w:eastAsia="zh-CN"/>
              </w:rPr>
            </w:pPr>
            <w:r>
              <w:rPr>
                <w:rFonts w:hint="eastAsia"/>
                <w:color w:val="000000" w:themeColor="text1"/>
                <w:szCs w:val="21"/>
                <w:lang w:val="en-US" w:eastAsia="zh-CN"/>
              </w:rPr>
              <w:t>32</w:t>
            </w:r>
          </w:p>
        </w:tc>
        <w:tc>
          <w:tcPr>
            <w:tcW w:w="1083" w:type="dxa"/>
            <w:vAlign w:val="center"/>
          </w:tcPr>
          <w:p>
            <w:pPr>
              <w:keepNext/>
              <w:adjustRightInd w:val="0"/>
              <w:snapToGrid w:val="0"/>
              <w:spacing w:line="500" w:lineRule="exact"/>
              <w:jc w:val="center"/>
              <w:rPr>
                <w:rFonts w:hint="eastAsia" w:eastAsia="宋体"/>
                <w:b/>
                <w:bCs/>
                <w:color w:val="000000" w:themeColor="text1"/>
                <w:szCs w:val="21"/>
                <w:lang w:val="en-US" w:eastAsia="zh-CN"/>
              </w:rPr>
            </w:pPr>
            <w:r>
              <w:rPr>
                <w:rFonts w:hint="eastAsia"/>
                <w:b/>
                <w:bCs/>
                <w:color w:val="000000" w:themeColor="text1"/>
                <w:szCs w:val="21"/>
                <w:lang w:val="en-US" w:eastAsia="zh-CN"/>
              </w:rPr>
              <w:t>7</w:t>
            </w:r>
          </w:p>
        </w:tc>
        <w:tc>
          <w:tcPr>
            <w:tcW w:w="4607" w:type="dxa"/>
            <w:vAlign w:val="center"/>
          </w:tcPr>
          <w:p>
            <w:pPr>
              <w:keepNext/>
              <w:adjustRightInd w:val="0"/>
              <w:snapToGrid w:val="0"/>
              <w:jc w:val="center"/>
              <w:rPr>
                <w:rFonts w:hint="eastAsia"/>
                <w:color w:val="000000" w:themeColor="text1"/>
                <w:szCs w:val="21"/>
              </w:rPr>
            </w:pPr>
            <w:r>
              <w:rPr>
                <w:rFonts w:hint="eastAsia"/>
                <w:color w:val="000000" w:themeColor="text1"/>
                <w:szCs w:val="21"/>
              </w:rPr>
              <w:t>《汽车加油加气加氢站技术标准》（GB50156-2021）</w:t>
            </w:r>
            <w:r>
              <w:rPr>
                <w:rFonts w:hint="eastAsia"/>
                <w:color w:val="000000" w:themeColor="text1"/>
                <w:szCs w:val="21"/>
                <w:lang w:val="en-US" w:eastAsia="zh-CN"/>
              </w:rPr>
              <w:t>4.0.4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blHeader/>
          <w:jc w:val="center"/>
        </w:trPr>
        <w:tc>
          <w:tcPr>
            <w:tcW w:w="862" w:type="dxa"/>
            <w:vAlign w:val="center"/>
          </w:tcPr>
          <w:p>
            <w:pPr>
              <w:keepNext/>
              <w:adjustRightInd w:val="0"/>
              <w:snapToGrid w:val="0"/>
              <w:spacing w:line="500" w:lineRule="exact"/>
              <w:jc w:val="center"/>
              <w:rPr>
                <w:rFonts w:hint="eastAsia" w:ascii="Times New Roman" w:hAnsi="Times New Roman" w:eastAsia="宋体" w:cs="Times New Roman"/>
                <w:color w:val="000000" w:themeColor="text1"/>
                <w:kern w:val="2"/>
                <w:sz w:val="21"/>
                <w:szCs w:val="21"/>
                <w:lang w:val="en-US" w:eastAsia="zh-CN" w:bidi="ar-SA"/>
              </w:rPr>
            </w:pPr>
            <w:r>
              <w:rPr>
                <w:rFonts w:hint="eastAsia"/>
                <w:color w:val="000000" w:themeColor="text1"/>
                <w:szCs w:val="21"/>
              </w:rPr>
              <w:t>东面</w:t>
            </w:r>
          </w:p>
        </w:tc>
        <w:tc>
          <w:tcPr>
            <w:tcW w:w="1116" w:type="dxa"/>
            <w:vAlign w:val="center"/>
          </w:tcPr>
          <w:p>
            <w:pPr>
              <w:keepNext/>
              <w:adjustRightInd w:val="0"/>
              <w:snapToGrid w:val="0"/>
              <w:spacing w:line="500" w:lineRule="exact"/>
              <w:jc w:val="center"/>
              <w:rPr>
                <w:rFonts w:hint="eastAsia" w:ascii="Times New Roman" w:hAnsi="Times New Roman" w:eastAsia="宋体" w:cs="Times New Roman"/>
                <w:color w:val="000000" w:themeColor="text1"/>
                <w:kern w:val="2"/>
                <w:sz w:val="21"/>
                <w:szCs w:val="21"/>
                <w:lang w:val="en-US" w:eastAsia="zh-CN" w:bidi="ar-SA"/>
              </w:rPr>
            </w:pPr>
            <w:r>
              <w:rPr>
                <w:rFonts w:hint="eastAsia"/>
                <w:color w:val="000000" w:themeColor="text1"/>
                <w:szCs w:val="21"/>
              </w:rPr>
              <w:t>民房</w:t>
            </w:r>
          </w:p>
        </w:tc>
        <w:tc>
          <w:tcPr>
            <w:tcW w:w="1090" w:type="dxa"/>
            <w:vAlign w:val="center"/>
          </w:tcPr>
          <w:p>
            <w:pPr>
              <w:keepNext/>
              <w:adjustRightInd w:val="0"/>
              <w:snapToGrid w:val="0"/>
              <w:spacing w:line="500" w:lineRule="exact"/>
              <w:jc w:val="center"/>
              <w:rPr>
                <w:rFonts w:hint="default" w:eastAsia="宋体"/>
                <w:color w:val="000000" w:themeColor="text1"/>
                <w:szCs w:val="21"/>
                <w:lang w:val="en-US" w:eastAsia="zh-CN"/>
              </w:rPr>
            </w:pPr>
            <w:r>
              <w:rPr>
                <w:rFonts w:hint="eastAsia"/>
                <w:color w:val="000000" w:themeColor="text1"/>
                <w:szCs w:val="21"/>
                <w:lang w:val="en-US" w:eastAsia="zh-CN"/>
              </w:rPr>
              <w:t>1.7</w:t>
            </w:r>
          </w:p>
        </w:tc>
        <w:tc>
          <w:tcPr>
            <w:tcW w:w="1083" w:type="dxa"/>
            <w:vAlign w:val="center"/>
          </w:tcPr>
          <w:p>
            <w:pPr>
              <w:keepNext/>
              <w:adjustRightInd w:val="0"/>
              <w:snapToGrid w:val="0"/>
              <w:spacing w:line="500" w:lineRule="exact"/>
              <w:jc w:val="center"/>
              <w:rPr>
                <w:rFonts w:hint="eastAsia" w:eastAsia="宋体"/>
                <w:b/>
                <w:bCs/>
                <w:color w:val="000000" w:themeColor="text1"/>
                <w:szCs w:val="21"/>
                <w:lang w:val="en-US" w:eastAsia="zh-CN"/>
              </w:rPr>
            </w:pPr>
            <w:r>
              <w:rPr>
                <w:rFonts w:hint="eastAsia"/>
                <w:b/>
                <w:bCs/>
                <w:color w:val="000000" w:themeColor="text1"/>
                <w:szCs w:val="21"/>
                <w:lang w:val="en-US" w:eastAsia="zh-CN"/>
              </w:rPr>
              <w:t>7</w:t>
            </w:r>
          </w:p>
        </w:tc>
        <w:tc>
          <w:tcPr>
            <w:tcW w:w="4607" w:type="dxa"/>
            <w:vAlign w:val="center"/>
          </w:tcPr>
          <w:p>
            <w:pPr>
              <w:keepNext/>
              <w:adjustRightInd w:val="0"/>
              <w:snapToGrid w:val="0"/>
              <w:jc w:val="center"/>
              <w:rPr>
                <w:rFonts w:hint="eastAsia"/>
                <w:color w:val="000000" w:themeColor="text1"/>
                <w:szCs w:val="21"/>
              </w:rPr>
            </w:pPr>
            <w:r>
              <w:rPr>
                <w:rFonts w:hint="eastAsia"/>
                <w:color w:val="000000" w:themeColor="text1"/>
                <w:szCs w:val="21"/>
              </w:rPr>
              <w:t>《汽车加油加气加氢站技术标准》（GB50156-2021）</w:t>
            </w:r>
            <w:r>
              <w:rPr>
                <w:rFonts w:hint="eastAsia"/>
                <w:color w:val="000000" w:themeColor="text1"/>
                <w:szCs w:val="21"/>
                <w:lang w:val="en-US" w:eastAsia="zh-CN"/>
              </w:rPr>
              <w:t>4.0.4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blHeader/>
          <w:jc w:val="center"/>
        </w:trPr>
        <w:tc>
          <w:tcPr>
            <w:tcW w:w="862" w:type="dxa"/>
            <w:vAlign w:val="center"/>
          </w:tcPr>
          <w:p>
            <w:pPr>
              <w:keepNext/>
              <w:adjustRightInd w:val="0"/>
              <w:snapToGrid w:val="0"/>
              <w:spacing w:line="500" w:lineRule="exact"/>
              <w:jc w:val="center"/>
              <w:rPr>
                <w:rFonts w:hint="eastAsia" w:ascii="Times New Roman" w:hAnsi="Times New Roman" w:eastAsia="宋体" w:cs="Times New Roman"/>
                <w:color w:val="000000" w:themeColor="text1"/>
                <w:kern w:val="2"/>
                <w:sz w:val="21"/>
                <w:szCs w:val="21"/>
                <w:lang w:val="en-US" w:eastAsia="zh-CN" w:bidi="ar-SA"/>
              </w:rPr>
            </w:pPr>
            <w:r>
              <w:rPr>
                <w:rFonts w:hint="eastAsia"/>
                <w:color w:val="000000" w:themeColor="text1"/>
                <w:szCs w:val="21"/>
              </w:rPr>
              <w:t>南</w:t>
            </w:r>
          </w:p>
        </w:tc>
        <w:tc>
          <w:tcPr>
            <w:tcW w:w="1116" w:type="dxa"/>
            <w:vAlign w:val="center"/>
          </w:tcPr>
          <w:p>
            <w:pPr>
              <w:keepNext/>
              <w:adjustRightInd w:val="0"/>
              <w:snapToGrid w:val="0"/>
              <w:spacing w:line="500" w:lineRule="exact"/>
              <w:jc w:val="center"/>
              <w:rPr>
                <w:rFonts w:hint="eastAsia" w:ascii="Times New Roman" w:hAnsi="Times New Roman" w:eastAsia="宋体" w:cs="Times New Roman"/>
                <w:color w:val="000000" w:themeColor="text1"/>
                <w:kern w:val="2"/>
                <w:sz w:val="21"/>
                <w:szCs w:val="21"/>
                <w:lang w:val="en-US" w:eastAsia="zh-CN" w:bidi="ar-SA"/>
              </w:rPr>
            </w:pPr>
            <w:r>
              <w:rPr>
                <w:rFonts w:hint="eastAsia"/>
                <w:color w:val="000000" w:themeColor="text1"/>
                <w:szCs w:val="21"/>
              </w:rPr>
              <w:t>公路</w:t>
            </w:r>
          </w:p>
        </w:tc>
        <w:tc>
          <w:tcPr>
            <w:tcW w:w="1090" w:type="dxa"/>
            <w:vAlign w:val="center"/>
          </w:tcPr>
          <w:p>
            <w:pPr>
              <w:keepNext/>
              <w:adjustRightInd w:val="0"/>
              <w:snapToGrid w:val="0"/>
              <w:spacing w:line="500" w:lineRule="exact"/>
              <w:jc w:val="center"/>
              <w:rPr>
                <w:rFonts w:hint="default" w:eastAsia="宋体"/>
                <w:color w:val="000000" w:themeColor="text1"/>
                <w:szCs w:val="21"/>
                <w:lang w:val="en-US" w:eastAsia="zh-CN"/>
              </w:rPr>
            </w:pPr>
            <w:r>
              <w:rPr>
                <w:rFonts w:hint="eastAsia"/>
                <w:color w:val="000000" w:themeColor="text1"/>
                <w:szCs w:val="21"/>
                <w:lang w:val="en-US" w:eastAsia="zh-CN"/>
              </w:rPr>
              <w:t>24.2</w:t>
            </w:r>
          </w:p>
        </w:tc>
        <w:tc>
          <w:tcPr>
            <w:tcW w:w="1083" w:type="dxa"/>
            <w:vAlign w:val="center"/>
          </w:tcPr>
          <w:p>
            <w:pPr>
              <w:keepNext/>
              <w:adjustRightInd w:val="0"/>
              <w:snapToGrid w:val="0"/>
              <w:spacing w:line="500" w:lineRule="exact"/>
              <w:jc w:val="center"/>
              <w:rPr>
                <w:rFonts w:hint="default" w:eastAsia="宋体"/>
                <w:b/>
                <w:bCs/>
                <w:color w:val="000000" w:themeColor="text1"/>
                <w:szCs w:val="21"/>
                <w:lang w:val="en-US" w:eastAsia="zh-CN"/>
              </w:rPr>
            </w:pPr>
            <w:r>
              <w:rPr>
                <w:rFonts w:hint="eastAsia"/>
                <w:b/>
                <w:bCs/>
                <w:color w:val="000000" w:themeColor="text1"/>
                <w:szCs w:val="21"/>
                <w:lang w:val="en-US" w:eastAsia="zh-CN"/>
              </w:rPr>
              <w:t>5</w:t>
            </w:r>
          </w:p>
        </w:tc>
        <w:tc>
          <w:tcPr>
            <w:tcW w:w="4607" w:type="dxa"/>
            <w:vAlign w:val="center"/>
          </w:tcPr>
          <w:p>
            <w:pPr>
              <w:keepNext/>
              <w:adjustRightInd w:val="0"/>
              <w:snapToGrid w:val="0"/>
              <w:jc w:val="center"/>
              <w:rPr>
                <w:rFonts w:hint="eastAsia"/>
                <w:color w:val="000000" w:themeColor="text1"/>
                <w:szCs w:val="21"/>
              </w:rPr>
            </w:pPr>
            <w:r>
              <w:rPr>
                <w:rFonts w:hint="eastAsia"/>
                <w:color w:val="000000" w:themeColor="text1"/>
                <w:szCs w:val="21"/>
              </w:rPr>
              <w:t>《汽车加油加气加氢站技术标准》（GB50156-2021）</w:t>
            </w:r>
            <w:r>
              <w:rPr>
                <w:rFonts w:hint="eastAsia"/>
                <w:color w:val="000000" w:themeColor="text1"/>
                <w:szCs w:val="21"/>
                <w:lang w:val="en-US" w:eastAsia="zh-CN"/>
              </w:rPr>
              <w:t>4.0.4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blHeader/>
          <w:jc w:val="center"/>
        </w:trPr>
        <w:tc>
          <w:tcPr>
            <w:tcW w:w="862" w:type="dxa"/>
            <w:vAlign w:val="center"/>
          </w:tcPr>
          <w:p>
            <w:pPr>
              <w:keepNext/>
              <w:adjustRightInd w:val="0"/>
              <w:snapToGrid w:val="0"/>
              <w:spacing w:line="500" w:lineRule="exact"/>
              <w:jc w:val="center"/>
              <w:rPr>
                <w:rFonts w:hint="eastAsia"/>
                <w:color w:val="000000" w:themeColor="text1"/>
                <w:szCs w:val="21"/>
              </w:rPr>
            </w:pPr>
            <w:r>
              <w:rPr>
                <w:color w:val="000000" w:themeColor="text1"/>
                <w:szCs w:val="21"/>
              </w:rPr>
              <w:t>备注</w:t>
            </w:r>
          </w:p>
        </w:tc>
        <w:tc>
          <w:tcPr>
            <w:tcW w:w="7896" w:type="dxa"/>
            <w:gridSpan w:val="4"/>
            <w:vAlign w:val="center"/>
          </w:tcPr>
          <w:p>
            <w:pPr>
              <w:keepNext/>
              <w:adjustRightInd w:val="0"/>
              <w:snapToGrid w:val="0"/>
              <w:jc w:val="center"/>
              <w:rPr>
                <w:rFonts w:hint="eastAsia"/>
                <w:color w:val="000000" w:themeColor="text1"/>
                <w:szCs w:val="21"/>
              </w:rPr>
            </w:pPr>
            <w:r>
              <w:rPr>
                <w:rFonts w:hint="eastAsia" w:ascii="Times New Roman" w:hAnsi="Times New Roman"/>
                <w:color w:val="000000" w:themeColor="text1"/>
                <w:kern w:val="2"/>
                <w:sz w:val="21"/>
                <w:szCs w:val="21"/>
              </w:rPr>
              <w:t>间距起算点：通气管——中心线；储罐——罐外壁；建筑物——最凸出外缘；表中加粗的部分为标准值。</w:t>
            </w:r>
          </w:p>
        </w:tc>
      </w:tr>
    </w:tbl>
    <w:p>
      <w:pPr>
        <w:pStyle w:val="19"/>
        <w:spacing w:afterLines="100" w:line="500" w:lineRule="exact"/>
        <w:jc w:val="center"/>
        <w:rPr>
          <w:rFonts w:ascii="楷体_GB2312" w:hAnsi="宋体" w:eastAsia="楷体_GB2312"/>
          <w:color w:val="000000" w:themeColor="text1"/>
          <w:kern w:val="3"/>
        </w:rPr>
      </w:pPr>
      <w:bookmarkStart w:id="377" w:name="_Toc6802_WPSOffice_Level2"/>
      <w:bookmarkStart w:id="378" w:name="_Toc19063"/>
      <w:r>
        <w:rPr>
          <w:rFonts w:hint="eastAsia" w:ascii="楷体_GB2312" w:hAnsi="宋体" w:eastAsia="楷体_GB2312"/>
          <w:color w:val="000000" w:themeColor="text1"/>
          <w:kern w:val="3"/>
        </w:rPr>
        <w:t>2.3自然条件</w:t>
      </w:r>
      <w:bookmarkEnd w:id="377"/>
    </w:p>
    <w:p>
      <w:pPr>
        <w:pStyle w:val="19"/>
        <w:spacing w:afterLines="100" w:line="500" w:lineRule="exact"/>
        <w:rPr>
          <w:rFonts w:ascii="黑体" w:hAnsi="宋体" w:eastAsia="黑体"/>
          <w:color w:val="000000" w:themeColor="text1"/>
          <w:kern w:val="3"/>
          <w:sz w:val="28"/>
          <w:szCs w:val="28"/>
        </w:rPr>
      </w:pPr>
      <w:r>
        <w:rPr>
          <w:rFonts w:hint="eastAsia" w:ascii="黑体" w:hAnsi="宋体" w:eastAsia="黑体"/>
          <w:color w:val="000000" w:themeColor="text1"/>
          <w:kern w:val="3"/>
          <w:sz w:val="28"/>
          <w:szCs w:val="28"/>
        </w:rPr>
        <w:t>2.3.1气象条件</w:t>
      </w:r>
      <w:bookmarkEnd w:id="378"/>
    </w:p>
    <w:p>
      <w:pPr>
        <w:spacing w:line="500" w:lineRule="exact"/>
        <w:ind w:firstLine="560" w:firstLineChars="200"/>
        <w:rPr>
          <w:color w:val="000000" w:themeColor="text1"/>
          <w:sz w:val="28"/>
          <w:szCs w:val="28"/>
        </w:rPr>
      </w:pPr>
      <w:r>
        <w:rPr>
          <w:rFonts w:hint="eastAsia" w:ascii="宋体" w:hAnsi="宋体"/>
          <w:color w:val="000000" w:themeColor="text1"/>
          <w:sz w:val="28"/>
          <w:szCs w:val="28"/>
        </w:rPr>
        <w:t>昭通市昭阳区耀晨甲醇醇油有限公司地处昭通市昭阳区，</w:t>
      </w:r>
      <w:r>
        <w:rPr>
          <w:rFonts w:hint="eastAsia" w:ascii="宋体" w:hAnsi="宋体"/>
          <w:color w:val="000000"/>
          <w:sz w:val="28"/>
          <w:szCs w:val="28"/>
          <w:lang w:val="en-US" w:eastAsia="zh-CN"/>
        </w:rPr>
        <w:t>昭阳区</w:t>
      </w:r>
      <w:r>
        <w:rPr>
          <w:rFonts w:ascii="宋体" w:hAnsi="宋体"/>
          <w:color w:val="000000"/>
          <w:sz w:val="28"/>
          <w:szCs w:val="28"/>
        </w:rPr>
        <w:t>属亚热带、暖温带共存的高原季风立体气候，全市年平均气温在11.3℃—21.1℃之间，最冷月气温出现在1月，平均月气温在 1.2℃—12.2℃之间；最热月气温在7月，平均月气温在19.8℃—27.3℃之间；日照情况较差，春季较多，冬季次之，夏、秋较少；各县年平均降雨量在660—1230mm 之间，总的分布特点是北部多于南部，东部多于西部，高海拔多于低海拔；全市除永善县常年主风向为东风外，其余各县冬冷季节最多风向为北风或偏北风，夏季随着季风环境的改变，盛行西南风，但最多风向仍是偏北风，常年平均风速 2.5m/s</w:t>
      </w:r>
      <w:r>
        <w:rPr>
          <w:rFonts w:hint="eastAsia" w:ascii="宋体" w:hAnsi="宋体"/>
          <w:color w:val="000000"/>
          <w:sz w:val="28"/>
          <w:szCs w:val="28"/>
        </w:rPr>
        <w:t>；</w:t>
      </w:r>
      <w:r>
        <w:rPr>
          <w:rFonts w:ascii="宋体" w:hAnsi="宋体"/>
          <w:color w:val="000000"/>
          <w:sz w:val="28"/>
          <w:szCs w:val="28"/>
        </w:rPr>
        <w:t>昭阳区境内地处暖带，为北纬高原大陆季风气候</w:t>
      </w:r>
      <w:r>
        <w:rPr>
          <w:color w:val="000000" w:themeColor="text1"/>
          <w:sz w:val="28"/>
          <w:szCs w:val="28"/>
        </w:rPr>
        <w:t>。</w:t>
      </w:r>
    </w:p>
    <w:p>
      <w:pPr>
        <w:pStyle w:val="19"/>
        <w:spacing w:afterLines="100" w:line="500" w:lineRule="exact"/>
        <w:rPr>
          <w:rFonts w:hint="eastAsia" w:ascii="楷体_GB2312" w:hAnsi="宋体" w:eastAsia="楷体_GB2312"/>
          <w:color w:val="000000"/>
          <w:kern w:val="3"/>
        </w:rPr>
      </w:pPr>
      <w:bookmarkStart w:id="379" w:name="_Toc8476"/>
      <w:r>
        <w:rPr>
          <w:rFonts w:hint="eastAsia" w:ascii="黑体" w:hAnsi="宋体" w:eastAsia="黑体"/>
          <w:color w:val="000000" w:themeColor="text1"/>
          <w:kern w:val="3"/>
          <w:sz w:val="28"/>
          <w:szCs w:val="28"/>
        </w:rPr>
        <w:t>2.3.2</w:t>
      </w:r>
      <w:bookmarkEnd w:id="379"/>
      <w:r>
        <w:rPr>
          <w:rFonts w:hint="eastAsia" w:ascii="楷体_GB2312" w:hAnsi="宋体" w:eastAsia="楷体_GB2312"/>
          <w:color w:val="000000"/>
          <w:kern w:val="3"/>
        </w:rPr>
        <w:t>地形、地貌、地质条件、地下水、地震等条件</w:t>
      </w:r>
    </w:p>
    <w:p>
      <w:pPr>
        <w:spacing w:line="500" w:lineRule="exact"/>
        <w:ind w:firstLine="560" w:firstLineChars="200"/>
        <w:rPr>
          <w:rFonts w:hint="default" w:ascii="宋体" w:hAnsi="宋体"/>
          <w:color w:val="000000" w:themeColor="text1"/>
          <w:sz w:val="28"/>
          <w:szCs w:val="28"/>
          <w:lang w:val="en-US" w:eastAsia="zh-CN"/>
        </w:rPr>
      </w:pPr>
      <w:r>
        <w:rPr>
          <w:rFonts w:hint="eastAsia" w:ascii="宋体" w:hAnsi="宋体"/>
          <w:color w:val="000000" w:themeColor="text1"/>
          <w:sz w:val="28"/>
          <w:szCs w:val="28"/>
          <w:lang w:val="en-US" w:eastAsia="zh-CN"/>
        </w:rPr>
        <w:t>1.地形</w:t>
      </w:r>
    </w:p>
    <w:p>
      <w:pPr>
        <w:spacing w:line="500" w:lineRule="exact"/>
        <w:ind w:firstLine="560" w:firstLineChars="200"/>
        <w:rPr>
          <w:rFonts w:hint="eastAsia" w:ascii="宋体" w:hAnsi="宋体"/>
          <w:color w:val="000000" w:themeColor="text1"/>
          <w:sz w:val="28"/>
          <w:szCs w:val="28"/>
        </w:rPr>
      </w:pPr>
      <w:r>
        <w:rPr>
          <w:rFonts w:hint="eastAsia" w:ascii="宋体" w:hAnsi="宋体"/>
          <w:color w:val="000000" w:themeColor="text1"/>
          <w:sz w:val="28"/>
          <w:szCs w:val="28"/>
        </w:rPr>
        <w:t>昭通市昭阳区耀晨甲醇醇油有限公司未提供《场地岩土工程勘察报告》。根据评价组现场检查，</w:t>
      </w:r>
      <w:r>
        <w:rPr>
          <w:rFonts w:hint="eastAsia" w:ascii="宋体" w:hAnsi="宋体"/>
          <w:color w:val="000000" w:themeColor="text1"/>
          <w:sz w:val="28"/>
          <w:szCs w:val="28"/>
          <w:lang w:val="en-US" w:eastAsia="zh-CN"/>
        </w:rPr>
        <w:t>公司经营</w:t>
      </w:r>
      <w:r>
        <w:rPr>
          <w:rFonts w:hint="eastAsia" w:ascii="宋体" w:hAnsi="宋体"/>
          <w:color w:val="000000" w:themeColor="text1"/>
          <w:sz w:val="28"/>
          <w:szCs w:val="28"/>
        </w:rPr>
        <w:t>场地为平地，无洪水淹没危险。场地开阔无泥石流、滑坡、岩崩溶胀等不良地质现象，无山洪影响。</w:t>
      </w:r>
    </w:p>
    <w:p>
      <w:pPr>
        <w:spacing w:line="500" w:lineRule="exact"/>
        <w:ind w:firstLine="560" w:firstLineChars="200"/>
        <w:rPr>
          <w:rFonts w:hint="eastAsia" w:ascii="宋体" w:hAnsi="宋体"/>
          <w:color w:val="000000" w:themeColor="text1"/>
          <w:sz w:val="28"/>
          <w:szCs w:val="28"/>
        </w:rPr>
      </w:pPr>
      <w:r>
        <w:rPr>
          <w:rFonts w:hint="eastAsia" w:ascii="宋体" w:hAnsi="宋体"/>
          <w:color w:val="000000" w:themeColor="text1"/>
          <w:sz w:val="28"/>
          <w:szCs w:val="28"/>
          <w:lang w:val="en-US" w:eastAsia="zh-CN"/>
        </w:rPr>
        <w:t>2.</w:t>
      </w:r>
      <w:r>
        <w:rPr>
          <w:rFonts w:hint="eastAsia" w:ascii="宋体" w:hAnsi="宋体"/>
          <w:color w:val="000000" w:themeColor="text1"/>
          <w:sz w:val="28"/>
          <w:szCs w:val="28"/>
        </w:rPr>
        <w:t>水文条件</w:t>
      </w:r>
    </w:p>
    <w:p>
      <w:pPr>
        <w:spacing w:line="500" w:lineRule="exact"/>
        <w:ind w:firstLine="560" w:firstLineChars="200"/>
        <w:rPr>
          <w:rFonts w:hint="eastAsia" w:ascii="宋体" w:hAnsi="宋体" w:eastAsia="宋体"/>
          <w:sz w:val="28"/>
          <w:szCs w:val="28"/>
          <w:lang w:eastAsia="zh-CN"/>
        </w:rPr>
      </w:pPr>
      <w:r>
        <w:rPr>
          <w:rFonts w:hint="eastAsia" w:ascii="宋体" w:hAnsi="宋体"/>
          <w:color w:val="000000" w:themeColor="text1"/>
          <w:sz w:val="28"/>
          <w:szCs w:val="28"/>
        </w:rPr>
        <w:t>昭通市昭阳区耀晨甲醇醇油有限公司未提供《场地岩土工程勘察报告》。</w:t>
      </w:r>
      <w:r>
        <w:rPr>
          <w:rFonts w:hint="eastAsia" w:ascii="宋体" w:hAnsi="宋体"/>
          <w:sz w:val="28"/>
          <w:szCs w:val="28"/>
          <w:lang w:val="en-US" w:eastAsia="zh-CN"/>
        </w:rPr>
        <w:t>现场看</w:t>
      </w:r>
      <w:r>
        <w:rPr>
          <w:rFonts w:hint="eastAsia" w:ascii="宋体" w:hAnsi="宋体"/>
          <w:sz w:val="28"/>
          <w:szCs w:val="28"/>
        </w:rPr>
        <w:t>场地地下水的补给主要为大气降雨垂向补给及周边生活用水侧向补给，排泄主要为蒸发排泄，及向低洼地带径流排泄。场地附近无污染源，可不考虑地表水和地下水的污染</w:t>
      </w:r>
      <w:r>
        <w:rPr>
          <w:rFonts w:hint="eastAsia" w:ascii="宋体" w:hAnsi="宋体"/>
          <w:sz w:val="28"/>
          <w:szCs w:val="28"/>
          <w:lang w:eastAsia="zh-CN"/>
        </w:rPr>
        <w:t>。</w:t>
      </w:r>
    </w:p>
    <w:p>
      <w:pPr>
        <w:spacing w:line="500" w:lineRule="exact"/>
        <w:ind w:firstLine="560" w:firstLineChars="200"/>
        <w:rPr>
          <w:rFonts w:hint="default" w:ascii="宋体" w:hAnsi="宋体"/>
          <w:color w:val="000000" w:themeColor="text1"/>
          <w:sz w:val="28"/>
          <w:szCs w:val="28"/>
          <w:lang w:val="en-US" w:eastAsia="zh-CN"/>
        </w:rPr>
      </w:pPr>
      <w:r>
        <w:rPr>
          <w:rFonts w:hint="eastAsia" w:ascii="宋体" w:hAnsi="宋体"/>
          <w:color w:val="000000" w:themeColor="text1"/>
          <w:sz w:val="28"/>
          <w:szCs w:val="28"/>
          <w:lang w:val="en-US" w:eastAsia="zh-CN"/>
        </w:rPr>
        <w:t>3.</w:t>
      </w:r>
      <w:r>
        <w:rPr>
          <w:rFonts w:hint="eastAsia" w:ascii="宋体" w:hAnsi="宋体" w:eastAsia="宋体" w:cs="Times New Roman"/>
          <w:color w:val="0000FF"/>
          <w:sz w:val="28"/>
          <w:szCs w:val="28"/>
        </w:rPr>
        <w:t>地震基本烈度</w:t>
      </w:r>
    </w:p>
    <w:p>
      <w:pPr>
        <w:spacing w:line="500" w:lineRule="exact"/>
        <w:ind w:firstLine="560" w:firstLineChars="200"/>
        <w:rPr>
          <w:rFonts w:hint="eastAsia" w:ascii="宋体" w:hAnsi="宋体" w:eastAsia="宋体" w:cs="Times New Roman"/>
          <w:color w:val="000000"/>
          <w:sz w:val="28"/>
          <w:szCs w:val="28"/>
        </w:rPr>
      </w:pPr>
      <w:r>
        <w:rPr>
          <w:rFonts w:hint="eastAsia" w:ascii="宋体" w:hAnsi="宋体" w:eastAsia="宋体" w:cs="Times New Roman"/>
          <w:color w:val="0000FF"/>
          <w:sz w:val="28"/>
          <w:szCs w:val="28"/>
        </w:rPr>
        <w:t>据国家质量技术监督局2001年2月2日颁发的1∶400万《中国地震动峰值加速度区划图》及《建筑抗震设计规范（</w:t>
      </w:r>
      <w:r>
        <w:rPr>
          <w:rFonts w:hint="eastAsia" w:ascii="宋体" w:hAnsi="宋体" w:eastAsia="宋体" w:cs="Times New Roman"/>
          <w:color w:val="0000FF"/>
          <w:sz w:val="28"/>
          <w:szCs w:val="28"/>
          <w:lang w:val="en-US" w:eastAsia="zh-CN"/>
        </w:rPr>
        <w:t>2024</w:t>
      </w:r>
      <w:r>
        <w:rPr>
          <w:rFonts w:hint="eastAsia" w:ascii="宋体" w:hAnsi="宋体" w:eastAsia="宋体" w:cs="Times New Roman"/>
          <w:color w:val="0000FF"/>
          <w:sz w:val="28"/>
          <w:szCs w:val="28"/>
        </w:rPr>
        <w:t>版）》（GB50011－20</w:t>
      </w:r>
      <w:r>
        <w:rPr>
          <w:rFonts w:ascii="宋体" w:hAnsi="宋体" w:eastAsia="宋体" w:cs="Times New Roman"/>
          <w:color w:val="0000FF"/>
          <w:sz w:val="28"/>
          <w:szCs w:val="28"/>
        </w:rPr>
        <w:t>10</w:t>
      </w:r>
      <w:r>
        <w:rPr>
          <w:rFonts w:hint="eastAsia" w:ascii="宋体" w:hAnsi="宋体" w:eastAsia="宋体" w:cs="Times New Roman"/>
          <w:color w:val="0000FF"/>
          <w:sz w:val="28"/>
          <w:szCs w:val="28"/>
        </w:rPr>
        <w:t>）规范，划分为对建筑抗震有利地段。按《建筑抗震设计规范（</w:t>
      </w:r>
      <w:r>
        <w:rPr>
          <w:rFonts w:hint="eastAsia" w:ascii="宋体" w:hAnsi="宋体" w:eastAsia="宋体" w:cs="Times New Roman"/>
          <w:color w:val="0000FF"/>
          <w:sz w:val="28"/>
          <w:szCs w:val="28"/>
          <w:lang w:val="en-US" w:eastAsia="zh-CN"/>
        </w:rPr>
        <w:t>2024</w:t>
      </w:r>
      <w:r>
        <w:rPr>
          <w:rFonts w:hint="eastAsia" w:ascii="宋体" w:hAnsi="宋体" w:eastAsia="宋体" w:cs="Times New Roman"/>
          <w:color w:val="0000FF"/>
          <w:sz w:val="28"/>
          <w:szCs w:val="28"/>
        </w:rPr>
        <w:t>版）》（GB50011－20</w:t>
      </w:r>
      <w:r>
        <w:rPr>
          <w:rFonts w:ascii="宋体" w:hAnsi="宋体" w:eastAsia="宋体" w:cs="Times New Roman"/>
          <w:color w:val="0000FF"/>
          <w:sz w:val="28"/>
          <w:szCs w:val="28"/>
        </w:rPr>
        <w:t>10</w:t>
      </w:r>
      <w:r>
        <w:rPr>
          <w:rFonts w:hint="eastAsia" w:ascii="宋体" w:hAnsi="宋体" w:eastAsia="宋体" w:cs="Times New Roman"/>
          <w:color w:val="0000FF"/>
          <w:sz w:val="28"/>
          <w:szCs w:val="28"/>
        </w:rPr>
        <w:t>）附录A的划分，</w:t>
      </w:r>
      <w:r>
        <w:rPr>
          <w:rFonts w:hint="eastAsia" w:ascii="宋体" w:hAnsi="宋体" w:eastAsia="宋体" w:cs="Times New Roman"/>
          <w:color w:val="0000FF"/>
          <w:sz w:val="28"/>
          <w:szCs w:val="28"/>
          <w:lang w:val="en-US" w:eastAsia="zh-CN"/>
        </w:rPr>
        <w:t>昭阳区</w:t>
      </w:r>
      <w:r>
        <w:rPr>
          <w:rFonts w:hint="eastAsia" w:ascii="宋体" w:hAnsi="宋体" w:eastAsia="宋体" w:cs="Times New Roman"/>
          <w:color w:val="0000FF"/>
          <w:sz w:val="28"/>
          <w:szCs w:val="28"/>
        </w:rPr>
        <w:t>地震动峰值加速度为0.1g，地震基本烈度值为7度。建筑物按此标准抗震设防</w:t>
      </w:r>
      <w:r>
        <w:rPr>
          <w:rFonts w:hint="eastAsia" w:ascii="宋体" w:hAnsi="宋体" w:eastAsia="宋体" w:cs="Times New Roman"/>
          <w:color w:val="000000"/>
          <w:sz w:val="28"/>
          <w:szCs w:val="28"/>
        </w:rPr>
        <w:t>。</w:t>
      </w:r>
    </w:p>
    <w:p>
      <w:pPr>
        <w:pStyle w:val="19"/>
        <w:spacing w:afterLines="100" w:line="500" w:lineRule="exact"/>
        <w:jc w:val="center"/>
        <w:rPr>
          <w:rFonts w:hint="default" w:ascii="楷体_GB2312" w:hAnsi="宋体" w:eastAsia="楷体_GB2312"/>
          <w:color w:val="000000" w:themeColor="text1"/>
          <w:kern w:val="3"/>
          <w:lang w:val="en-US" w:eastAsia="zh-CN"/>
        </w:rPr>
      </w:pPr>
      <w:bookmarkStart w:id="380" w:name="_Toc10089"/>
      <w:bookmarkStart w:id="381" w:name="_Toc22187"/>
      <w:bookmarkStart w:id="382" w:name="_Toc10461"/>
      <w:bookmarkStart w:id="383" w:name="_Toc10275"/>
      <w:bookmarkStart w:id="384" w:name="_Toc16270"/>
      <w:bookmarkStart w:id="385" w:name="_Toc4477"/>
      <w:bookmarkStart w:id="386" w:name="_Toc15636"/>
      <w:bookmarkStart w:id="387" w:name="_Toc11305"/>
      <w:bookmarkStart w:id="388" w:name="_Toc20306"/>
      <w:bookmarkStart w:id="389" w:name="_Toc15313"/>
      <w:bookmarkStart w:id="390" w:name="_Toc11266"/>
      <w:bookmarkStart w:id="391" w:name="_Toc2588"/>
      <w:bookmarkStart w:id="392" w:name="_Toc16531"/>
      <w:bookmarkStart w:id="393" w:name="_Toc31466"/>
      <w:bookmarkStart w:id="394" w:name="_Toc20289"/>
      <w:bookmarkStart w:id="395" w:name="_Toc24673"/>
      <w:bookmarkStart w:id="396" w:name="_Toc1204_WPSOffice_Level2"/>
      <w:r>
        <w:rPr>
          <w:rFonts w:hint="eastAsia" w:ascii="楷体_GB2312" w:hAnsi="宋体" w:eastAsia="楷体_GB2312"/>
          <w:color w:val="000000" w:themeColor="text1"/>
          <w:kern w:val="3"/>
        </w:rPr>
        <w:t>2.3</w:t>
      </w:r>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r>
        <w:rPr>
          <w:rFonts w:hint="eastAsia" w:ascii="楷体_GB2312" w:hAnsi="宋体" w:eastAsia="楷体_GB2312"/>
          <w:color w:val="000000" w:themeColor="text1"/>
          <w:kern w:val="3"/>
          <w:lang w:val="en-US" w:eastAsia="zh-CN"/>
        </w:rPr>
        <w:t>总平面布置</w:t>
      </w:r>
    </w:p>
    <w:p>
      <w:pPr>
        <w:adjustRightInd w:val="0"/>
        <w:spacing w:line="500" w:lineRule="exact"/>
        <w:ind w:firstLine="576" w:firstLineChars="206"/>
        <w:rPr>
          <w:color w:val="000000" w:themeColor="text1"/>
          <w:sz w:val="28"/>
          <w:szCs w:val="28"/>
        </w:rPr>
      </w:pPr>
      <w:bookmarkStart w:id="397" w:name="_Toc217444161"/>
      <w:r>
        <w:rPr>
          <w:rFonts w:hint="eastAsia" w:ascii="宋体" w:hAnsi="宋体"/>
          <w:color w:val="000000" w:themeColor="text1"/>
          <w:sz w:val="28"/>
          <w:szCs w:val="28"/>
        </w:rPr>
        <w:t>昭通市昭阳区耀晨甲醇醇油有限公司</w:t>
      </w:r>
      <w:r>
        <w:rPr>
          <w:color w:val="000000" w:themeColor="text1"/>
          <w:sz w:val="28"/>
          <w:szCs w:val="28"/>
          <w:lang w:val="zh-CN"/>
        </w:rPr>
        <w:t>总平面布置由</w:t>
      </w:r>
      <w:r>
        <w:rPr>
          <w:rFonts w:hint="eastAsia"/>
          <w:color w:val="000000" w:themeColor="text1"/>
          <w:sz w:val="28"/>
          <w:szCs w:val="28"/>
        </w:rPr>
        <w:t>西</w:t>
      </w:r>
      <w:r>
        <w:rPr>
          <w:color w:val="000000" w:themeColor="text1"/>
          <w:sz w:val="28"/>
          <w:szCs w:val="28"/>
          <w:lang w:val="zh-CN"/>
        </w:rPr>
        <w:t>至</w:t>
      </w:r>
      <w:r>
        <w:rPr>
          <w:rFonts w:hint="eastAsia"/>
          <w:color w:val="000000" w:themeColor="text1"/>
          <w:sz w:val="28"/>
          <w:szCs w:val="28"/>
        </w:rPr>
        <w:t>东</w:t>
      </w:r>
      <w:r>
        <w:rPr>
          <w:color w:val="000000" w:themeColor="text1"/>
          <w:sz w:val="28"/>
          <w:szCs w:val="28"/>
          <w:lang w:val="zh-CN"/>
        </w:rPr>
        <w:t>分别为</w:t>
      </w:r>
      <w:r>
        <w:rPr>
          <w:rFonts w:hint="eastAsia"/>
          <w:color w:val="000000" w:themeColor="text1"/>
          <w:sz w:val="28"/>
          <w:szCs w:val="28"/>
        </w:rPr>
        <w:t>办公区、</w:t>
      </w:r>
      <w:r>
        <w:rPr>
          <w:color w:val="000000" w:themeColor="text1"/>
          <w:sz w:val="28"/>
          <w:szCs w:val="28"/>
        </w:rPr>
        <w:t>工艺及设备区</w:t>
      </w:r>
      <w:r>
        <w:rPr>
          <w:rFonts w:hint="eastAsia"/>
          <w:color w:val="000000" w:themeColor="text1"/>
          <w:sz w:val="28"/>
          <w:szCs w:val="28"/>
        </w:rPr>
        <w:t>、辅助区</w:t>
      </w:r>
      <w:r>
        <w:rPr>
          <w:color w:val="000000" w:themeColor="text1"/>
          <w:sz w:val="28"/>
          <w:szCs w:val="28"/>
        </w:rPr>
        <w:t>、</w:t>
      </w:r>
      <w:r>
        <w:rPr>
          <w:rFonts w:hint="eastAsia"/>
          <w:color w:val="000000" w:themeColor="text1"/>
          <w:sz w:val="28"/>
          <w:szCs w:val="28"/>
        </w:rPr>
        <w:t>储罐区</w:t>
      </w:r>
      <w:r>
        <w:rPr>
          <w:color w:val="000000" w:themeColor="text1"/>
          <w:sz w:val="28"/>
          <w:szCs w:val="28"/>
          <w:lang w:val="zh-CN"/>
        </w:rPr>
        <w:t>，</w:t>
      </w:r>
      <w:r>
        <w:rPr>
          <w:color w:val="000000" w:themeColor="text1"/>
          <w:sz w:val="28"/>
          <w:szCs w:val="28"/>
        </w:rPr>
        <w:t>具体布置如下：</w:t>
      </w:r>
    </w:p>
    <w:p>
      <w:pPr>
        <w:adjustRightInd w:val="0"/>
        <w:spacing w:line="500" w:lineRule="exact"/>
        <w:ind w:firstLine="576" w:firstLineChars="206"/>
        <w:rPr>
          <w:color w:val="000000" w:themeColor="text1"/>
          <w:sz w:val="28"/>
          <w:szCs w:val="28"/>
        </w:rPr>
      </w:pPr>
      <w:bookmarkStart w:id="398" w:name="_Toc7002"/>
      <w:r>
        <w:rPr>
          <w:rFonts w:hint="eastAsia"/>
          <w:color w:val="000000" w:themeColor="text1"/>
          <w:sz w:val="28"/>
          <w:szCs w:val="28"/>
        </w:rPr>
        <w:t>1.</w:t>
      </w:r>
      <w:r>
        <w:rPr>
          <w:color w:val="000000" w:themeColor="text1"/>
          <w:sz w:val="28"/>
          <w:szCs w:val="28"/>
        </w:rPr>
        <w:t>办公区</w:t>
      </w:r>
      <w:bookmarkEnd w:id="398"/>
    </w:p>
    <w:p>
      <w:pPr>
        <w:adjustRightInd w:val="0"/>
        <w:spacing w:line="500" w:lineRule="exact"/>
        <w:ind w:firstLine="576" w:firstLineChars="206"/>
        <w:rPr>
          <w:color w:val="000000" w:themeColor="text1"/>
          <w:sz w:val="28"/>
          <w:szCs w:val="28"/>
        </w:rPr>
      </w:pPr>
      <w:r>
        <w:rPr>
          <w:color w:val="000000" w:themeColor="text1"/>
          <w:sz w:val="28"/>
          <w:szCs w:val="28"/>
        </w:rPr>
        <w:t>办公区位于</w:t>
      </w:r>
      <w:r>
        <w:rPr>
          <w:rFonts w:hint="eastAsia"/>
          <w:color w:val="000000" w:themeColor="text1"/>
          <w:sz w:val="28"/>
          <w:szCs w:val="28"/>
        </w:rPr>
        <w:t>公司西侧</w:t>
      </w:r>
      <w:r>
        <w:rPr>
          <w:color w:val="000000" w:themeColor="text1"/>
          <w:sz w:val="28"/>
          <w:szCs w:val="28"/>
        </w:rPr>
        <w:t>，办公区</w:t>
      </w:r>
      <w:r>
        <w:rPr>
          <w:rFonts w:hint="eastAsia"/>
          <w:color w:val="000000" w:themeColor="text1"/>
          <w:sz w:val="28"/>
          <w:szCs w:val="28"/>
        </w:rPr>
        <w:t>为单层</w:t>
      </w:r>
      <w:r>
        <w:rPr>
          <w:color w:val="000000" w:themeColor="text1"/>
          <w:sz w:val="28"/>
          <w:szCs w:val="28"/>
        </w:rPr>
        <w:t>建筑，</w:t>
      </w:r>
      <w:r>
        <w:rPr>
          <w:rFonts w:hint="eastAsia"/>
          <w:color w:val="000000" w:themeColor="text1"/>
          <w:sz w:val="28"/>
          <w:szCs w:val="28"/>
        </w:rPr>
        <w:t>建筑</w:t>
      </w:r>
      <w:r>
        <w:rPr>
          <w:color w:val="000000" w:themeColor="text1"/>
          <w:sz w:val="28"/>
          <w:szCs w:val="28"/>
        </w:rPr>
        <w:t>面积约</w:t>
      </w:r>
      <w:r>
        <w:rPr>
          <w:rFonts w:hint="eastAsia"/>
          <w:color w:val="000000" w:themeColor="text1"/>
          <w:sz w:val="28"/>
          <w:szCs w:val="28"/>
        </w:rPr>
        <w:t>30</w:t>
      </w:r>
      <w:r>
        <w:rPr>
          <w:color w:val="000000" w:themeColor="text1"/>
          <w:sz w:val="28"/>
          <w:szCs w:val="28"/>
        </w:rPr>
        <w:t>m</w:t>
      </w:r>
      <w:r>
        <w:rPr>
          <w:color w:val="000000" w:themeColor="text1"/>
          <w:sz w:val="28"/>
          <w:szCs w:val="28"/>
          <w:vertAlign w:val="superscript"/>
        </w:rPr>
        <w:t>2</w:t>
      </w:r>
      <w:r>
        <w:rPr>
          <w:color w:val="000000" w:themeColor="text1"/>
          <w:sz w:val="28"/>
          <w:szCs w:val="28"/>
        </w:rPr>
        <w:t>，高为</w:t>
      </w:r>
      <w:r>
        <w:rPr>
          <w:rFonts w:hint="eastAsia"/>
          <w:color w:val="000000" w:themeColor="text1"/>
          <w:sz w:val="28"/>
          <w:szCs w:val="28"/>
        </w:rPr>
        <w:t>3</w:t>
      </w:r>
      <w:r>
        <w:rPr>
          <w:color w:val="000000" w:themeColor="text1"/>
          <w:sz w:val="28"/>
          <w:szCs w:val="28"/>
        </w:rPr>
        <w:t>m，主要用于办公，办公区</w:t>
      </w:r>
      <w:r>
        <w:rPr>
          <w:rFonts w:hint="eastAsia"/>
          <w:color w:val="000000" w:themeColor="text1"/>
          <w:sz w:val="28"/>
          <w:szCs w:val="28"/>
        </w:rPr>
        <w:t>与甲醇加注机、卸车区及甲醇储罐区相距9.6m、9.4m及21.5m</w:t>
      </w:r>
      <w:r>
        <w:rPr>
          <w:color w:val="000000" w:themeColor="text1"/>
          <w:sz w:val="28"/>
          <w:szCs w:val="28"/>
        </w:rPr>
        <w:t>。</w:t>
      </w:r>
    </w:p>
    <w:p>
      <w:pPr>
        <w:adjustRightInd w:val="0"/>
        <w:spacing w:line="500" w:lineRule="exact"/>
        <w:ind w:firstLine="576" w:firstLineChars="206"/>
        <w:rPr>
          <w:color w:val="000000" w:themeColor="text1"/>
          <w:sz w:val="28"/>
          <w:szCs w:val="28"/>
        </w:rPr>
      </w:pPr>
      <w:bookmarkStart w:id="399" w:name="_Toc23623"/>
      <w:r>
        <w:rPr>
          <w:color w:val="000000" w:themeColor="text1"/>
          <w:sz w:val="28"/>
          <w:szCs w:val="28"/>
        </w:rPr>
        <w:t>2.辅助区</w:t>
      </w:r>
      <w:bookmarkEnd w:id="399"/>
    </w:p>
    <w:p>
      <w:pPr>
        <w:adjustRightInd w:val="0"/>
        <w:spacing w:line="500" w:lineRule="exact"/>
        <w:ind w:firstLine="576" w:firstLineChars="206"/>
        <w:rPr>
          <w:color w:val="000000" w:themeColor="text1"/>
          <w:sz w:val="28"/>
          <w:szCs w:val="28"/>
        </w:rPr>
      </w:pPr>
      <w:r>
        <w:rPr>
          <w:color w:val="000000" w:themeColor="text1"/>
          <w:sz w:val="28"/>
          <w:szCs w:val="28"/>
        </w:rPr>
        <w:t>辅助区</w:t>
      </w:r>
      <w:r>
        <w:rPr>
          <w:rFonts w:hint="eastAsia"/>
          <w:color w:val="000000" w:themeColor="text1"/>
          <w:sz w:val="28"/>
          <w:szCs w:val="28"/>
        </w:rPr>
        <w:t>（主要为卫生间、值班室</w:t>
      </w:r>
      <w:r>
        <w:rPr>
          <w:rFonts w:hint="eastAsia"/>
          <w:color w:val="000000" w:themeColor="text1"/>
          <w:sz w:val="28"/>
          <w:szCs w:val="28"/>
          <w:lang w:eastAsia="zh-CN"/>
        </w:rPr>
        <w:t>、</w:t>
      </w:r>
      <w:r>
        <w:rPr>
          <w:rFonts w:hint="eastAsia"/>
          <w:color w:val="000000" w:themeColor="text1"/>
          <w:sz w:val="28"/>
          <w:szCs w:val="28"/>
          <w:lang w:val="en-US" w:eastAsia="zh-CN"/>
        </w:rPr>
        <w:t>配电室</w:t>
      </w:r>
      <w:r>
        <w:rPr>
          <w:rFonts w:hint="eastAsia"/>
          <w:color w:val="000000" w:themeColor="text1"/>
          <w:sz w:val="28"/>
          <w:szCs w:val="28"/>
        </w:rPr>
        <w:t>及厨房）</w:t>
      </w:r>
      <w:r>
        <w:rPr>
          <w:color w:val="000000" w:themeColor="text1"/>
          <w:sz w:val="28"/>
          <w:szCs w:val="28"/>
        </w:rPr>
        <w:t>位于</w:t>
      </w:r>
      <w:r>
        <w:rPr>
          <w:rFonts w:hint="eastAsia"/>
          <w:color w:val="000000" w:themeColor="text1"/>
          <w:sz w:val="28"/>
          <w:szCs w:val="28"/>
        </w:rPr>
        <w:t>公司南面，公司大门一侧</w:t>
      </w:r>
      <w:r>
        <w:rPr>
          <w:color w:val="000000" w:themeColor="text1"/>
          <w:sz w:val="28"/>
          <w:szCs w:val="28"/>
        </w:rPr>
        <w:t>，</w:t>
      </w:r>
      <w:r>
        <w:rPr>
          <w:rFonts w:hint="eastAsia"/>
          <w:color w:val="000000" w:themeColor="text1"/>
          <w:sz w:val="28"/>
          <w:szCs w:val="28"/>
        </w:rPr>
        <w:t>辅助区与甲醇加注机、卸车区及甲醇储罐区相距14m、15m及14m（平距）</w:t>
      </w:r>
      <w:r>
        <w:rPr>
          <w:color w:val="000000" w:themeColor="text1"/>
          <w:sz w:val="28"/>
          <w:szCs w:val="28"/>
        </w:rPr>
        <w:t>。</w:t>
      </w:r>
    </w:p>
    <w:p>
      <w:pPr>
        <w:adjustRightInd w:val="0"/>
        <w:spacing w:line="500" w:lineRule="exact"/>
        <w:ind w:firstLine="576" w:firstLineChars="206"/>
        <w:rPr>
          <w:color w:val="000000" w:themeColor="text1"/>
          <w:sz w:val="28"/>
          <w:szCs w:val="28"/>
        </w:rPr>
      </w:pPr>
      <w:bookmarkStart w:id="400" w:name="_Toc789"/>
      <w:r>
        <w:rPr>
          <w:color w:val="000000" w:themeColor="text1"/>
          <w:sz w:val="28"/>
          <w:szCs w:val="28"/>
        </w:rPr>
        <w:t>3.工艺及设备区</w:t>
      </w:r>
      <w:bookmarkEnd w:id="400"/>
    </w:p>
    <w:p>
      <w:pPr>
        <w:adjustRightInd w:val="0"/>
        <w:spacing w:line="500" w:lineRule="exact"/>
        <w:ind w:firstLine="576" w:firstLineChars="206"/>
        <w:rPr>
          <w:color w:val="000000" w:themeColor="text1"/>
          <w:sz w:val="28"/>
          <w:szCs w:val="28"/>
        </w:rPr>
      </w:pPr>
      <w:r>
        <w:rPr>
          <w:color w:val="000000" w:themeColor="text1"/>
          <w:sz w:val="28"/>
          <w:szCs w:val="28"/>
        </w:rPr>
        <w:t>工艺及设备区位于</w:t>
      </w:r>
      <w:r>
        <w:rPr>
          <w:rFonts w:hint="eastAsia"/>
          <w:color w:val="000000" w:themeColor="text1"/>
          <w:sz w:val="28"/>
          <w:szCs w:val="28"/>
        </w:rPr>
        <w:t>办公区</w:t>
      </w:r>
      <w:r>
        <w:rPr>
          <w:color w:val="000000" w:themeColor="text1"/>
          <w:sz w:val="28"/>
          <w:szCs w:val="28"/>
        </w:rPr>
        <w:t>与甲醇罐区中间，设置了钢架结构罩棚</w:t>
      </w:r>
      <w:r>
        <w:rPr>
          <w:rFonts w:hint="eastAsia"/>
          <w:color w:val="000000" w:themeColor="text1"/>
          <w:sz w:val="28"/>
          <w:szCs w:val="28"/>
        </w:rPr>
        <w:t>1</w:t>
      </w:r>
      <w:r>
        <w:rPr>
          <w:color w:val="000000" w:themeColor="text1"/>
          <w:sz w:val="28"/>
          <w:szCs w:val="28"/>
        </w:rPr>
        <w:t>座，</w:t>
      </w:r>
      <w:r>
        <w:rPr>
          <w:rFonts w:hint="eastAsia"/>
          <w:color w:val="000000" w:themeColor="text1"/>
          <w:sz w:val="28"/>
          <w:szCs w:val="28"/>
        </w:rPr>
        <w:t>罩棚的高度为3.5m</w:t>
      </w:r>
      <w:r>
        <w:rPr>
          <w:color w:val="000000" w:themeColor="text1"/>
          <w:sz w:val="28"/>
          <w:szCs w:val="28"/>
        </w:rPr>
        <w:t>；罩棚下设置了</w:t>
      </w:r>
      <w:r>
        <w:rPr>
          <w:rFonts w:hint="eastAsia"/>
          <w:color w:val="000000" w:themeColor="text1"/>
          <w:sz w:val="28"/>
          <w:szCs w:val="28"/>
        </w:rPr>
        <w:t>1台单枪加注机</w:t>
      </w:r>
      <w:r>
        <w:rPr>
          <w:color w:val="000000" w:themeColor="text1"/>
          <w:sz w:val="28"/>
          <w:szCs w:val="28"/>
        </w:rPr>
        <w:t>，作业现场通风良好</w:t>
      </w:r>
      <w:r>
        <w:rPr>
          <w:rFonts w:hint="eastAsia"/>
          <w:color w:val="000000" w:themeColor="text1"/>
          <w:sz w:val="28"/>
          <w:szCs w:val="28"/>
          <w:lang w:eastAsia="zh-CN"/>
        </w:rPr>
        <w:t>，</w:t>
      </w:r>
      <w:r>
        <w:rPr>
          <w:rFonts w:hint="eastAsia"/>
          <w:color w:val="000000" w:themeColor="text1"/>
          <w:sz w:val="28"/>
          <w:szCs w:val="28"/>
          <w:lang w:val="en-US" w:eastAsia="zh-CN"/>
        </w:rPr>
        <w:t>加注区一侧设置了防撞柱</w:t>
      </w:r>
      <w:r>
        <w:rPr>
          <w:color w:val="000000" w:themeColor="text1"/>
          <w:sz w:val="28"/>
          <w:szCs w:val="28"/>
        </w:rPr>
        <w:t>。</w:t>
      </w:r>
      <w:r>
        <w:rPr>
          <w:color w:val="000000" w:themeColor="text1"/>
          <w:sz w:val="28"/>
          <w:szCs w:val="28"/>
          <w:lang w:val="zh-CN"/>
        </w:rPr>
        <w:t>卸车区位于工艺及设备区，位于</w:t>
      </w:r>
      <w:r>
        <w:rPr>
          <w:rFonts w:hint="eastAsia"/>
          <w:color w:val="000000" w:themeColor="text1"/>
          <w:sz w:val="28"/>
          <w:szCs w:val="28"/>
        </w:rPr>
        <w:t>加注机一侧</w:t>
      </w:r>
      <w:r>
        <w:rPr>
          <w:color w:val="000000" w:themeColor="text1"/>
          <w:sz w:val="28"/>
          <w:szCs w:val="28"/>
          <w:lang w:val="zh-CN"/>
        </w:rPr>
        <w:t>，设置了</w:t>
      </w:r>
      <w:r>
        <w:rPr>
          <w:rFonts w:hint="eastAsia"/>
          <w:color w:val="000000" w:themeColor="text1"/>
          <w:sz w:val="28"/>
          <w:szCs w:val="28"/>
        </w:rPr>
        <w:t>2</w:t>
      </w:r>
      <w:r>
        <w:rPr>
          <w:color w:val="000000" w:themeColor="text1"/>
          <w:sz w:val="28"/>
          <w:szCs w:val="28"/>
          <w:lang w:val="zh-CN"/>
        </w:rPr>
        <w:t>个密闭卸车口</w:t>
      </w:r>
      <w:r>
        <w:rPr>
          <w:color w:val="000000" w:themeColor="text1"/>
          <w:sz w:val="28"/>
          <w:szCs w:val="28"/>
        </w:rPr>
        <w:t>，卸车口附近设置了静电接地夹（静电夹设置在罐区内，应设置在罐区外卸车口附近）。</w:t>
      </w:r>
    </w:p>
    <w:p>
      <w:pPr>
        <w:adjustRightInd w:val="0"/>
        <w:spacing w:line="500" w:lineRule="exact"/>
        <w:ind w:firstLine="576" w:firstLineChars="206"/>
        <w:rPr>
          <w:color w:val="000000" w:themeColor="text1"/>
          <w:sz w:val="28"/>
          <w:szCs w:val="28"/>
          <w:lang w:val="zh-CN"/>
        </w:rPr>
      </w:pPr>
      <w:r>
        <w:rPr>
          <w:color w:val="000000" w:themeColor="text1"/>
          <w:sz w:val="28"/>
          <w:szCs w:val="28"/>
          <w:lang w:val="zh-CN"/>
        </w:rPr>
        <w:t>项目内工艺管道采用埋地敷设，采用管沟敷设时，管沟用沙子或细土填满、填实；工艺管道埋地深度为0.4m，管道四周回填100mm厚中性沙子或细土。</w:t>
      </w:r>
    </w:p>
    <w:p>
      <w:pPr>
        <w:adjustRightInd w:val="0"/>
        <w:spacing w:line="500" w:lineRule="exact"/>
        <w:ind w:firstLine="576" w:firstLineChars="206"/>
        <w:rPr>
          <w:color w:val="000000" w:themeColor="text1"/>
          <w:sz w:val="28"/>
          <w:szCs w:val="28"/>
        </w:rPr>
      </w:pPr>
      <w:bookmarkStart w:id="401" w:name="_Toc11415"/>
      <w:r>
        <w:rPr>
          <w:color w:val="000000" w:themeColor="text1"/>
          <w:sz w:val="28"/>
          <w:szCs w:val="28"/>
        </w:rPr>
        <w:t>4.甲醇罐区布置</w:t>
      </w:r>
      <w:bookmarkEnd w:id="401"/>
    </w:p>
    <w:p>
      <w:pPr>
        <w:adjustRightInd w:val="0"/>
        <w:spacing w:line="500" w:lineRule="exact"/>
        <w:ind w:firstLine="576" w:firstLineChars="206"/>
        <w:rPr>
          <w:color w:val="000000" w:themeColor="text1"/>
          <w:sz w:val="28"/>
          <w:szCs w:val="28"/>
        </w:rPr>
      </w:pPr>
      <w:r>
        <w:rPr>
          <w:color w:val="000000" w:themeColor="text1"/>
          <w:sz w:val="28"/>
          <w:szCs w:val="28"/>
          <w:lang w:val="zh-CN"/>
        </w:rPr>
        <w:t>该项目甲醇采用埋地卧式单层罐储存，共两个储罐，</w:t>
      </w:r>
      <w:r>
        <w:rPr>
          <w:rFonts w:hint="eastAsia"/>
          <w:color w:val="000000" w:themeColor="text1"/>
          <w:sz w:val="28"/>
          <w:szCs w:val="28"/>
        </w:rPr>
        <w:t>30</w:t>
      </w:r>
      <w:r>
        <w:rPr>
          <w:color w:val="000000" w:themeColor="text1"/>
          <w:sz w:val="28"/>
          <w:szCs w:val="28"/>
          <w:lang w:val="zh-CN"/>
        </w:rPr>
        <w:t>m</w:t>
      </w:r>
      <w:r>
        <w:rPr>
          <w:color w:val="000000" w:themeColor="text1"/>
          <w:sz w:val="28"/>
          <w:szCs w:val="28"/>
          <w:vertAlign w:val="superscript"/>
          <w:lang w:val="zh-CN"/>
        </w:rPr>
        <w:t>3</w:t>
      </w:r>
      <w:r>
        <w:rPr>
          <w:color w:val="000000" w:themeColor="text1"/>
          <w:sz w:val="28"/>
          <w:szCs w:val="28"/>
          <w:lang w:val="zh-CN"/>
        </w:rPr>
        <w:t>/个</w:t>
      </w:r>
      <w:r>
        <w:rPr>
          <w:rFonts w:hint="eastAsia"/>
          <w:color w:val="000000" w:themeColor="text1"/>
          <w:sz w:val="28"/>
          <w:szCs w:val="28"/>
          <w:lang w:val="zh-CN"/>
        </w:rPr>
        <w:t>、</w:t>
      </w:r>
      <w:r>
        <w:rPr>
          <w:rFonts w:hint="eastAsia"/>
          <w:color w:val="000000" w:themeColor="text1"/>
          <w:sz w:val="28"/>
          <w:szCs w:val="28"/>
        </w:rPr>
        <w:t>50</w:t>
      </w:r>
      <w:r>
        <w:rPr>
          <w:color w:val="000000" w:themeColor="text1"/>
          <w:sz w:val="28"/>
          <w:szCs w:val="28"/>
          <w:lang w:val="zh-CN"/>
        </w:rPr>
        <w:t>m</w:t>
      </w:r>
      <w:r>
        <w:rPr>
          <w:color w:val="000000" w:themeColor="text1"/>
          <w:sz w:val="28"/>
          <w:szCs w:val="28"/>
          <w:vertAlign w:val="superscript"/>
          <w:lang w:val="zh-CN"/>
        </w:rPr>
        <w:t>3</w:t>
      </w:r>
      <w:r>
        <w:rPr>
          <w:color w:val="000000" w:themeColor="text1"/>
          <w:sz w:val="28"/>
          <w:szCs w:val="28"/>
          <w:lang w:val="zh-CN"/>
        </w:rPr>
        <w:t>/个，总储存量为</w:t>
      </w:r>
      <w:r>
        <w:rPr>
          <w:rFonts w:hint="eastAsia"/>
          <w:color w:val="000000" w:themeColor="text1"/>
          <w:sz w:val="28"/>
          <w:szCs w:val="28"/>
        </w:rPr>
        <w:t>80</w:t>
      </w:r>
      <w:r>
        <w:rPr>
          <w:color w:val="000000" w:themeColor="text1"/>
          <w:sz w:val="28"/>
          <w:szCs w:val="28"/>
          <w:lang w:val="zh-CN"/>
        </w:rPr>
        <w:t>m</w:t>
      </w:r>
      <w:r>
        <w:rPr>
          <w:color w:val="000000" w:themeColor="text1"/>
          <w:sz w:val="28"/>
          <w:szCs w:val="28"/>
          <w:vertAlign w:val="superscript"/>
          <w:lang w:val="zh-CN"/>
        </w:rPr>
        <w:t>3</w:t>
      </w:r>
      <w:r>
        <w:rPr>
          <w:color w:val="000000" w:themeColor="text1"/>
          <w:sz w:val="28"/>
          <w:szCs w:val="28"/>
        </w:rPr>
        <w:t>；每个储罐顶部各设置1个人孔；观察井顶部设绝缘井盖，每个储罐单独设置通气管，通气管高出地面4m，管口安装了阻火器。</w:t>
      </w:r>
    </w:p>
    <w:p>
      <w:pPr>
        <w:adjustRightInd w:val="0"/>
        <w:spacing w:line="500" w:lineRule="exact"/>
        <w:ind w:firstLine="576" w:firstLineChars="206"/>
        <w:rPr>
          <w:color w:val="000000" w:themeColor="text1"/>
          <w:sz w:val="28"/>
          <w:szCs w:val="28"/>
        </w:rPr>
      </w:pPr>
      <w:bookmarkStart w:id="402" w:name="_Toc1599"/>
      <w:r>
        <w:rPr>
          <w:color w:val="000000" w:themeColor="text1"/>
          <w:sz w:val="28"/>
          <w:szCs w:val="28"/>
        </w:rPr>
        <w:t>5.道路及出入口</w:t>
      </w:r>
      <w:bookmarkEnd w:id="402"/>
    </w:p>
    <w:p>
      <w:pPr>
        <w:adjustRightInd w:val="0"/>
        <w:spacing w:line="500" w:lineRule="exact"/>
        <w:ind w:firstLine="576" w:firstLineChars="206"/>
        <w:jc w:val="left"/>
        <w:rPr>
          <w:color w:val="000000" w:themeColor="text1"/>
          <w:sz w:val="28"/>
          <w:szCs w:val="28"/>
          <w:lang w:val="zh-CN"/>
        </w:rPr>
      </w:pPr>
      <w:r>
        <w:rPr>
          <w:color w:val="000000" w:themeColor="text1"/>
          <w:sz w:val="28"/>
          <w:szCs w:val="28"/>
          <w:lang w:val="zh-CN"/>
        </w:rPr>
        <w:t>项目内道路为水泥路面，</w:t>
      </w:r>
      <w:r>
        <w:rPr>
          <w:rFonts w:hint="eastAsia"/>
          <w:color w:val="000000" w:themeColor="text1"/>
          <w:sz w:val="28"/>
          <w:szCs w:val="28"/>
          <w:lang w:val="zh-CN"/>
        </w:rPr>
        <w:t>公司场地内宽约5m，长约7m。</w:t>
      </w:r>
      <w:r>
        <w:rPr>
          <w:color w:val="000000" w:themeColor="text1"/>
          <w:sz w:val="28"/>
          <w:szCs w:val="28"/>
          <w:lang w:val="zh-CN"/>
        </w:rPr>
        <w:t>该项目办公区与辅助区、工艺及设备区分开设置，其中</w:t>
      </w:r>
      <w:r>
        <w:rPr>
          <w:rFonts w:hint="eastAsia"/>
          <w:color w:val="000000" w:themeColor="text1"/>
          <w:sz w:val="28"/>
          <w:szCs w:val="28"/>
        </w:rPr>
        <w:t>公司南面设置进出口一个，办公区东侧设置临时进出口一个（平时为关闭状态）</w:t>
      </w:r>
      <w:r>
        <w:rPr>
          <w:color w:val="000000" w:themeColor="text1"/>
          <w:sz w:val="28"/>
          <w:szCs w:val="28"/>
          <w:lang w:val="zh-CN"/>
        </w:rPr>
        <w:t>。</w:t>
      </w:r>
    </w:p>
    <w:p>
      <w:pPr>
        <w:adjustRightInd w:val="0"/>
        <w:spacing w:line="500" w:lineRule="exact"/>
        <w:ind w:firstLine="576" w:firstLineChars="206"/>
        <w:rPr>
          <w:color w:val="000000" w:themeColor="text1"/>
          <w:sz w:val="28"/>
          <w:szCs w:val="28"/>
        </w:rPr>
      </w:pPr>
      <w:bookmarkStart w:id="403" w:name="_Toc9965"/>
      <w:r>
        <w:rPr>
          <w:color w:val="000000" w:themeColor="text1"/>
          <w:sz w:val="28"/>
          <w:szCs w:val="28"/>
        </w:rPr>
        <w:t>6.</w:t>
      </w:r>
      <w:bookmarkEnd w:id="403"/>
      <w:r>
        <w:rPr>
          <w:rFonts w:hint="eastAsia"/>
          <w:color w:val="000000" w:themeColor="text1"/>
          <w:sz w:val="28"/>
          <w:szCs w:val="28"/>
        </w:rPr>
        <w:t>防火间距</w:t>
      </w:r>
    </w:p>
    <w:p>
      <w:pPr>
        <w:autoSpaceDN w:val="0"/>
        <w:spacing w:beforeLines="50"/>
        <w:jc w:val="center"/>
        <w:rPr>
          <w:color w:val="000000" w:themeColor="text1"/>
          <w:sz w:val="24"/>
          <w:szCs w:val="20"/>
        </w:rPr>
      </w:pPr>
      <w:bookmarkStart w:id="404" w:name="_Toc29300"/>
      <w:bookmarkStart w:id="405" w:name="_Toc13131"/>
      <w:bookmarkStart w:id="406" w:name="_Toc23273"/>
      <w:bookmarkStart w:id="407" w:name="_Toc27491"/>
      <w:bookmarkStart w:id="408" w:name="_Toc25977"/>
      <w:r>
        <w:rPr>
          <w:color w:val="000000" w:themeColor="text1"/>
          <w:sz w:val="24"/>
          <w:szCs w:val="20"/>
        </w:rPr>
        <w:t>表2-2 厂内甲醇储罐各建（构）筑物的防火间距（m）</w:t>
      </w:r>
      <w:bookmarkEnd w:id="404"/>
      <w:bookmarkEnd w:id="405"/>
      <w:bookmarkEnd w:id="406"/>
      <w:bookmarkEnd w:id="407"/>
      <w:bookmarkEnd w:id="408"/>
    </w:p>
    <w:tbl>
      <w:tblPr>
        <w:tblStyle w:val="52"/>
        <w:tblW w:w="87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6"/>
        <w:gridCol w:w="950"/>
        <w:gridCol w:w="950"/>
        <w:gridCol w:w="2100"/>
        <w:gridCol w:w="883"/>
        <w:gridCol w:w="917"/>
        <w:gridCol w:w="21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796" w:type="dxa"/>
            <w:vMerge w:val="restart"/>
            <w:vAlign w:val="center"/>
          </w:tcPr>
          <w:p>
            <w:pPr>
              <w:autoSpaceDE w:val="0"/>
              <w:autoSpaceDN w:val="0"/>
              <w:adjustRightInd w:val="0"/>
              <w:jc w:val="center"/>
              <w:rPr>
                <w:color w:val="000000" w:themeColor="text1"/>
                <w:szCs w:val="21"/>
              </w:rPr>
            </w:pPr>
            <w:r>
              <w:rPr>
                <w:color w:val="000000" w:themeColor="text1"/>
                <w:szCs w:val="21"/>
              </w:rPr>
              <w:t>建构筑物</w:t>
            </w:r>
          </w:p>
        </w:tc>
        <w:tc>
          <w:tcPr>
            <w:tcW w:w="4000" w:type="dxa"/>
            <w:gridSpan w:val="3"/>
            <w:vAlign w:val="center"/>
          </w:tcPr>
          <w:p>
            <w:pPr>
              <w:autoSpaceDE w:val="0"/>
              <w:autoSpaceDN w:val="0"/>
              <w:adjustRightInd w:val="0"/>
              <w:jc w:val="center"/>
              <w:rPr>
                <w:color w:val="000000" w:themeColor="text1"/>
                <w:szCs w:val="21"/>
              </w:rPr>
            </w:pPr>
            <w:r>
              <w:rPr>
                <w:color w:val="000000" w:themeColor="text1"/>
                <w:szCs w:val="21"/>
              </w:rPr>
              <w:t>甲醇储罐</w:t>
            </w:r>
          </w:p>
        </w:tc>
        <w:tc>
          <w:tcPr>
            <w:tcW w:w="3970" w:type="dxa"/>
            <w:gridSpan w:val="3"/>
            <w:vAlign w:val="center"/>
          </w:tcPr>
          <w:p>
            <w:pPr>
              <w:autoSpaceDE w:val="0"/>
              <w:autoSpaceDN w:val="0"/>
              <w:adjustRightInd w:val="0"/>
              <w:jc w:val="center"/>
              <w:rPr>
                <w:color w:val="000000" w:themeColor="text1"/>
                <w:szCs w:val="21"/>
              </w:rPr>
            </w:pPr>
            <w:r>
              <w:rPr>
                <w:rFonts w:hint="eastAsia"/>
                <w:color w:val="000000" w:themeColor="text1"/>
                <w:szCs w:val="21"/>
                <w:lang w:val="en-US" w:eastAsia="zh-CN"/>
              </w:rPr>
              <w:t>加注机（</w:t>
            </w:r>
            <w:r>
              <w:rPr>
                <w:color w:val="000000" w:themeColor="text1"/>
                <w:szCs w:val="21"/>
              </w:rPr>
              <w:t>甲醇通气口</w:t>
            </w:r>
            <w:r>
              <w:rPr>
                <w:rFonts w:hint="eastAsia"/>
                <w:color w:val="000000" w:themeColor="text1"/>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796" w:type="dxa"/>
            <w:vMerge w:val="continue"/>
            <w:vAlign w:val="center"/>
          </w:tcPr>
          <w:p>
            <w:pPr>
              <w:autoSpaceDE w:val="0"/>
              <w:autoSpaceDN w:val="0"/>
              <w:adjustRightInd w:val="0"/>
              <w:jc w:val="center"/>
              <w:rPr>
                <w:color w:val="000000" w:themeColor="text1"/>
                <w:szCs w:val="21"/>
              </w:rPr>
            </w:pPr>
          </w:p>
        </w:tc>
        <w:tc>
          <w:tcPr>
            <w:tcW w:w="950" w:type="dxa"/>
            <w:vAlign w:val="center"/>
          </w:tcPr>
          <w:p>
            <w:pPr>
              <w:autoSpaceDE w:val="0"/>
              <w:autoSpaceDN w:val="0"/>
              <w:adjustRightInd w:val="0"/>
              <w:jc w:val="center"/>
              <w:rPr>
                <w:color w:val="000000" w:themeColor="text1"/>
                <w:szCs w:val="21"/>
              </w:rPr>
            </w:pPr>
            <w:r>
              <w:rPr>
                <w:color w:val="000000" w:themeColor="text1"/>
                <w:szCs w:val="21"/>
              </w:rPr>
              <w:t>实测值</w:t>
            </w:r>
          </w:p>
        </w:tc>
        <w:tc>
          <w:tcPr>
            <w:tcW w:w="950" w:type="dxa"/>
            <w:vAlign w:val="center"/>
          </w:tcPr>
          <w:p>
            <w:pPr>
              <w:autoSpaceDE w:val="0"/>
              <w:autoSpaceDN w:val="0"/>
              <w:adjustRightInd w:val="0"/>
              <w:jc w:val="center"/>
              <w:rPr>
                <w:b/>
                <w:bCs/>
                <w:color w:val="000000" w:themeColor="text1"/>
                <w:szCs w:val="21"/>
              </w:rPr>
            </w:pPr>
            <w:r>
              <w:rPr>
                <w:b/>
                <w:bCs/>
                <w:color w:val="000000" w:themeColor="text1"/>
                <w:szCs w:val="21"/>
              </w:rPr>
              <w:t>标准值</w:t>
            </w:r>
          </w:p>
        </w:tc>
        <w:tc>
          <w:tcPr>
            <w:tcW w:w="2100" w:type="dxa"/>
            <w:vAlign w:val="center"/>
          </w:tcPr>
          <w:p>
            <w:pPr>
              <w:autoSpaceDE w:val="0"/>
              <w:autoSpaceDN w:val="0"/>
              <w:adjustRightInd w:val="0"/>
              <w:jc w:val="center"/>
              <w:rPr>
                <w:color w:val="000000" w:themeColor="text1"/>
                <w:szCs w:val="21"/>
              </w:rPr>
            </w:pPr>
            <w:r>
              <w:rPr>
                <w:rFonts w:hint="eastAsia"/>
                <w:color w:val="000000" w:themeColor="text1"/>
                <w:szCs w:val="21"/>
              </w:rPr>
              <w:t>依据标准</w:t>
            </w:r>
          </w:p>
        </w:tc>
        <w:tc>
          <w:tcPr>
            <w:tcW w:w="883" w:type="dxa"/>
            <w:vAlign w:val="center"/>
          </w:tcPr>
          <w:p>
            <w:pPr>
              <w:autoSpaceDE w:val="0"/>
              <w:autoSpaceDN w:val="0"/>
              <w:adjustRightInd w:val="0"/>
              <w:jc w:val="center"/>
              <w:rPr>
                <w:color w:val="000000" w:themeColor="text1"/>
                <w:szCs w:val="21"/>
              </w:rPr>
            </w:pPr>
            <w:r>
              <w:rPr>
                <w:color w:val="000000" w:themeColor="text1"/>
                <w:szCs w:val="21"/>
              </w:rPr>
              <w:t>实测值</w:t>
            </w:r>
          </w:p>
        </w:tc>
        <w:tc>
          <w:tcPr>
            <w:tcW w:w="917" w:type="dxa"/>
            <w:vAlign w:val="center"/>
          </w:tcPr>
          <w:p>
            <w:pPr>
              <w:autoSpaceDE w:val="0"/>
              <w:autoSpaceDN w:val="0"/>
              <w:adjustRightInd w:val="0"/>
              <w:jc w:val="center"/>
              <w:rPr>
                <w:b/>
                <w:bCs/>
                <w:color w:val="000000" w:themeColor="text1"/>
                <w:szCs w:val="21"/>
              </w:rPr>
            </w:pPr>
            <w:r>
              <w:rPr>
                <w:b/>
                <w:bCs/>
                <w:color w:val="000000" w:themeColor="text1"/>
                <w:szCs w:val="21"/>
              </w:rPr>
              <w:t>标准值</w:t>
            </w:r>
          </w:p>
        </w:tc>
        <w:tc>
          <w:tcPr>
            <w:tcW w:w="2170" w:type="dxa"/>
            <w:vAlign w:val="center"/>
          </w:tcPr>
          <w:p>
            <w:pPr>
              <w:autoSpaceDE w:val="0"/>
              <w:autoSpaceDN w:val="0"/>
              <w:adjustRightInd w:val="0"/>
              <w:jc w:val="center"/>
              <w:rPr>
                <w:color w:val="000000" w:themeColor="text1"/>
                <w:szCs w:val="21"/>
              </w:rPr>
            </w:pPr>
            <w:r>
              <w:rPr>
                <w:rFonts w:hint="eastAsia"/>
                <w:color w:val="000000" w:themeColor="text1"/>
                <w:szCs w:val="21"/>
              </w:rPr>
              <w:t>依据标准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796" w:type="dxa"/>
            <w:vAlign w:val="center"/>
          </w:tcPr>
          <w:p>
            <w:pPr>
              <w:autoSpaceDE w:val="0"/>
              <w:autoSpaceDN w:val="0"/>
              <w:adjustRightInd w:val="0"/>
              <w:jc w:val="center"/>
              <w:rPr>
                <w:color w:val="000000" w:themeColor="text1"/>
                <w:szCs w:val="21"/>
              </w:rPr>
            </w:pPr>
            <w:r>
              <w:rPr>
                <w:color w:val="000000" w:themeColor="text1"/>
                <w:szCs w:val="21"/>
              </w:rPr>
              <w:t>办公楼</w:t>
            </w:r>
          </w:p>
        </w:tc>
        <w:tc>
          <w:tcPr>
            <w:tcW w:w="950" w:type="dxa"/>
            <w:vAlign w:val="center"/>
          </w:tcPr>
          <w:p>
            <w:pPr>
              <w:autoSpaceDE w:val="0"/>
              <w:autoSpaceDN w:val="0"/>
              <w:adjustRightInd w:val="0"/>
              <w:jc w:val="center"/>
              <w:rPr>
                <w:color w:val="000000" w:themeColor="text1"/>
                <w:szCs w:val="21"/>
              </w:rPr>
            </w:pPr>
            <w:r>
              <w:rPr>
                <w:rFonts w:hint="eastAsia"/>
                <w:color w:val="000000" w:themeColor="text1"/>
                <w:szCs w:val="21"/>
              </w:rPr>
              <w:t>21.5</w:t>
            </w:r>
          </w:p>
        </w:tc>
        <w:tc>
          <w:tcPr>
            <w:tcW w:w="950" w:type="dxa"/>
            <w:vAlign w:val="center"/>
          </w:tcPr>
          <w:p>
            <w:pPr>
              <w:autoSpaceDE w:val="0"/>
              <w:autoSpaceDN w:val="0"/>
              <w:adjustRightInd w:val="0"/>
              <w:jc w:val="center"/>
              <w:rPr>
                <w:b/>
                <w:bCs/>
                <w:color w:val="000000" w:themeColor="text1"/>
                <w:szCs w:val="21"/>
              </w:rPr>
            </w:pPr>
            <w:r>
              <w:rPr>
                <w:rFonts w:hint="eastAsia"/>
                <w:b/>
                <w:bCs/>
                <w:color w:val="000000" w:themeColor="text1"/>
                <w:szCs w:val="21"/>
              </w:rPr>
              <w:t>6</w:t>
            </w:r>
          </w:p>
        </w:tc>
        <w:tc>
          <w:tcPr>
            <w:tcW w:w="2100" w:type="dxa"/>
            <w:vAlign w:val="center"/>
          </w:tcPr>
          <w:p>
            <w:pPr>
              <w:autoSpaceDE w:val="0"/>
              <w:autoSpaceDN w:val="0"/>
              <w:adjustRightInd w:val="0"/>
              <w:jc w:val="center"/>
              <w:rPr>
                <w:color w:val="000000" w:themeColor="text1"/>
                <w:szCs w:val="21"/>
              </w:rPr>
            </w:pPr>
            <w:r>
              <w:rPr>
                <w:rFonts w:hint="eastAsia"/>
                <w:color w:val="000000" w:themeColor="text1"/>
                <w:szCs w:val="21"/>
              </w:rPr>
              <w:t>《建筑设计防火规范（2018年版）》（GB50016-2014）表4.2.1及注6</w:t>
            </w:r>
          </w:p>
        </w:tc>
        <w:tc>
          <w:tcPr>
            <w:tcW w:w="883" w:type="dxa"/>
            <w:vAlign w:val="center"/>
          </w:tcPr>
          <w:p>
            <w:pPr>
              <w:autoSpaceDE w:val="0"/>
              <w:autoSpaceDN w:val="0"/>
              <w:adjustRightInd w:val="0"/>
              <w:jc w:val="center"/>
              <w:rPr>
                <w:color w:val="000000" w:themeColor="text1"/>
                <w:szCs w:val="21"/>
              </w:rPr>
            </w:pPr>
            <w:r>
              <w:rPr>
                <w:rFonts w:hint="eastAsia"/>
                <w:color w:val="000000" w:themeColor="text1"/>
                <w:szCs w:val="21"/>
              </w:rPr>
              <w:t>24</w:t>
            </w:r>
          </w:p>
        </w:tc>
        <w:tc>
          <w:tcPr>
            <w:tcW w:w="917" w:type="dxa"/>
            <w:vAlign w:val="center"/>
          </w:tcPr>
          <w:p>
            <w:pPr>
              <w:autoSpaceDE w:val="0"/>
              <w:autoSpaceDN w:val="0"/>
              <w:adjustRightInd w:val="0"/>
              <w:jc w:val="center"/>
              <w:rPr>
                <w:rFonts w:hint="default" w:eastAsia="宋体"/>
                <w:b/>
                <w:bCs/>
                <w:color w:val="000000" w:themeColor="text1"/>
                <w:szCs w:val="21"/>
                <w:lang w:val="en-US" w:eastAsia="zh-CN"/>
              </w:rPr>
            </w:pPr>
            <w:r>
              <w:rPr>
                <w:rFonts w:hint="eastAsia"/>
                <w:b/>
                <w:bCs/>
                <w:color w:val="000000" w:themeColor="text1"/>
                <w:szCs w:val="21"/>
                <w:lang w:val="en-US" w:eastAsia="zh-CN"/>
              </w:rPr>
              <w:t>5（4）</w:t>
            </w:r>
          </w:p>
        </w:tc>
        <w:tc>
          <w:tcPr>
            <w:tcW w:w="2170" w:type="dxa"/>
            <w:vAlign w:val="center"/>
          </w:tcPr>
          <w:p>
            <w:pPr>
              <w:autoSpaceDE w:val="0"/>
              <w:autoSpaceDN w:val="0"/>
              <w:adjustRightInd w:val="0"/>
              <w:jc w:val="center"/>
              <w:rPr>
                <w:color w:val="000000" w:themeColor="text1"/>
                <w:szCs w:val="21"/>
              </w:rPr>
            </w:pPr>
            <w:r>
              <w:rPr>
                <w:color w:val="000000" w:themeColor="text1"/>
                <w:szCs w:val="21"/>
              </w:rPr>
              <w:t>《汽车加油加气</w:t>
            </w:r>
            <w:r>
              <w:rPr>
                <w:rFonts w:hint="eastAsia"/>
                <w:color w:val="000000" w:themeColor="text1"/>
                <w:szCs w:val="21"/>
              </w:rPr>
              <w:t>加氢站技术标准</w:t>
            </w:r>
            <w:r>
              <w:rPr>
                <w:color w:val="000000" w:themeColor="text1"/>
                <w:szCs w:val="21"/>
              </w:rPr>
              <w:t>》（GB50156-2021）中表5.0.13-1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796" w:type="dxa"/>
            <w:vAlign w:val="center"/>
          </w:tcPr>
          <w:p>
            <w:pPr>
              <w:autoSpaceDE w:val="0"/>
              <w:autoSpaceDN w:val="0"/>
              <w:adjustRightInd w:val="0"/>
              <w:jc w:val="center"/>
              <w:rPr>
                <w:color w:val="000000" w:themeColor="text1"/>
                <w:szCs w:val="21"/>
              </w:rPr>
            </w:pPr>
            <w:r>
              <w:rPr>
                <w:color w:val="000000" w:themeColor="text1"/>
                <w:szCs w:val="21"/>
              </w:rPr>
              <w:t>辅助用房</w:t>
            </w:r>
          </w:p>
        </w:tc>
        <w:tc>
          <w:tcPr>
            <w:tcW w:w="950" w:type="dxa"/>
            <w:vAlign w:val="center"/>
          </w:tcPr>
          <w:p>
            <w:pPr>
              <w:autoSpaceDE w:val="0"/>
              <w:autoSpaceDN w:val="0"/>
              <w:adjustRightInd w:val="0"/>
              <w:jc w:val="center"/>
              <w:rPr>
                <w:color w:val="000000" w:themeColor="text1"/>
                <w:szCs w:val="21"/>
              </w:rPr>
            </w:pPr>
            <w:r>
              <w:rPr>
                <w:rFonts w:hint="eastAsia"/>
                <w:color w:val="000000" w:themeColor="text1"/>
                <w:szCs w:val="21"/>
              </w:rPr>
              <w:t>14</w:t>
            </w:r>
          </w:p>
        </w:tc>
        <w:tc>
          <w:tcPr>
            <w:tcW w:w="950" w:type="dxa"/>
            <w:vAlign w:val="center"/>
          </w:tcPr>
          <w:p>
            <w:pPr>
              <w:autoSpaceDE w:val="0"/>
              <w:autoSpaceDN w:val="0"/>
              <w:adjustRightInd w:val="0"/>
              <w:jc w:val="center"/>
              <w:rPr>
                <w:b/>
                <w:bCs/>
                <w:color w:val="000000" w:themeColor="text1"/>
                <w:szCs w:val="21"/>
              </w:rPr>
            </w:pPr>
            <w:r>
              <w:rPr>
                <w:rFonts w:hint="eastAsia"/>
                <w:b/>
                <w:bCs/>
                <w:color w:val="000000" w:themeColor="text1"/>
                <w:szCs w:val="21"/>
              </w:rPr>
              <w:t>6</w:t>
            </w:r>
          </w:p>
        </w:tc>
        <w:tc>
          <w:tcPr>
            <w:tcW w:w="2100" w:type="dxa"/>
            <w:vAlign w:val="center"/>
          </w:tcPr>
          <w:p>
            <w:pPr>
              <w:autoSpaceDE w:val="0"/>
              <w:autoSpaceDN w:val="0"/>
              <w:adjustRightInd w:val="0"/>
              <w:jc w:val="center"/>
              <w:rPr>
                <w:color w:val="000000" w:themeColor="text1"/>
                <w:szCs w:val="21"/>
              </w:rPr>
            </w:pPr>
            <w:r>
              <w:rPr>
                <w:rFonts w:hint="eastAsia"/>
                <w:color w:val="000000" w:themeColor="text1"/>
                <w:szCs w:val="21"/>
              </w:rPr>
              <w:t>《建筑设计防火规范（2018年版）》（GB50016-2014）表4.2.1及注6</w:t>
            </w:r>
          </w:p>
        </w:tc>
        <w:tc>
          <w:tcPr>
            <w:tcW w:w="883" w:type="dxa"/>
            <w:vAlign w:val="center"/>
          </w:tcPr>
          <w:p>
            <w:pPr>
              <w:autoSpaceDE w:val="0"/>
              <w:autoSpaceDN w:val="0"/>
              <w:adjustRightInd w:val="0"/>
              <w:jc w:val="center"/>
              <w:rPr>
                <w:color w:val="000000" w:themeColor="text1"/>
                <w:szCs w:val="21"/>
              </w:rPr>
            </w:pPr>
            <w:r>
              <w:rPr>
                <w:rFonts w:hint="eastAsia"/>
                <w:color w:val="000000" w:themeColor="text1"/>
                <w:szCs w:val="21"/>
              </w:rPr>
              <w:t>16.5</w:t>
            </w:r>
          </w:p>
        </w:tc>
        <w:tc>
          <w:tcPr>
            <w:tcW w:w="917" w:type="dxa"/>
            <w:vAlign w:val="center"/>
          </w:tcPr>
          <w:p>
            <w:pPr>
              <w:autoSpaceDE w:val="0"/>
              <w:autoSpaceDN w:val="0"/>
              <w:adjustRightInd w:val="0"/>
              <w:jc w:val="center"/>
              <w:rPr>
                <w:b/>
                <w:bCs/>
                <w:color w:val="000000" w:themeColor="text1"/>
                <w:szCs w:val="21"/>
              </w:rPr>
            </w:pPr>
            <w:r>
              <w:rPr>
                <w:rFonts w:hint="eastAsia"/>
                <w:b/>
                <w:bCs/>
                <w:color w:val="000000" w:themeColor="text1"/>
                <w:szCs w:val="21"/>
                <w:lang w:val="en-US" w:eastAsia="zh-CN"/>
              </w:rPr>
              <w:t>-（</w:t>
            </w:r>
            <w:r>
              <w:rPr>
                <w:b/>
                <w:bCs/>
                <w:color w:val="000000" w:themeColor="text1"/>
                <w:szCs w:val="21"/>
              </w:rPr>
              <w:t>4</w:t>
            </w:r>
            <w:r>
              <w:rPr>
                <w:rFonts w:hint="eastAsia"/>
                <w:b/>
                <w:bCs/>
                <w:color w:val="000000" w:themeColor="text1"/>
                <w:szCs w:val="21"/>
                <w:lang w:val="en-US" w:eastAsia="zh-CN"/>
              </w:rPr>
              <w:t>）</w:t>
            </w:r>
          </w:p>
        </w:tc>
        <w:tc>
          <w:tcPr>
            <w:tcW w:w="2170" w:type="dxa"/>
            <w:vAlign w:val="center"/>
          </w:tcPr>
          <w:p>
            <w:pPr>
              <w:autoSpaceDE w:val="0"/>
              <w:autoSpaceDN w:val="0"/>
              <w:adjustRightInd w:val="0"/>
              <w:jc w:val="center"/>
              <w:rPr>
                <w:color w:val="000000" w:themeColor="text1"/>
                <w:szCs w:val="21"/>
              </w:rPr>
            </w:pPr>
            <w:r>
              <w:rPr>
                <w:color w:val="000000" w:themeColor="text1"/>
                <w:szCs w:val="21"/>
              </w:rPr>
              <w:t>《汽车加油加气</w:t>
            </w:r>
            <w:r>
              <w:rPr>
                <w:rFonts w:hint="eastAsia"/>
                <w:color w:val="000000" w:themeColor="text1"/>
                <w:szCs w:val="21"/>
              </w:rPr>
              <w:t>加氢站技术标准</w:t>
            </w:r>
            <w:r>
              <w:rPr>
                <w:color w:val="000000" w:themeColor="text1"/>
                <w:szCs w:val="21"/>
              </w:rPr>
              <w:t>》（GB50156-2021）中表5.0.13-1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796" w:type="dxa"/>
            <w:vAlign w:val="center"/>
          </w:tcPr>
          <w:p>
            <w:pPr>
              <w:autoSpaceDE w:val="0"/>
              <w:autoSpaceDN w:val="0"/>
              <w:adjustRightInd w:val="0"/>
              <w:jc w:val="center"/>
              <w:rPr>
                <w:color w:val="000000" w:themeColor="text1"/>
                <w:szCs w:val="21"/>
              </w:rPr>
            </w:pPr>
            <w:r>
              <w:rPr>
                <w:color w:val="000000" w:themeColor="text1"/>
                <w:szCs w:val="21"/>
              </w:rPr>
              <w:t>围墙</w:t>
            </w:r>
          </w:p>
        </w:tc>
        <w:tc>
          <w:tcPr>
            <w:tcW w:w="950" w:type="dxa"/>
            <w:vAlign w:val="center"/>
          </w:tcPr>
          <w:p>
            <w:pPr>
              <w:autoSpaceDE w:val="0"/>
              <w:autoSpaceDN w:val="0"/>
              <w:adjustRightInd w:val="0"/>
              <w:jc w:val="center"/>
              <w:rPr>
                <w:color w:val="000000" w:themeColor="text1"/>
                <w:szCs w:val="21"/>
              </w:rPr>
            </w:pPr>
            <w:r>
              <w:rPr>
                <w:rFonts w:hint="eastAsia"/>
                <w:color w:val="000000" w:themeColor="text1"/>
                <w:szCs w:val="21"/>
              </w:rPr>
              <w:t>3.9</w:t>
            </w:r>
          </w:p>
        </w:tc>
        <w:tc>
          <w:tcPr>
            <w:tcW w:w="950" w:type="dxa"/>
            <w:vAlign w:val="center"/>
          </w:tcPr>
          <w:p>
            <w:pPr>
              <w:autoSpaceDE w:val="0"/>
              <w:autoSpaceDN w:val="0"/>
              <w:adjustRightInd w:val="0"/>
              <w:jc w:val="center"/>
              <w:rPr>
                <w:b/>
                <w:bCs/>
                <w:color w:val="000000" w:themeColor="text1"/>
                <w:szCs w:val="21"/>
              </w:rPr>
            </w:pPr>
            <w:r>
              <w:rPr>
                <w:rFonts w:hint="eastAsia"/>
                <w:b/>
                <w:bCs/>
                <w:color w:val="000000" w:themeColor="text1"/>
                <w:szCs w:val="21"/>
              </w:rPr>
              <w:t>2</w:t>
            </w:r>
          </w:p>
        </w:tc>
        <w:tc>
          <w:tcPr>
            <w:tcW w:w="2100" w:type="dxa"/>
            <w:vAlign w:val="center"/>
          </w:tcPr>
          <w:p>
            <w:pPr>
              <w:autoSpaceDE w:val="0"/>
              <w:autoSpaceDN w:val="0"/>
              <w:adjustRightInd w:val="0"/>
              <w:jc w:val="center"/>
              <w:rPr>
                <w:color w:val="000000" w:themeColor="text1"/>
                <w:szCs w:val="21"/>
              </w:rPr>
            </w:pPr>
            <w:r>
              <w:rPr>
                <w:color w:val="000000" w:themeColor="text1"/>
                <w:szCs w:val="21"/>
              </w:rPr>
              <w:t>《汽车加油加气</w:t>
            </w:r>
            <w:r>
              <w:rPr>
                <w:rFonts w:hint="eastAsia"/>
                <w:color w:val="000000" w:themeColor="text1"/>
                <w:szCs w:val="21"/>
              </w:rPr>
              <w:t>加氢站技术标准</w:t>
            </w:r>
            <w:r>
              <w:rPr>
                <w:color w:val="000000" w:themeColor="text1"/>
                <w:szCs w:val="21"/>
              </w:rPr>
              <w:t>》（GB50156-2021）中表5.0.13-1</w:t>
            </w:r>
          </w:p>
        </w:tc>
        <w:tc>
          <w:tcPr>
            <w:tcW w:w="883" w:type="dxa"/>
            <w:vAlign w:val="center"/>
          </w:tcPr>
          <w:p>
            <w:pPr>
              <w:autoSpaceDE w:val="0"/>
              <w:autoSpaceDN w:val="0"/>
              <w:adjustRightInd w:val="0"/>
              <w:jc w:val="center"/>
              <w:rPr>
                <w:color w:val="000000" w:themeColor="text1"/>
                <w:szCs w:val="21"/>
              </w:rPr>
            </w:pPr>
            <w:r>
              <w:rPr>
                <w:rFonts w:hint="eastAsia"/>
                <w:color w:val="000000" w:themeColor="text1"/>
                <w:szCs w:val="21"/>
              </w:rPr>
              <w:t>5.9</w:t>
            </w:r>
          </w:p>
        </w:tc>
        <w:tc>
          <w:tcPr>
            <w:tcW w:w="917" w:type="dxa"/>
            <w:vAlign w:val="center"/>
          </w:tcPr>
          <w:p>
            <w:pPr>
              <w:autoSpaceDE w:val="0"/>
              <w:autoSpaceDN w:val="0"/>
              <w:adjustRightInd w:val="0"/>
              <w:jc w:val="center"/>
              <w:rPr>
                <w:b/>
                <w:bCs/>
                <w:color w:val="000000" w:themeColor="text1"/>
                <w:szCs w:val="21"/>
              </w:rPr>
            </w:pPr>
            <w:r>
              <w:rPr>
                <w:rFonts w:hint="eastAsia"/>
                <w:b/>
                <w:bCs/>
                <w:color w:val="000000" w:themeColor="text1"/>
                <w:szCs w:val="21"/>
                <w:lang w:val="en-US" w:eastAsia="zh-CN"/>
              </w:rPr>
              <w:t>-（</w:t>
            </w:r>
            <w:r>
              <w:rPr>
                <w:b/>
                <w:bCs/>
                <w:color w:val="000000" w:themeColor="text1"/>
                <w:szCs w:val="21"/>
              </w:rPr>
              <w:t>2</w:t>
            </w:r>
            <w:r>
              <w:rPr>
                <w:rFonts w:hint="eastAsia"/>
                <w:b/>
                <w:bCs/>
                <w:color w:val="000000" w:themeColor="text1"/>
                <w:szCs w:val="21"/>
                <w:lang w:val="en-US" w:eastAsia="zh-CN"/>
              </w:rPr>
              <w:t>）</w:t>
            </w:r>
          </w:p>
        </w:tc>
        <w:tc>
          <w:tcPr>
            <w:tcW w:w="2170" w:type="dxa"/>
            <w:vAlign w:val="center"/>
          </w:tcPr>
          <w:p>
            <w:pPr>
              <w:autoSpaceDE w:val="0"/>
              <w:autoSpaceDN w:val="0"/>
              <w:adjustRightInd w:val="0"/>
              <w:jc w:val="center"/>
              <w:rPr>
                <w:color w:val="000000" w:themeColor="text1"/>
                <w:szCs w:val="21"/>
              </w:rPr>
            </w:pPr>
            <w:r>
              <w:rPr>
                <w:color w:val="000000" w:themeColor="text1"/>
                <w:szCs w:val="21"/>
              </w:rPr>
              <w:t>《汽车加油加气</w:t>
            </w:r>
            <w:r>
              <w:rPr>
                <w:rFonts w:hint="eastAsia"/>
                <w:color w:val="000000" w:themeColor="text1"/>
                <w:szCs w:val="21"/>
              </w:rPr>
              <w:t>加氢站技术标准</w:t>
            </w:r>
            <w:r>
              <w:rPr>
                <w:color w:val="000000" w:themeColor="text1"/>
                <w:szCs w:val="21"/>
              </w:rPr>
              <w:t>》（GB50156-2021）中表5.0.13-1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796" w:type="dxa"/>
            <w:vAlign w:val="center"/>
          </w:tcPr>
          <w:p>
            <w:pPr>
              <w:autoSpaceDE w:val="0"/>
              <w:autoSpaceDN w:val="0"/>
              <w:adjustRightInd w:val="0"/>
              <w:jc w:val="center"/>
              <w:rPr>
                <w:color w:val="000000" w:themeColor="text1"/>
                <w:szCs w:val="21"/>
              </w:rPr>
            </w:pPr>
            <w:r>
              <w:rPr>
                <w:color w:val="000000" w:themeColor="text1"/>
                <w:szCs w:val="21"/>
              </w:rPr>
              <w:t>甲醇罐</w:t>
            </w:r>
          </w:p>
        </w:tc>
        <w:tc>
          <w:tcPr>
            <w:tcW w:w="950" w:type="dxa"/>
            <w:vAlign w:val="center"/>
          </w:tcPr>
          <w:p>
            <w:pPr>
              <w:autoSpaceDE w:val="0"/>
              <w:autoSpaceDN w:val="0"/>
              <w:adjustRightInd w:val="0"/>
              <w:jc w:val="center"/>
              <w:rPr>
                <w:color w:val="000000" w:themeColor="text1"/>
                <w:szCs w:val="21"/>
              </w:rPr>
            </w:pPr>
            <w:r>
              <w:rPr>
                <w:rFonts w:hint="eastAsia"/>
                <w:color w:val="000000" w:themeColor="text1"/>
                <w:szCs w:val="21"/>
              </w:rPr>
              <w:t>0.5</w:t>
            </w:r>
          </w:p>
        </w:tc>
        <w:tc>
          <w:tcPr>
            <w:tcW w:w="950" w:type="dxa"/>
            <w:vAlign w:val="center"/>
          </w:tcPr>
          <w:p>
            <w:pPr>
              <w:autoSpaceDE w:val="0"/>
              <w:autoSpaceDN w:val="0"/>
              <w:adjustRightInd w:val="0"/>
              <w:jc w:val="center"/>
              <w:rPr>
                <w:b/>
                <w:bCs/>
                <w:color w:val="000000" w:themeColor="text1"/>
                <w:szCs w:val="21"/>
              </w:rPr>
            </w:pPr>
            <w:r>
              <w:rPr>
                <w:rFonts w:hint="eastAsia"/>
                <w:b/>
                <w:bCs/>
                <w:color w:val="000000" w:themeColor="text1"/>
                <w:szCs w:val="21"/>
              </w:rPr>
              <w:t>0.5</w:t>
            </w:r>
          </w:p>
        </w:tc>
        <w:tc>
          <w:tcPr>
            <w:tcW w:w="2100" w:type="dxa"/>
            <w:vAlign w:val="center"/>
          </w:tcPr>
          <w:p>
            <w:pPr>
              <w:autoSpaceDE w:val="0"/>
              <w:autoSpaceDN w:val="0"/>
              <w:adjustRightInd w:val="0"/>
              <w:jc w:val="center"/>
              <w:rPr>
                <w:color w:val="000000" w:themeColor="text1"/>
                <w:szCs w:val="21"/>
              </w:rPr>
            </w:pPr>
            <w:r>
              <w:rPr>
                <w:color w:val="000000" w:themeColor="text1"/>
                <w:szCs w:val="21"/>
              </w:rPr>
              <w:t>《汽车加油加气</w:t>
            </w:r>
            <w:r>
              <w:rPr>
                <w:rFonts w:hint="eastAsia"/>
                <w:color w:val="000000" w:themeColor="text1"/>
                <w:szCs w:val="21"/>
              </w:rPr>
              <w:t>加氢站技术标准</w:t>
            </w:r>
            <w:r>
              <w:rPr>
                <w:color w:val="000000" w:themeColor="text1"/>
                <w:szCs w:val="21"/>
              </w:rPr>
              <w:t>》（GB50156-2021）中表5.0.13-1</w:t>
            </w:r>
          </w:p>
        </w:tc>
        <w:tc>
          <w:tcPr>
            <w:tcW w:w="883" w:type="dxa"/>
            <w:vAlign w:val="center"/>
          </w:tcPr>
          <w:p>
            <w:pPr>
              <w:autoSpaceDE w:val="0"/>
              <w:autoSpaceDN w:val="0"/>
              <w:adjustRightInd w:val="0"/>
              <w:jc w:val="center"/>
              <w:rPr>
                <w:color w:val="000000" w:themeColor="text1"/>
                <w:szCs w:val="21"/>
              </w:rPr>
            </w:pPr>
            <w:r>
              <w:rPr>
                <w:color w:val="000000" w:themeColor="text1"/>
                <w:szCs w:val="21"/>
              </w:rPr>
              <w:t>--</w:t>
            </w:r>
          </w:p>
        </w:tc>
        <w:tc>
          <w:tcPr>
            <w:tcW w:w="917" w:type="dxa"/>
            <w:vAlign w:val="center"/>
          </w:tcPr>
          <w:p>
            <w:pPr>
              <w:autoSpaceDE w:val="0"/>
              <w:autoSpaceDN w:val="0"/>
              <w:adjustRightInd w:val="0"/>
              <w:jc w:val="center"/>
              <w:rPr>
                <w:b/>
                <w:bCs/>
                <w:color w:val="000000" w:themeColor="text1"/>
                <w:szCs w:val="21"/>
              </w:rPr>
            </w:pPr>
            <w:r>
              <w:rPr>
                <w:b/>
                <w:bCs/>
                <w:color w:val="000000" w:themeColor="text1"/>
                <w:szCs w:val="21"/>
              </w:rPr>
              <w:t>--</w:t>
            </w:r>
          </w:p>
        </w:tc>
        <w:tc>
          <w:tcPr>
            <w:tcW w:w="2170" w:type="dxa"/>
            <w:vAlign w:val="center"/>
          </w:tcPr>
          <w:p>
            <w:pPr>
              <w:autoSpaceDE w:val="0"/>
              <w:autoSpaceDN w:val="0"/>
              <w:adjustRightInd w:val="0"/>
              <w:jc w:val="center"/>
              <w:rPr>
                <w:color w:val="000000" w:themeColor="text1"/>
                <w:szCs w:val="21"/>
              </w:rPr>
            </w:pPr>
            <w:r>
              <w:rPr>
                <w:rFonts w:hint="eastAsia"/>
                <w:color w:val="000000" w:themeColor="text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796" w:type="dxa"/>
            <w:vAlign w:val="center"/>
          </w:tcPr>
          <w:p>
            <w:pPr>
              <w:autoSpaceDE w:val="0"/>
              <w:autoSpaceDN w:val="0"/>
              <w:adjustRightInd w:val="0"/>
              <w:jc w:val="center"/>
              <w:rPr>
                <w:color w:val="000000" w:themeColor="text1"/>
                <w:szCs w:val="21"/>
              </w:rPr>
            </w:pPr>
            <w:r>
              <w:rPr>
                <w:color w:val="000000" w:themeColor="text1"/>
                <w:szCs w:val="21"/>
              </w:rPr>
              <w:t>备注</w:t>
            </w:r>
          </w:p>
        </w:tc>
        <w:tc>
          <w:tcPr>
            <w:tcW w:w="7970" w:type="dxa"/>
            <w:gridSpan w:val="6"/>
            <w:vAlign w:val="center"/>
          </w:tcPr>
          <w:p>
            <w:pPr>
              <w:autoSpaceDE w:val="0"/>
              <w:autoSpaceDN w:val="0"/>
              <w:adjustRightInd w:val="0"/>
              <w:jc w:val="left"/>
              <w:rPr>
                <w:color w:val="000000" w:themeColor="text1"/>
                <w:szCs w:val="21"/>
              </w:rPr>
            </w:pPr>
            <w:r>
              <w:rPr>
                <w:color w:val="000000" w:themeColor="text1"/>
                <w:szCs w:val="21"/>
              </w:rPr>
              <w:t>间距起算点：通气管——中心线；储罐——罐外壁；建筑物——最凸出外缘</w:t>
            </w:r>
            <w:r>
              <w:rPr>
                <w:rFonts w:hint="eastAsia"/>
                <w:color w:val="000000" w:themeColor="text1"/>
                <w:szCs w:val="21"/>
              </w:rPr>
              <w:t>；表中“--”表示无防火间距要求，加粗部分为标准值</w:t>
            </w:r>
            <w:r>
              <w:rPr>
                <w:color w:val="000000" w:themeColor="text1"/>
                <w:szCs w:val="21"/>
              </w:rPr>
              <w:t>。</w:t>
            </w:r>
          </w:p>
        </w:tc>
      </w:tr>
      <w:bookmarkEnd w:id="397"/>
    </w:tbl>
    <w:p>
      <w:pPr>
        <w:pStyle w:val="19"/>
        <w:spacing w:afterLines="100" w:line="500" w:lineRule="exact"/>
        <w:jc w:val="center"/>
        <w:rPr>
          <w:rFonts w:hint="eastAsia" w:ascii="楷体_GB2312" w:hAnsi="宋体" w:eastAsia="楷体_GB2312"/>
          <w:color w:val="000000" w:themeColor="text1"/>
          <w:kern w:val="3"/>
          <w:lang w:val="en-US" w:eastAsia="zh-CN"/>
        </w:rPr>
      </w:pPr>
      <w:bookmarkStart w:id="409" w:name="_Toc18912"/>
      <w:bookmarkStart w:id="410" w:name="_Toc11595"/>
      <w:bookmarkStart w:id="411" w:name="_Toc7333"/>
      <w:bookmarkStart w:id="412" w:name="_Toc29557"/>
      <w:bookmarkStart w:id="413" w:name="_Toc8051"/>
      <w:bookmarkStart w:id="414" w:name="_Toc31347"/>
      <w:bookmarkStart w:id="415" w:name="_Toc22933"/>
      <w:bookmarkStart w:id="416" w:name="_Toc3304"/>
      <w:bookmarkStart w:id="417" w:name="_Toc24723"/>
      <w:bookmarkStart w:id="418" w:name="_Toc29934"/>
      <w:r>
        <w:rPr>
          <w:rFonts w:hint="eastAsia" w:ascii="楷体_GB2312" w:hAnsi="宋体" w:eastAsia="楷体_GB2312"/>
          <w:color w:val="000000" w:themeColor="text1"/>
          <w:kern w:val="3"/>
        </w:rPr>
        <w:t>2.</w:t>
      </w:r>
      <w:r>
        <w:rPr>
          <w:rFonts w:hint="eastAsia" w:ascii="楷体_GB2312" w:hAnsi="宋体" w:eastAsia="楷体_GB2312"/>
          <w:color w:val="000000" w:themeColor="text1"/>
          <w:kern w:val="3"/>
          <w:lang w:val="en-US" w:eastAsia="zh-CN"/>
        </w:rPr>
        <w:t>4</w:t>
      </w:r>
      <w:r>
        <w:rPr>
          <w:rFonts w:hint="eastAsia" w:ascii="楷体_GB2312" w:hAnsi="宋体" w:eastAsia="楷体_GB2312"/>
          <w:color w:val="000000" w:themeColor="text1"/>
          <w:kern w:val="3"/>
        </w:rPr>
        <w:t>运输</w:t>
      </w:r>
      <w:bookmarkEnd w:id="409"/>
      <w:bookmarkEnd w:id="410"/>
      <w:bookmarkEnd w:id="411"/>
      <w:bookmarkEnd w:id="412"/>
      <w:bookmarkEnd w:id="413"/>
      <w:bookmarkEnd w:id="414"/>
      <w:bookmarkEnd w:id="415"/>
      <w:bookmarkEnd w:id="416"/>
      <w:bookmarkEnd w:id="417"/>
      <w:bookmarkEnd w:id="418"/>
      <w:r>
        <w:rPr>
          <w:rFonts w:hint="eastAsia" w:ascii="楷体_GB2312" w:hAnsi="宋体" w:eastAsia="楷体_GB2312"/>
          <w:color w:val="000000" w:themeColor="text1"/>
          <w:kern w:val="3"/>
          <w:lang w:val="en-US" w:eastAsia="zh-CN"/>
        </w:rPr>
        <w:t>及</w:t>
      </w:r>
      <w:r>
        <w:rPr>
          <w:rFonts w:hint="eastAsia" w:ascii="楷体_GB2312" w:hAnsi="宋体" w:eastAsia="楷体_GB2312"/>
          <w:color w:val="000000" w:themeColor="text1"/>
          <w:kern w:val="3"/>
        </w:rPr>
        <w:t>原辅料及产品</w:t>
      </w:r>
    </w:p>
    <w:p>
      <w:pPr>
        <w:adjustRightInd w:val="0"/>
        <w:spacing w:line="500" w:lineRule="exact"/>
        <w:ind w:firstLine="576" w:firstLineChars="206"/>
        <w:rPr>
          <w:color w:val="000000" w:themeColor="text1"/>
          <w:sz w:val="28"/>
          <w:szCs w:val="28"/>
        </w:rPr>
      </w:pPr>
      <w:r>
        <w:rPr>
          <w:color w:val="000000" w:themeColor="text1"/>
          <w:sz w:val="28"/>
          <w:szCs w:val="28"/>
        </w:rPr>
        <w:t>1</w:t>
      </w:r>
      <w:r>
        <w:rPr>
          <w:rFonts w:hint="eastAsia"/>
          <w:color w:val="000000" w:themeColor="text1"/>
          <w:sz w:val="28"/>
          <w:szCs w:val="28"/>
        </w:rPr>
        <w:t>.</w:t>
      </w:r>
      <w:r>
        <w:rPr>
          <w:color w:val="000000" w:themeColor="text1"/>
          <w:sz w:val="28"/>
          <w:szCs w:val="28"/>
        </w:rPr>
        <w:t>外部运输：外购甲醇</w:t>
      </w:r>
      <w:r>
        <w:rPr>
          <w:rFonts w:hint="eastAsia"/>
          <w:color w:val="000000" w:themeColor="text1"/>
          <w:sz w:val="28"/>
          <w:szCs w:val="28"/>
        </w:rPr>
        <w:t>（</w:t>
      </w:r>
      <w:r>
        <w:rPr>
          <w:rFonts w:hint="eastAsia"/>
          <w:color w:val="000000" w:themeColor="text1"/>
          <w:sz w:val="28"/>
          <w:szCs w:val="28"/>
          <w:lang w:val="en-US" w:eastAsia="zh-CN"/>
        </w:rPr>
        <w:t>向云南先锋化工有限公司</w:t>
      </w:r>
      <w:r>
        <w:rPr>
          <w:rFonts w:hint="eastAsia"/>
          <w:color w:val="000000" w:themeColor="text1"/>
          <w:sz w:val="28"/>
          <w:szCs w:val="28"/>
        </w:rPr>
        <w:t>采购）</w:t>
      </w:r>
      <w:r>
        <w:rPr>
          <w:color w:val="000000" w:themeColor="text1"/>
          <w:sz w:val="28"/>
          <w:szCs w:val="28"/>
        </w:rPr>
        <w:t>，外购时由</w:t>
      </w:r>
      <w:r>
        <w:rPr>
          <w:rFonts w:hint="eastAsia"/>
          <w:color w:val="000000" w:themeColor="text1"/>
          <w:sz w:val="28"/>
          <w:szCs w:val="28"/>
          <w:lang w:val="en-US" w:eastAsia="zh-CN"/>
        </w:rPr>
        <w:t>云南先锋化工有限公司</w:t>
      </w:r>
      <w:r>
        <w:rPr>
          <w:color w:val="000000" w:themeColor="text1"/>
          <w:sz w:val="28"/>
          <w:szCs w:val="28"/>
        </w:rPr>
        <w:t>委托有危险化学品运输资质的单位负责运输至厂内卸入甲醇储罐；外销时，由</w:t>
      </w:r>
      <w:r>
        <w:rPr>
          <w:rFonts w:hint="eastAsia"/>
          <w:color w:val="000000" w:themeColor="text1"/>
          <w:sz w:val="28"/>
          <w:szCs w:val="28"/>
        </w:rPr>
        <w:t>昭通市耀晨甲醇醇油有限公司</w:t>
      </w:r>
      <w:r>
        <w:rPr>
          <w:rFonts w:hint="eastAsia"/>
          <w:color w:val="000000" w:themeColor="text1"/>
          <w:sz w:val="28"/>
          <w:szCs w:val="28"/>
          <w:lang w:val="en-US" w:eastAsia="zh-CN"/>
        </w:rPr>
        <w:t>分装</w:t>
      </w:r>
      <w:r>
        <w:rPr>
          <w:rFonts w:hint="eastAsia"/>
          <w:color w:val="000000" w:themeColor="text1"/>
          <w:sz w:val="28"/>
          <w:szCs w:val="28"/>
        </w:rPr>
        <w:t>成25kg/桶后</w:t>
      </w:r>
      <w:r>
        <w:rPr>
          <w:color w:val="000000" w:themeColor="text1"/>
          <w:sz w:val="28"/>
          <w:szCs w:val="28"/>
        </w:rPr>
        <w:t>运送至用户。</w:t>
      </w:r>
    </w:p>
    <w:p>
      <w:pPr>
        <w:adjustRightInd w:val="0"/>
        <w:spacing w:line="500" w:lineRule="exact"/>
        <w:ind w:firstLine="576" w:firstLineChars="206"/>
        <w:rPr>
          <w:snapToGrid w:val="0"/>
          <w:color w:val="000000" w:themeColor="text1"/>
          <w:kern w:val="0"/>
          <w:sz w:val="28"/>
          <w:szCs w:val="28"/>
        </w:rPr>
      </w:pPr>
      <w:r>
        <w:rPr>
          <w:color w:val="000000" w:themeColor="text1"/>
          <w:sz w:val="28"/>
          <w:szCs w:val="28"/>
        </w:rPr>
        <w:t>2</w:t>
      </w:r>
      <w:r>
        <w:rPr>
          <w:rFonts w:hint="eastAsia"/>
          <w:color w:val="000000" w:themeColor="text1"/>
          <w:sz w:val="28"/>
          <w:szCs w:val="28"/>
        </w:rPr>
        <w:t>.</w:t>
      </w:r>
      <w:r>
        <w:rPr>
          <w:color w:val="000000" w:themeColor="text1"/>
          <w:sz w:val="28"/>
          <w:szCs w:val="28"/>
        </w:rPr>
        <w:t>内部运输：甲醇卸车、储存及分装过程中均通过工艺管道进行输送。</w:t>
      </w:r>
    </w:p>
    <w:p>
      <w:pPr>
        <w:adjustRightInd w:val="0"/>
        <w:spacing w:line="500" w:lineRule="exact"/>
        <w:ind w:firstLine="576" w:firstLineChars="206"/>
        <w:rPr>
          <w:rFonts w:hint="eastAsia" w:eastAsia="宋体"/>
          <w:color w:val="000000" w:themeColor="text1"/>
          <w:sz w:val="28"/>
          <w:szCs w:val="28"/>
          <w:lang w:eastAsia="zh-CN"/>
        </w:rPr>
      </w:pPr>
      <w:bookmarkStart w:id="419" w:name="_Toc23962"/>
      <w:bookmarkStart w:id="420" w:name="_Toc9088"/>
      <w:bookmarkStart w:id="421" w:name="_Toc2212"/>
      <w:bookmarkStart w:id="422" w:name="_Toc217444171"/>
      <w:bookmarkStart w:id="423" w:name="_Toc11972"/>
      <w:bookmarkStart w:id="424" w:name="_Toc18974"/>
      <w:bookmarkStart w:id="425" w:name="_Toc29006"/>
      <w:r>
        <w:rPr>
          <w:rFonts w:hint="eastAsia"/>
          <w:color w:val="000000" w:themeColor="text1"/>
          <w:sz w:val="28"/>
          <w:szCs w:val="28"/>
          <w:lang w:val="en-US" w:eastAsia="zh-CN"/>
        </w:rPr>
        <w:t>3.</w:t>
      </w:r>
      <w:r>
        <w:rPr>
          <w:color w:val="000000" w:themeColor="text1"/>
          <w:sz w:val="28"/>
          <w:szCs w:val="28"/>
        </w:rPr>
        <w:t>主要原料：甲醇</w:t>
      </w:r>
      <w:bookmarkEnd w:id="419"/>
      <w:bookmarkEnd w:id="420"/>
      <w:bookmarkEnd w:id="421"/>
      <w:r>
        <w:rPr>
          <w:rFonts w:hint="eastAsia"/>
          <w:color w:val="000000" w:themeColor="text1"/>
          <w:sz w:val="28"/>
          <w:szCs w:val="28"/>
          <w:lang w:eastAsia="zh-CN"/>
        </w:rPr>
        <w:t>。</w:t>
      </w:r>
    </w:p>
    <w:p>
      <w:pPr>
        <w:adjustRightInd w:val="0"/>
        <w:spacing w:line="500" w:lineRule="exact"/>
        <w:ind w:firstLine="576" w:firstLineChars="206"/>
        <w:rPr>
          <w:rFonts w:hint="eastAsia" w:eastAsia="宋体"/>
          <w:color w:val="000000" w:themeColor="text1"/>
          <w:sz w:val="28"/>
          <w:szCs w:val="28"/>
          <w:lang w:eastAsia="zh-CN"/>
        </w:rPr>
      </w:pPr>
      <w:bookmarkStart w:id="426" w:name="_Toc29249"/>
      <w:bookmarkStart w:id="427" w:name="_Toc32623"/>
      <w:bookmarkStart w:id="428" w:name="_Toc6284"/>
      <w:r>
        <w:rPr>
          <w:rFonts w:hint="eastAsia"/>
          <w:color w:val="000000" w:themeColor="text1"/>
          <w:sz w:val="28"/>
          <w:szCs w:val="28"/>
          <w:lang w:val="en-US" w:eastAsia="zh-CN"/>
        </w:rPr>
        <w:t>4</w:t>
      </w:r>
      <w:r>
        <w:rPr>
          <w:color w:val="000000" w:themeColor="text1"/>
          <w:sz w:val="28"/>
          <w:szCs w:val="28"/>
        </w:rPr>
        <w:t>.主要产品：甲醇25kg/桶</w:t>
      </w:r>
      <w:bookmarkEnd w:id="426"/>
      <w:bookmarkEnd w:id="427"/>
      <w:bookmarkEnd w:id="428"/>
      <w:r>
        <w:rPr>
          <w:rFonts w:hint="eastAsia"/>
          <w:color w:val="000000" w:themeColor="text1"/>
          <w:sz w:val="28"/>
          <w:szCs w:val="28"/>
          <w:lang w:eastAsia="zh-CN"/>
        </w:rPr>
        <w:t>。</w:t>
      </w:r>
    </w:p>
    <w:p>
      <w:pPr>
        <w:pStyle w:val="19"/>
        <w:spacing w:afterLines="100" w:line="500" w:lineRule="exact"/>
        <w:jc w:val="center"/>
        <w:rPr>
          <w:rFonts w:ascii="楷体_GB2312" w:hAnsi="宋体" w:eastAsia="楷体_GB2312"/>
          <w:color w:val="000000" w:themeColor="text1"/>
          <w:kern w:val="3"/>
        </w:rPr>
      </w:pPr>
      <w:bookmarkStart w:id="429" w:name="_Toc28620"/>
      <w:bookmarkStart w:id="430" w:name="_Toc10936"/>
      <w:bookmarkStart w:id="431" w:name="_Toc13643"/>
      <w:bookmarkStart w:id="432" w:name="_Toc17823"/>
      <w:bookmarkStart w:id="433" w:name="_Toc6042"/>
      <w:bookmarkStart w:id="434" w:name="_Toc5637"/>
      <w:bookmarkStart w:id="435" w:name="_Toc18234"/>
      <w:bookmarkStart w:id="436" w:name="_Toc13860"/>
      <w:bookmarkStart w:id="437" w:name="_Toc5757"/>
      <w:bookmarkStart w:id="438" w:name="_Toc2160"/>
      <w:bookmarkStart w:id="439" w:name="_Toc843"/>
      <w:bookmarkStart w:id="440" w:name="_Toc6827"/>
      <w:bookmarkStart w:id="441" w:name="_Toc28509"/>
      <w:bookmarkStart w:id="442" w:name="_Toc7343_WPSOffice_Level2"/>
      <w:r>
        <w:rPr>
          <w:rFonts w:hint="eastAsia" w:ascii="楷体_GB2312" w:hAnsi="宋体" w:eastAsia="楷体_GB2312"/>
          <w:color w:val="000000" w:themeColor="text1"/>
          <w:kern w:val="3"/>
        </w:rPr>
        <w:t>2.</w:t>
      </w:r>
      <w:bookmarkEnd w:id="422"/>
      <w:bookmarkEnd w:id="423"/>
      <w:r>
        <w:rPr>
          <w:rFonts w:hint="eastAsia" w:ascii="楷体_GB2312" w:hAnsi="宋体" w:eastAsia="楷体_GB2312"/>
          <w:color w:val="000000" w:themeColor="text1"/>
          <w:kern w:val="3"/>
        </w:rPr>
        <w:t>5工艺简介</w:t>
      </w:r>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p>
    <w:bookmarkEnd w:id="424"/>
    <w:bookmarkEnd w:id="425"/>
    <w:p>
      <w:pPr>
        <w:pStyle w:val="19"/>
        <w:spacing w:afterLines="100" w:line="500" w:lineRule="exact"/>
        <w:rPr>
          <w:rFonts w:ascii="黑体" w:hAnsi="宋体" w:eastAsia="黑体"/>
          <w:color w:val="000000" w:themeColor="text1"/>
          <w:kern w:val="3"/>
          <w:sz w:val="28"/>
          <w:szCs w:val="28"/>
        </w:rPr>
      </w:pPr>
      <w:bookmarkStart w:id="443" w:name="_Toc28917"/>
      <w:bookmarkStart w:id="444" w:name="_Toc24103"/>
      <w:bookmarkStart w:id="445" w:name="_Toc9706"/>
      <w:bookmarkStart w:id="446" w:name="_Toc11668"/>
      <w:bookmarkStart w:id="447" w:name="_Toc10077"/>
      <w:bookmarkStart w:id="448" w:name="_Toc32514"/>
      <w:bookmarkStart w:id="449" w:name="_Toc18189"/>
      <w:bookmarkStart w:id="450" w:name="_Toc9589"/>
      <w:bookmarkStart w:id="451" w:name="_Toc16791"/>
      <w:bookmarkStart w:id="452" w:name="_Toc26041"/>
      <w:bookmarkStart w:id="453" w:name="_Toc217444173"/>
      <w:bookmarkStart w:id="454" w:name="_Toc20314"/>
      <w:r>
        <w:rPr>
          <w:rFonts w:hint="eastAsia" w:ascii="黑体" w:hAnsi="宋体" w:eastAsia="黑体"/>
          <w:color w:val="000000" w:themeColor="text1"/>
          <w:kern w:val="3"/>
          <w:sz w:val="28"/>
          <w:szCs w:val="28"/>
        </w:rPr>
        <w:t>2.5.1卸车工艺</w:t>
      </w:r>
      <w:bookmarkEnd w:id="443"/>
      <w:bookmarkEnd w:id="444"/>
      <w:bookmarkEnd w:id="445"/>
      <w:bookmarkEnd w:id="446"/>
      <w:bookmarkEnd w:id="447"/>
      <w:bookmarkEnd w:id="448"/>
      <w:bookmarkEnd w:id="449"/>
      <w:bookmarkEnd w:id="450"/>
      <w:bookmarkEnd w:id="451"/>
      <w:bookmarkEnd w:id="452"/>
      <w:bookmarkStart w:id="455" w:name="_Toc505071577"/>
      <w:bookmarkStart w:id="456" w:name="_Toc462060940"/>
      <w:bookmarkStart w:id="457" w:name="_Toc460505411"/>
      <w:bookmarkStart w:id="458" w:name="_Toc470767422"/>
      <w:bookmarkStart w:id="459" w:name="_Toc444862036"/>
      <w:bookmarkStart w:id="460" w:name="_Toc460504637"/>
      <w:bookmarkStart w:id="461" w:name="_Toc460505272"/>
      <w:bookmarkStart w:id="462" w:name="_Toc505070192"/>
    </w:p>
    <w:bookmarkEnd w:id="455"/>
    <w:bookmarkEnd w:id="456"/>
    <w:bookmarkEnd w:id="457"/>
    <w:bookmarkEnd w:id="458"/>
    <w:bookmarkEnd w:id="459"/>
    <w:bookmarkEnd w:id="460"/>
    <w:bookmarkEnd w:id="461"/>
    <w:bookmarkEnd w:id="462"/>
    <w:p>
      <w:pPr>
        <w:adjustRightInd w:val="0"/>
        <w:snapToGrid w:val="0"/>
        <w:spacing w:line="500" w:lineRule="exact"/>
        <w:ind w:firstLine="560" w:firstLineChars="200"/>
        <w:rPr>
          <w:bCs/>
          <w:color w:val="000000" w:themeColor="text1"/>
          <w:sz w:val="28"/>
          <w:szCs w:val="28"/>
        </w:rPr>
      </w:pPr>
      <w:r>
        <w:rPr>
          <w:bCs/>
          <w:color w:val="000000" w:themeColor="text1"/>
          <w:sz w:val="28"/>
          <w:szCs w:val="28"/>
        </w:rPr>
        <w:t>甲醇卸车时采用密闭卸车口，不卸车时，将卸车口上锁，只在卸甲醇时才将其打开。具体程序如下：</w:t>
      </w:r>
    </w:p>
    <w:p>
      <w:pPr>
        <w:adjustRightInd w:val="0"/>
        <w:snapToGrid w:val="0"/>
        <w:spacing w:line="500" w:lineRule="exact"/>
        <w:ind w:firstLine="560" w:firstLineChars="200"/>
        <w:rPr>
          <w:bCs/>
          <w:color w:val="000000" w:themeColor="text1"/>
          <w:sz w:val="28"/>
          <w:szCs w:val="28"/>
        </w:rPr>
      </w:pPr>
      <w:bookmarkStart w:id="463" w:name="_Toc2031"/>
      <w:bookmarkStart w:id="464" w:name="_Toc9419"/>
      <w:r>
        <w:rPr>
          <w:bCs/>
          <w:color w:val="000000" w:themeColor="text1"/>
          <w:sz w:val="28"/>
          <w:szCs w:val="28"/>
        </w:rPr>
        <w:t>1.准备</w:t>
      </w:r>
      <w:bookmarkEnd w:id="463"/>
      <w:bookmarkEnd w:id="464"/>
    </w:p>
    <w:p>
      <w:pPr>
        <w:adjustRightInd w:val="0"/>
        <w:snapToGrid w:val="0"/>
        <w:spacing w:line="500" w:lineRule="exact"/>
        <w:ind w:firstLine="560" w:firstLineChars="200"/>
        <w:rPr>
          <w:bCs/>
          <w:color w:val="000000" w:themeColor="text1"/>
          <w:sz w:val="28"/>
          <w:szCs w:val="28"/>
        </w:rPr>
      </w:pPr>
      <w:r>
        <w:rPr>
          <w:bCs/>
          <w:color w:val="000000" w:themeColor="text1"/>
          <w:sz w:val="28"/>
          <w:szCs w:val="28"/>
        </w:rPr>
        <w:t>送甲醇的罐车到公司后，卸车员检测甲醇罐车安全设施是否齐全有效，引导罐车到卸车口。按规定备好消防器材，接好静电接地装置，将罐车静置</w:t>
      </w:r>
      <w:r>
        <w:rPr>
          <w:rFonts w:hint="eastAsia"/>
          <w:bCs/>
          <w:color w:val="000000" w:themeColor="text1"/>
          <w:sz w:val="28"/>
          <w:szCs w:val="28"/>
          <w:lang w:val="en-US" w:eastAsia="zh-CN"/>
        </w:rPr>
        <w:t>5</w:t>
      </w:r>
      <w:r>
        <w:rPr>
          <w:bCs/>
          <w:color w:val="000000" w:themeColor="text1"/>
          <w:sz w:val="28"/>
          <w:szCs w:val="28"/>
        </w:rPr>
        <w:t>min后准备接卸。</w:t>
      </w:r>
    </w:p>
    <w:p>
      <w:pPr>
        <w:adjustRightInd w:val="0"/>
        <w:snapToGrid w:val="0"/>
        <w:spacing w:line="500" w:lineRule="exact"/>
        <w:ind w:firstLine="560" w:firstLineChars="200"/>
        <w:rPr>
          <w:bCs/>
          <w:color w:val="000000" w:themeColor="text1"/>
          <w:sz w:val="28"/>
          <w:szCs w:val="28"/>
        </w:rPr>
      </w:pPr>
      <w:bookmarkStart w:id="465" w:name="_Toc15911"/>
      <w:bookmarkStart w:id="466" w:name="_Toc18272"/>
      <w:r>
        <w:rPr>
          <w:bCs/>
          <w:color w:val="000000" w:themeColor="text1"/>
          <w:sz w:val="28"/>
          <w:szCs w:val="28"/>
        </w:rPr>
        <w:t>2.验收</w:t>
      </w:r>
      <w:bookmarkEnd w:id="465"/>
      <w:bookmarkEnd w:id="466"/>
    </w:p>
    <w:p>
      <w:pPr>
        <w:adjustRightInd w:val="0"/>
        <w:snapToGrid w:val="0"/>
        <w:spacing w:line="500" w:lineRule="exact"/>
        <w:ind w:firstLine="560" w:firstLineChars="200"/>
        <w:rPr>
          <w:bCs/>
          <w:color w:val="000000" w:themeColor="text1"/>
          <w:sz w:val="28"/>
          <w:szCs w:val="28"/>
        </w:rPr>
      </w:pPr>
      <w:r>
        <w:rPr>
          <w:bCs/>
          <w:color w:val="000000" w:themeColor="text1"/>
          <w:sz w:val="28"/>
          <w:szCs w:val="28"/>
        </w:rPr>
        <w:t>公司内卸车员会同驾驶员核对甲醇罐车交运单记载的数量，检查确认罐车铅封是否完好；逐项填写进公司甲醇核对单，由驾驶员、卸车员双方签字确认实收数量。</w:t>
      </w:r>
    </w:p>
    <w:p>
      <w:pPr>
        <w:adjustRightInd w:val="0"/>
        <w:snapToGrid w:val="0"/>
        <w:spacing w:line="500" w:lineRule="exact"/>
        <w:ind w:firstLine="560" w:firstLineChars="200"/>
        <w:rPr>
          <w:bCs/>
          <w:color w:val="000000" w:themeColor="text1"/>
          <w:sz w:val="28"/>
          <w:szCs w:val="28"/>
        </w:rPr>
      </w:pPr>
      <w:bookmarkStart w:id="467" w:name="_Toc14374"/>
      <w:bookmarkStart w:id="468" w:name="_Toc19970"/>
      <w:r>
        <w:rPr>
          <w:bCs/>
          <w:color w:val="000000" w:themeColor="text1"/>
          <w:sz w:val="28"/>
          <w:szCs w:val="28"/>
        </w:rPr>
        <w:t>3.卸车</w:t>
      </w:r>
      <w:bookmarkEnd w:id="467"/>
      <w:bookmarkEnd w:id="468"/>
    </w:p>
    <w:p>
      <w:pPr>
        <w:adjustRightInd w:val="0"/>
        <w:snapToGrid w:val="0"/>
        <w:spacing w:line="500" w:lineRule="exact"/>
        <w:ind w:firstLine="560" w:firstLineChars="200"/>
        <w:rPr>
          <w:bCs/>
          <w:color w:val="000000" w:themeColor="text1"/>
          <w:sz w:val="28"/>
          <w:szCs w:val="28"/>
        </w:rPr>
      </w:pPr>
      <w:r>
        <w:rPr>
          <w:bCs/>
          <w:color w:val="000000" w:themeColor="text1"/>
          <w:sz w:val="28"/>
          <w:szCs w:val="28"/>
        </w:rPr>
        <w:t>（1）核对甲醇罐与罐车所装品种是否是甲醇；</w:t>
      </w:r>
    </w:p>
    <w:p>
      <w:pPr>
        <w:adjustRightInd w:val="0"/>
        <w:snapToGrid w:val="0"/>
        <w:spacing w:line="500" w:lineRule="exact"/>
        <w:ind w:firstLine="560" w:firstLineChars="200"/>
        <w:rPr>
          <w:bCs/>
          <w:color w:val="000000" w:themeColor="text1"/>
          <w:sz w:val="28"/>
          <w:szCs w:val="28"/>
        </w:rPr>
      </w:pPr>
      <w:r>
        <w:rPr>
          <w:bCs/>
          <w:color w:val="000000" w:themeColor="text1"/>
          <w:sz w:val="28"/>
          <w:szCs w:val="28"/>
        </w:rPr>
        <w:t>（2）通过高液位报警装置确认甲醇罐的空容量，防止跑、冒甲醇事故发生；甲醇罐车接静电接地线，然后连接卸车管，做到与接头结合紧密；</w:t>
      </w:r>
    </w:p>
    <w:p>
      <w:pPr>
        <w:adjustRightInd w:val="0"/>
        <w:snapToGrid w:val="0"/>
        <w:spacing w:line="500" w:lineRule="exact"/>
        <w:ind w:firstLine="560" w:firstLineChars="200"/>
        <w:rPr>
          <w:bCs/>
          <w:color w:val="000000" w:themeColor="text1"/>
          <w:sz w:val="28"/>
          <w:szCs w:val="28"/>
        </w:rPr>
      </w:pPr>
      <w:r>
        <w:rPr>
          <w:bCs/>
          <w:color w:val="000000" w:themeColor="text1"/>
          <w:sz w:val="28"/>
          <w:szCs w:val="28"/>
        </w:rPr>
        <w:t>（3）驾驶员缓慢开启卸车阀门，卸车员密切监视、观察卸车管线、相关阀门等设施运行情况，随时准备处理可能发生的情况；</w:t>
      </w:r>
    </w:p>
    <w:p>
      <w:pPr>
        <w:adjustRightInd w:val="0"/>
        <w:snapToGrid w:val="0"/>
        <w:spacing w:line="500" w:lineRule="exact"/>
        <w:ind w:firstLine="560" w:firstLineChars="200"/>
        <w:rPr>
          <w:bCs/>
          <w:color w:val="000000" w:themeColor="text1"/>
          <w:sz w:val="28"/>
          <w:szCs w:val="28"/>
        </w:rPr>
      </w:pPr>
      <w:r>
        <w:rPr>
          <w:bCs/>
          <w:color w:val="000000" w:themeColor="text1"/>
          <w:sz w:val="28"/>
          <w:szCs w:val="28"/>
        </w:rPr>
        <w:t>（4）卸车完毕，先关闭罐车卸车阀门，再拆除卸车管线；</w:t>
      </w:r>
    </w:p>
    <w:p>
      <w:pPr>
        <w:adjustRightInd w:val="0"/>
        <w:snapToGrid w:val="0"/>
        <w:spacing w:line="500" w:lineRule="exact"/>
        <w:ind w:firstLine="560" w:firstLineChars="200"/>
        <w:rPr>
          <w:bCs/>
          <w:color w:val="000000" w:themeColor="text1"/>
          <w:sz w:val="28"/>
          <w:szCs w:val="28"/>
        </w:rPr>
      </w:pPr>
      <w:r>
        <w:rPr>
          <w:bCs/>
          <w:color w:val="000000" w:themeColor="text1"/>
          <w:sz w:val="28"/>
          <w:szCs w:val="28"/>
        </w:rPr>
        <w:t>（5）引导甲醇罐车出公司。</w:t>
      </w:r>
    </w:p>
    <w:p>
      <w:pPr>
        <w:adjustRightInd w:val="0"/>
        <w:snapToGrid w:val="0"/>
        <w:spacing w:line="500" w:lineRule="exact"/>
        <w:ind w:firstLine="560" w:firstLineChars="200"/>
        <w:rPr>
          <w:bCs/>
          <w:color w:val="000000" w:themeColor="text1"/>
          <w:sz w:val="28"/>
          <w:szCs w:val="28"/>
        </w:rPr>
      </w:pPr>
      <w:bookmarkStart w:id="469" w:name="_Toc19181"/>
      <w:bookmarkStart w:id="470" w:name="_Toc15713"/>
      <w:r>
        <w:rPr>
          <w:bCs/>
          <w:color w:val="000000" w:themeColor="text1"/>
          <w:sz w:val="28"/>
          <w:szCs w:val="28"/>
        </w:rPr>
        <w:t>4.卸后工作</w:t>
      </w:r>
      <w:bookmarkEnd w:id="469"/>
      <w:bookmarkEnd w:id="470"/>
    </w:p>
    <w:p>
      <w:pPr>
        <w:adjustRightInd w:val="0"/>
        <w:snapToGrid w:val="0"/>
        <w:spacing w:line="500" w:lineRule="exact"/>
        <w:ind w:firstLine="560" w:firstLineChars="200"/>
        <w:rPr>
          <w:bCs/>
          <w:color w:val="000000" w:themeColor="text1"/>
          <w:sz w:val="28"/>
          <w:szCs w:val="28"/>
        </w:rPr>
      </w:pPr>
      <w:r>
        <w:rPr>
          <w:bCs/>
          <w:color w:val="000000" w:themeColor="text1"/>
          <w:sz w:val="28"/>
          <w:szCs w:val="28"/>
        </w:rPr>
        <w:t>（1）将消防器材放回原位，整理好现场；</w:t>
      </w:r>
    </w:p>
    <w:p>
      <w:pPr>
        <w:adjustRightInd w:val="0"/>
        <w:snapToGrid w:val="0"/>
        <w:spacing w:line="500" w:lineRule="exact"/>
        <w:ind w:firstLine="560" w:firstLineChars="200"/>
        <w:rPr>
          <w:bCs/>
          <w:color w:val="000000" w:themeColor="text1"/>
          <w:sz w:val="28"/>
          <w:szCs w:val="28"/>
        </w:rPr>
      </w:pPr>
      <w:r>
        <w:rPr>
          <w:bCs/>
          <w:color w:val="000000" w:themeColor="text1"/>
          <w:sz w:val="28"/>
          <w:szCs w:val="28"/>
        </w:rPr>
        <w:t>（2）根据进公司甲醇核对单及甲醇交运单，填写进货验收登记表。</w:t>
      </w:r>
    </w:p>
    <w:p>
      <w:pPr>
        <w:pStyle w:val="19"/>
        <w:spacing w:afterLines="100" w:line="500" w:lineRule="exact"/>
        <w:rPr>
          <w:rFonts w:ascii="黑体" w:hAnsi="宋体" w:eastAsia="黑体"/>
          <w:color w:val="000000" w:themeColor="text1"/>
          <w:kern w:val="3"/>
          <w:sz w:val="28"/>
          <w:szCs w:val="28"/>
        </w:rPr>
      </w:pPr>
      <w:bookmarkStart w:id="471" w:name="_Toc31385"/>
      <w:bookmarkStart w:id="472" w:name="_Toc26135"/>
      <w:bookmarkStart w:id="473" w:name="_Toc20911"/>
      <w:bookmarkStart w:id="474" w:name="_Toc17058"/>
      <w:r>
        <w:rPr>
          <w:rFonts w:hint="eastAsia" w:ascii="黑体" w:hAnsi="宋体" w:eastAsia="黑体"/>
          <w:color w:val="000000" w:themeColor="text1"/>
          <w:kern w:val="3"/>
          <w:sz w:val="28"/>
          <w:szCs w:val="28"/>
        </w:rPr>
        <w:t>2.5.2 储存工艺</w:t>
      </w:r>
      <w:bookmarkEnd w:id="471"/>
      <w:bookmarkEnd w:id="472"/>
      <w:bookmarkEnd w:id="473"/>
      <w:bookmarkEnd w:id="474"/>
    </w:p>
    <w:p>
      <w:pPr>
        <w:adjustRightInd w:val="0"/>
        <w:snapToGrid w:val="0"/>
        <w:spacing w:line="500" w:lineRule="exact"/>
        <w:ind w:firstLine="560" w:firstLineChars="200"/>
        <w:rPr>
          <w:bCs/>
          <w:color w:val="000000" w:themeColor="text1"/>
          <w:sz w:val="28"/>
          <w:szCs w:val="28"/>
        </w:rPr>
      </w:pPr>
      <w:r>
        <w:rPr>
          <w:bCs/>
          <w:color w:val="000000" w:themeColor="text1"/>
          <w:sz w:val="28"/>
          <w:szCs w:val="28"/>
        </w:rPr>
        <w:t>甲醇经卸车管道送至储罐储存，然后经</w:t>
      </w:r>
      <w:r>
        <w:rPr>
          <w:rFonts w:hint="eastAsia"/>
          <w:bCs/>
          <w:color w:val="000000" w:themeColor="text1"/>
          <w:sz w:val="28"/>
          <w:szCs w:val="28"/>
        </w:rPr>
        <w:t>加注机进行分装加注</w:t>
      </w:r>
      <w:r>
        <w:rPr>
          <w:bCs/>
          <w:color w:val="000000" w:themeColor="text1"/>
          <w:sz w:val="28"/>
          <w:szCs w:val="28"/>
        </w:rPr>
        <w:t>。</w:t>
      </w:r>
    </w:p>
    <w:p>
      <w:pPr>
        <w:pStyle w:val="19"/>
        <w:spacing w:afterLines="100" w:line="500" w:lineRule="exact"/>
        <w:rPr>
          <w:rFonts w:ascii="黑体" w:hAnsi="宋体" w:eastAsia="黑体"/>
          <w:color w:val="000000" w:themeColor="text1"/>
          <w:kern w:val="3"/>
          <w:sz w:val="28"/>
          <w:szCs w:val="28"/>
        </w:rPr>
      </w:pPr>
      <w:bookmarkStart w:id="475" w:name="_Toc7498"/>
      <w:bookmarkStart w:id="476" w:name="_Toc278"/>
      <w:bookmarkStart w:id="477" w:name="_Toc27989"/>
      <w:bookmarkStart w:id="478" w:name="_Toc23292"/>
      <w:r>
        <w:rPr>
          <w:rFonts w:hint="eastAsia" w:ascii="黑体" w:hAnsi="宋体" w:eastAsia="黑体"/>
          <w:color w:val="000000" w:themeColor="text1"/>
          <w:kern w:val="3"/>
          <w:sz w:val="28"/>
          <w:szCs w:val="28"/>
        </w:rPr>
        <w:t>2.5.3甲醇分装工艺</w:t>
      </w:r>
      <w:bookmarkEnd w:id="475"/>
      <w:bookmarkEnd w:id="476"/>
      <w:bookmarkEnd w:id="477"/>
      <w:bookmarkEnd w:id="478"/>
    </w:p>
    <w:p>
      <w:pPr>
        <w:adjustRightInd w:val="0"/>
        <w:snapToGrid w:val="0"/>
        <w:spacing w:line="500" w:lineRule="exact"/>
        <w:ind w:firstLine="560" w:firstLineChars="200"/>
        <w:rPr>
          <w:bCs/>
          <w:color w:val="000000" w:themeColor="text1"/>
          <w:sz w:val="28"/>
          <w:szCs w:val="28"/>
        </w:rPr>
      </w:pPr>
      <w:r>
        <w:rPr>
          <w:bCs/>
          <w:color w:val="000000" w:themeColor="text1"/>
          <w:sz w:val="28"/>
          <w:szCs w:val="28"/>
        </w:rPr>
        <w:t>分装时，</w:t>
      </w:r>
      <w:r>
        <w:rPr>
          <w:rFonts w:hint="eastAsia"/>
          <w:bCs/>
          <w:color w:val="000000" w:themeColor="text1"/>
          <w:sz w:val="28"/>
          <w:szCs w:val="28"/>
        </w:rPr>
        <w:t>加注机</w:t>
      </w:r>
      <w:r>
        <w:rPr>
          <w:bCs/>
          <w:color w:val="000000" w:themeColor="text1"/>
          <w:sz w:val="28"/>
          <w:szCs w:val="28"/>
        </w:rPr>
        <w:t>通过泵，将甲醇自甲醇罐中抽出，经甲醇管道送至</w:t>
      </w:r>
      <w:r>
        <w:rPr>
          <w:rFonts w:hint="eastAsia"/>
          <w:bCs/>
          <w:color w:val="000000" w:themeColor="text1"/>
          <w:sz w:val="28"/>
          <w:szCs w:val="28"/>
        </w:rPr>
        <w:t>加注机</w:t>
      </w:r>
      <w:r>
        <w:rPr>
          <w:bCs/>
          <w:color w:val="000000" w:themeColor="text1"/>
          <w:sz w:val="28"/>
          <w:szCs w:val="28"/>
        </w:rPr>
        <w:t>，</w:t>
      </w:r>
      <w:r>
        <w:rPr>
          <w:rFonts w:hint="eastAsia"/>
          <w:bCs/>
          <w:color w:val="000000" w:themeColor="text1"/>
          <w:sz w:val="28"/>
          <w:szCs w:val="28"/>
        </w:rPr>
        <w:t>通过加注机加注至</w:t>
      </w:r>
      <w:r>
        <w:rPr>
          <w:bCs/>
          <w:color w:val="000000" w:themeColor="text1"/>
          <w:sz w:val="28"/>
          <w:szCs w:val="28"/>
        </w:rPr>
        <w:t>甲醇桶（由购货方</w:t>
      </w:r>
      <w:r>
        <w:rPr>
          <w:rFonts w:hint="eastAsia"/>
          <w:bCs/>
          <w:color w:val="000000" w:themeColor="text1"/>
          <w:sz w:val="28"/>
          <w:szCs w:val="28"/>
        </w:rPr>
        <w:t>或者公司</w:t>
      </w:r>
      <w:r>
        <w:rPr>
          <w:bCs/>
          <w:color w:val="000000" w:themeColor="text1"/>
          <w:sz w:val="28"/>
          <w:szCs w:val="28"/>
        </w:rPr>
        <w:t>负责提供）后</w:t>
      </w:r>
      <w:r>
        <w:rPr>
          <w:rFonts w:hint="eastAsia"/>
          <w:bCs/>
          <w:color w:val="000000" w:themeColor="text1"/>
          <w:sz w:val="28"/>
          <w:szCs w:val="28"/>
        </w:rPr>
        <w:t>向外运输</w:t>
      </w:r>
      <w:r>
        <w:rPr>
          <w:bCs/>
          <w:color w:val="000000" w:themeColor="text1"/>
          <w:sz w:val="28"/>
          <w:szCs w:val="28"/>
        </w:rPr>
        <w:t>，甲醇在有购货方需要的时候才进行装桶作业。</w:t>
      </w:r>
    </w:p>
    <w:p>
      <w:pPr>
        <w:pStyle w:val="19"/>
        <w:spacing w:afterLines="100" w:line="500" w:lineRule="exact"/>
        <w:rPr>
          <w:rFonts w:hint="eastAsia" w:ascii="黑体" w:hAnsi="宋体" w:eastAsia="黑体"/>
          <w:color w:val="000000" w:themeColor="text1"/>
          <w:kern w:val="3"/>
          <w:sz w:val="28"/>
          <w:szCs w:val="28"/>
          <w:lang w:val="en-US" w:eastAsia="zh-CN"/>
        </w:rPr>
      </w:pPr>
      <w:r>
        <w:rPr>
          <w:rFonts w:hint="eastAsia" w:ascii="黑体" w:hAnsi="宋体" w:eastAsia="黑体"/>
          <w:color w:val="000000" w:themeColor="text1"/>
          <w:kern w:val="3"/>
          <w:sz w:val="28"/>
          <w:szCs w:val="28"/>
          <w:lang w:val="en-US" w:eastAsia="zh-CN"/>
        </w:rPr>
        <w:t>2.5.4计量工艺</w:t>
      </w:r>
    </w:p>
    <w:p>
      <w:pPr>
        <w:snapToGrid w:val="0"/>
        <w:spacing w:line="500" w:lineRule="exact"/>
        <w:ind w:firstLine="560" w:firstLineChars="200"/>
        <w:jc w:val="left"/>
        <w:rPr>
          <w:rFonts w:hint="eastAsia"/>
          <w:sz w:val="28"/>
          <w:szCs w:val="28"/>
        </w:rPr>
      </w:pPr>
      <w:r>
        <w:rPr>
          <w:rFonts w:hint="eastAsia"/>
          <w:sz w:val="28"/>
          <w:szCs w:val="28"/>
        </w:rPr>
        <w:t>人工计量：由人工使用量油标尺通过</w:t>
      </w:r>
      <w:r>
        <w:rPr>
          <w:rFonts w:hint="eastAsia"/>
          <w:sz w:val="28"/>
          <w:szCs w:val="28"/>
          <w:lang w:val="en-US" w:eastAsia="zh-CN"/>
        </w:rPr>
        <w:t>储罐</w:t>
      </w:r>
      <w:r>
        <w:rPr>
          <w:rFonts w:hint="eastAsia"/>
          <w:sz w:val="28"/>
          <w:szCs w:val="28"/>
        </w:rPr>
        <w:t>的人工量油孔测量</w:t>
      </w:r>
      <w:r>
        <w:rPr>
          <w:rFonts w:hint="eastAsia"/>
          <w:sz w:val="28"/>
          <w:szCs w:val="28"/>
          <w:lang w:val="en-US" w:eastAsia="zh-CN"/>
        </w:rPr>
        <w:t>甲醇液位</w:t>
      </w:r>
      <w:r>
        <w:rPr>
          <w:rFonts w:hint="eastAsia"/>
          <w:sz w:val="28"/>
          <w:szCs w:val="28"/>
        </w:rPr>
        <w:t>高度。</w:t>
      </w:r>
      <w:r>
        <w:rPr>
          <w:rFonts w:hint="eastAsia"/>
          <w:sz w:val="28"/>
          <w:szCs w:val="28"/>
          <w:lang w:val="en-US" w:eastAsia="zh-CN"/>
        </w:rPr>
        <w:t>甲醇</w:t>
      </w:r>
      <w:r>
        <w:rPr>
          <w:rFonts w:hint="eastAsia"/>
          <w:sz w:val="28"/>
          <w:szCs w:val="28"/>
        </w:rPr>
        <w:t>计量包括测量和计算，测量包括：</w:t>
      </w:r>
      <w:r>
        <w:rPr>
          <w:rFonts w:hint="eastAsia"/>
          <w:sz w:val="28"/>
          <w:szCs w:val="28"/>
          <w:lang w:val="en-US" w:eastAsia="zh-CN"/>
        </w:rPr>
        <w:t>甲醇</w:t>
      </w:r>
      <w:r>
        <w:rPr>
          <w:rFonts w:hint="eastAsia"/>
          <w:sz w:val="28"/>
          <w:szCs w:val="28"/>
        </w:rPr>
        <w:t>高测量、水高测量、温计量、取样、视密度和试验温度的测定。</w:t>
      </w:r>
      <w:r>
        <w:rPr>
          <w:rFonts w:hint="eastAsia"/>
          <w:sz w:val="28"/>
          <w:szCs w:val="28"/>
          <w:lang w:val="en-US" w:eastAsia="zh-CN"/>
        </w:rPr>
        <w:t>甲醇</w:t>
      </w:r>
      <w:r>
        <w:rPr>
          <w:rFonts w:hint="eastAsia"/>
          <w:sz w:val="28"/>
          <w:szCs w:val="28"/>
        </w:rPr>
        <w:t>计算包括容积计算和重量计算，各环节损耗计算。</w:t>
      </w:r>
    </w:p>
    <w:p>
      <w:pPr>
        <w:snapToGrid w:val="0"/>
        <w:spacing w:line="500" w:lineRule="exact"/>
        <w:ind w:firstLine="560" w:firstLineChars="200"/>
        <w:jc w:val="left"/>
        <w:rPr>
          <w:rFonts w:hint="eastAsia"/>
          <w:sz w:val="28"/>
          <w:szCs w:val="28"/>
        </w:rPr>
      </w:pPr>
      <w:r>
        <w:rPr>
          <w:rFonts w:hint="eastAsia"/>
          <w:sz w:val="28"/>
          <w:szCs w:val="28"/>
        </w:rPr>
        <w:t>液位仪计量：</w:t>
      </w:r>
      <w:r>
        <w:rPr>
          <w:rFonts w:hint="eastAsia"/>
          <w:sz w:val="28"/>
          <w:szCs w:val="28"/>
          <w:lang w:val="en-US" w:eastAsia="zh-CN"/>
        </w:rPr>
        <w:t>储罐</w:t>
      </w:r>
      <w:r>
        <w:rPr>
          <w:rFonts w:hint="eastAsia"/>
          <w:sz w:val="28"/>
          <w:szCs w:val="28"/>
        </w:rPr>
        <w:t>安装有磁致伸缩液位仪，配合液位监控报警仪使用，可通过人机界面设定和监控</w:t>
      </w:r>
      <w:r>
        <w:rPr>
          <w:rFonts w:hint="eastAsia"/>
          <w:sz w:val="28"/>
          <w:szCs w:val="28"/>
          <w:lang w:val="en-US" w:eastAsia="zh-CN"/>
        </w:rPr>
        <w:t>储</w:t>
      </w:r>
      <w:r>
        <w:rPr>
          <w:rFonts w:hint="eastAsia"/>
          <w:sz w:val="28"/>
          <w:szCs w:val="28"/>
        </w:rPr>
        <w:t>罐</w:t>
      </w:r>
      <w:r>
        <w:rPr>
          <w:rFonts w:hint="eastAsia"/>
          <w:sz w:val="28"/>
          <w:szCs w:val="28"/>
          <w:lang w:val="en-US" w:eastAsia="zh-CN"/>
        </w:rPr>
        <w:t>甲醇液</w:t>
      </w:r>
      <w:r>
        <w:rPr>
          <w:rFonts w:hint="eastAsia"/>
          <w:sz w:val="28"/>
          <w:szCs w:val="28"/>
        </w:rPr>
        <w:t>位高、水位高，并有低液位报警和高液位报警功能。通过该系统可读取报警信息、</w:t>
      </w:r>
      <w:r>
        <w:rPr>
          <w:rFonts w:hint="eastAsia"/>
          <w:sz w:val="28"/>
          <w:szCs w:val="28"/>
          <w:lang w:val="en-US" w:eastAsia="zh-CN"/>
        </w:rPr>
        <w:t>装卸</w:t>
      </w:r>
      <w:r>
        <w:rPr>
          <w:rFonts w:hint="eastAsia"/>
          <w:sz w:val="28"/>
          <w:szCs w:val="28"/>
        </w:rPr>
        <w:t>记录等，具有显示、存储、报警和人机交互功能。</w:t>
      </w:r>
    </w:p>
    <w:p>
      <w:pPr>
        <w:pStyle w:val="19"/>
        <w:spacing w:afterLines="100" w:line="500" w:lineRule="exact"/>
        <w:rPr>
          <w:rFonts w:ascii="黑体" w:hAnsi="宋体" w:eastAsia="黑体"/>
          <w:color w:val="000000" w:themeColor="text1"/>
          <w:kern w:val="3"/>
          <w:sz w:val="28"/>
          <w:szCs w:val="28"/>
        </w:rPr>
      </w:pPr>
      <w:bookmarkStart w:id="479" w:name="_Toc24637"/>
      <w:bookmarkStart w:id="480" w:name="_Toc19132"/>
      <w:bookmarkStart w:id="481" w:name="_Toc7175"/>
      <w:bookmarkStart w:id="482" w:name="_Toc22965"/>
      <w:r>
        <w:rPr>
          <w:rFonts w:hint="eastAsia" w:ascii="黑体" w:hAnsi="宋体" w:eastAsia="黑体"/>
          <w:color w:val="000000" w:themeColor="text1"/>
          <w:kern w:val="3"/>
          <w:sz w:val="28"/>
          <w:szCs w:val="28"/>
        </w:rPr>
        <w:t>2.5.</w:t>
      </w:r>
      <w:r>
        <w:rPr>
          <w:rFonts w:hint="eastAsia" w:ascii="黑体" w:hAnsi="宋体" w:eastAsia="黑体"/>
          <w:color w:val="000000" w:themeColor="text1"/>
          <w:kern w:val="3"/>
          <w:sz w:val="28"/>
          <w:szCs w:val="28"/>
          <w:lang w:val="en-US" w:eastAsia="zh-CN"/>
        </w:rPr>
        <w:t>5</w:t>
      </w:r>
      <w:r>
        <w:rPr>
          <w:rFonts w:hint="eastAsia" w:ascii="黑体" w:hAnsi="宋体" w:eastAsia="黑体"/>
          <w:color w:val="000000" w:themeColor="text1"/>
          <w:kern w:val="3"/>
          <w:sz w:val="28"/>
          <w:szCs w:val="28"/>
        </w:rPr>
        <w:t>产品装车</w:t>
      </w:r>
      <w:bookmarkEnd w:id="479"/>
      <w:bookmarkEnd w:id="480"/>
      <w:bookmarkEnd w:id="481"/>
      <w:bookmarkEnd w:id="482"/>
    </w:p>
    <w:p>
      <w:pPr>
        <w:pStyle w:val="51"/>
        <w:rPr>
          <w:rFonts w:ascii="Times New Roman" w:hAnsi="Times New Roman"/>
          <w:color w:val="000000" w:themeColor="text1"/>
        </w:rPr>
      </w:pPr>
      <w:r>
        <w:rPr>
          <w:rFonts w:ascii="Times New Roman" w:hAnsi="Times New Roman"/>
          <w:bCs/>
          <w:color w:val="000000" w:themeColor="text1"/>
          <w:kern w:val="2"/>
          <w:szCs w:val="28"/>
        </w:rPr>
        <w:t>外来车辆安装好阻火器进入装车区，停车熄火，并在车轮垫好阻车器，接好防静电静电夹。装车作业人员穿戴好劳保用品将桶装甲醇堆放在车上。装车完毕，依次拆除安全设施，车辆出厂。</w:t>
      </w:r>
    </w:p>
    <w:p>
      <w:pPr>
        <w:spacing w:afterLines="50" w:line="500" w:lineRule="exact"/>
        <w:ind w:firstLine="560" w:firstLineChars="200"/>
        <w:rPr>
          <w:color w:val="000000" w:themeColor="text1"/>
          <w:sz w:val="28"/>
          <w:szCs w:val="28"/>
        </w:rPr>
      </w:pPr>
      <w:r>
        <w:rPr>
          <w:rFonts w:eastAsiaTheme="minorEastAsia"/>
          <w:color w:val="000000" w:themeColor="text1"/>
          <w:sz w:val="28"/>
          <w:szCs w:val="28"/>
        </w:rPr>
        <w:t>该项目工艺流程简图如下图所示</w:t>
      </w:r>
      <w:r>
        <w:rPr>
          <w:color w:val="000000" w:themeColor="text1"/>
          <w:sz w:val="28"/>
          <w:szCs w:val="28"/>
        </w:rPr>
        <w:t>：</w:t>
      </w:r>
    </w:p>
    <w:p>
      <w:pPr>
        <w:widowControl/>
        <w:rPr>
          <w:rFonts w:hint="eastAsia" w:eastAsia="宋体"/>
          <w:color w:val="000000" w:themeColor="text1"/>
          <w:lang w:eastAsia="zh-CN"/>
        </w:rPr>
      </w:pPr>
      <w:r>
        <w:rPr>
          <w:rFonts w:hint="eastAsia" w:eastAsia="宋体"/>
          <w:color w:val="000000" w:themeColor="text1"/>
          <w:lang w:eastAsia="zh-CN"/>
        </w:rPr>
        <w:drawing>
          <wp:inline distT="0" distB="0" distL="114300" distR="114300">
            <wp:extent cx="5257800" cy="1866900"/>
            <wp:effectExtent l="0" t="0" r="0" b="0"/>
            <wp:docPr id="4" name="图片 4" descr="1653983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653983627"/>
                    <pic:cNvPicPr>
                      <a:picLocks noChangeAspect="1"/>
                    </pic:cNvPicPr>
                  </pic:nvPicPr>
                  <pic:blipFill>
                    <a:blip r:embed="rId12"/>
                    <a:stretch>
                      <a:fillRect/>
                    </a:stretch>
                  </pic:blipFill>
                  <pic:spPr>
                    <a:xfrm>
                      <a:off x="0" y="0"/>
                      <a:ext cx="5257800" cy="1866900"/>
                    </a:xfrm>
                    <a:prstGeom prst="rect">
                      <a:avLst/>
                    </a:prstGeom>
                  </pic:spPr>
                </pic:pic>
              </a:graphicData>
            </a:graphic>
          </wp:inline>
        </w:drawing>
      </w:r>
    </w:p>
    <w:p>
      <w:pPr>
        <w:adjustRightInd w:val="0"/>
        <w:snapToGrid w:val="0"/>
        <w:spacing w:line="500" w:lineRule="exact"/>
        <w:ind w:firstLine="480" w:firstLineChars="200"/>
        <w:jc w:val="center"/>
        <w:rPr>
          <w:rFonts w:eastAsiaTheme="minorEastAsia"/>
          <w:snapToGrid w:val="0"/>
          <w:color w:val="000000" w:themeColor="text1"/>
          <w:kern w:val="0"/>
          <w:sz w:val="24"/>
        </w:rPr>
      </w:pPr>
      <w:r>
        <w:rPr>
          <w:rFonts w:eastAsiaTheme="minorEastAsia"/>
          <w:snapToGrid w:val="0"/>
          <w:color w:val="000000" w:themeColor="text1"/>
          <w:kern w:val="0"/>
          <w:sz w:val="24"/>
        </w:rPr>
        <w:t>图2-</w:t>
      </w:r>
      <w:r>
        <w:rPr>
          <w:rFonts w:hint="eastAsia" w:eastAsiaTheme="minorEastAsia"/>
          <w:snapToGrid w:val="0"/>
          <w:color w:val="000000" w:themeColor="text1"/>
          <w:kern w:val="0"/>
          <w:sz w:val="24"/>
        </w:rPr>
        <w:t>3</w:t>
      </w:r>
      <w:r>
        <w:rPr>
          <w:rFonts w:eastAsiaTheme="minorEastAsia"/>
          <w:snapToGrid w:val="0"/>
          <w:color w:val="000000" w:themeColor="text1"/>
          <w:kern w:val="0"/>
          <w:sz w:val="24"/>
        </w:rPr>
        <w:t xml:space="preserve">  项目工艺流程简图</w:t>
      </w:r>
    </w:p>
    <w:p>
      <w:pPr>
        <w:pStyle w:val="19"/>
        <w:spacing w:afterLines="100" w:line="500" w:lineRule="exact"/>
        <w:jc w:val="center"/>
        <w:rPr>
          <w:rFonts w:ascii="楷体_GB2312" w:hAnsi="宋体" w:eastAsia="楷体_GB2312"/>
          <w:color w:val="000000" w:themeColor="text1"/>
          <w:kern w:val="3"/>
        </w:rPr>
      </w:pPr>
      <w:bookmarkStart w:id="483" w:name="_Toc30579"/>
      <w:bookmarkStart w:id="484" w:name="_Toc30060"/>
      <w:bookmarkStart w:id="485" w:name="_Toc403"/>
      <w:bookmarkStart w:id="486" w:name="_Toc21555"/>
      <w:bookmarkStart w:id="487" w:name="_Toc16117"/>
      <w:bookmarkStart w:id="488" w:name="_Toc13780"/>
      <w:bookmarkStart w:id="489" w:name="_Toc27"/>
      <w:bookmarkStart w:id="490" w:name="_Toc23858"/>
      <w:bookmarkStart w:id="491" w:name="_Toc32640"/>
      <w:bookmarkStart w:id="492" w:name="_Toc31418"/>
      <w:bookmarkStart w:id="493" w:name="_Toc11658_WPSOffice_Level2"/>
      <w:bookmarkStart w:id="494" w:name="_Toc5365"/>
      <w:bookmarkStart w:id="495" w:name="_Toc11850"/>
      <w:bookmarkStart w:id="496" w:name="_Toc24630"/>
      <w:bookmarkStart w:id="497" w:name="_Toc29998"/>
      <w:bookmarkStart w:id="498" w:name="_Toc32201"/>
      <w:r>
        <w:rPr>
          <w:rFonts w:hint="eastAsia" w:ascii="楷体_GB2312" w:hAnsi="宋体" w:eastAsia="楷体_GB2312"/>
          <w:color w:val="000000" w:themeColor="text1"/>
          <w:kern w:val="3"/>
        </w:rPr>
        <w:t>2.6 主要设备、设施及建（构）筑物</w:t>
      </w:r>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p>
    <w:p>
      <w:pPr>
        <w:pStyle w:val="19"/>
        <w:spacing w:afterLines="100" w:line="500" w:lineRule="exact"/>
        <w:rPr>
          <w:rFonts w:ascii="黑体" w:hAnsi="宋体" w:eastAsia="黑体"/>
          <w:color w:val="000000" w:themeColor="text1"/>
          <w:kern w:val="3"/>
          <w:sz w:val="28"/>
          <w:szCs w:val="28"/>
        </w:rPr>
      </w:pPr>
      <w:bookmarkStart w:id="499" w:name="_Toc19487"/>
      <w:bookmarkStart w:id="500" w:name="_Toc22861"/>
      <w:bookmarkStart w:id="501" w:name="_Toc5420"/>
      <w:bookmarkStart w:id="502" w:name="_Toc13908"/>
      <w:bookmarkStart w:id="503" w:name="_Toc30032"/>
      <w:bookmarkStart w:id="504" w:name="_Toc14410"/>
      <w:bookmarkStart w:id="505" w:name="_Toc20446"/>
      <w:bookmarkStart w:id="506" w:name="_Toc686"/>
      <w:bookmarkStart w:id="507" w:name="_Toc10304"/>
      <w:bookmarkStart w:id="508" w:name="_Toc18081"/>
      <w:r>
        <w:rPr>
          <w:rFonts w:hint="eastAsia" w:ascii="黑体" w:hAnsi="宋体" w:eastAsia="黑体"/>
          <w:color w:val="000000" w:themeColor="text1"/>
          <w:kern w:val="3"/>
          <w:sz w:val="28"/>
          <w:szCs w:val="28"/>
        </w:rPr>
        <w:t>2.6.1 主要设备、设施</w:t>
      </w:r>
      <w:bookmarkEnd w:id="499"/>
      <w:bookmarkEnd w:id="500"/>
      <w:bookmarkEnd w:id="501"/>
      <w:bookmarkEnd w:id="502"/>
      <w:bookmarkEnd w:id="503"/>
      <w:bookmarkEnd w:id="504"/>
      <w:bookmarkEnd w:id="505"/>
      <w:bookmarkEnd w:id="506"/>
      <w:bookmarkEnd w:id="507"/>
      <w:bookmarkEnd w:id="508"/>
    </w:p>
    <w:p>
      <w:pPr>
        <w:adjustRightInd w:val="0"/>
        <w:snapToGrid w:val="0"/>
        <w:spacing w:line="500" w:lineRule="exact"/>
        <w:ind w:firstLine="560" w:firstLineChars="200"/>
        <w:rPr>
          <w:color w:val="000000" w:themeColor="text1"/>
          <w:sz w:val="28"/>
          <w:szCs w:val="28"/>
        </w:rPr>
      </w:pPr>
      <w:bookmarkStart w:id="509" w:name="_Toc16084"/>
      <w:bookmarkStart w:id="510" w:name="_Toc29321"/>
      <w:bookmarkStart w:id="511" w:name="_Toc2492"/>
      <w:bookmarkStart w:id="512" w:name="_Toc9160"/>
      <w:bookmarkStart w:id="513" w:name="_Toc11908"/>
      <w:r>
        <w:rPr>
          <w:color w:val="000000" w:themeColor="text1"/>
          <w:sz w:val="28"/>
          <w:szCs w:val="28"/>
        </w:rPr>
        <w:t>该项目涉及的主要设备、设施情况如下表所示：</w:t>
      </w:r>
      <w:bookmarkEnd w:id="509"/>
      <w:bookmarkEnd w:id="510"/>
      <w:bookmarkEnd w:id="511"/>
      <w:bookmarkEnd w:id="512"/>
      <w:bookmarkEnd w:id="513"/>
      <w:bookmarkStart w:id="514" w:name="_Toc69832432"/>
      <w:bookmarkStart w:id="515" w:name="_Toc513817347"/>
      <w:bookmarkStart w:id="516" w:name="_Toc71558436"/>
      <w:bookmarkStart w:id="517" w:name="_Toc323036829"/>
      <w:bookmarkStart w:id="518" w:name="_Toc317065442"/>
      <w:bookmarkStart w:id="519" w:name="_Toc318370765"/>
      <w:bookmarkStart w:id="520" w:name="_Toc317261098"/>
      <w:bookmarkStart w:id="521" w:name="_Toc71710869"/>
    </w:p>
    <w:p>
      <w:pPr>
        <w:rPr>
          <w:color w:val="000000" w:themeColor="text1"/>
          <w:sz w:val="24"/>
        </w:rPr>
      </w:pPr>
      <w:r>
        <w:rPr>
          <w:color w:val="000000" w:themeColor="text1"/>
          <w:sz w:val="24"/>
        </w:rPr>
        <w:br w:type="page"/>
      </w:r>
    </w:p>
    <w:p>
      <w:pPr>
        <w:jc w:val="center"/>
        <w:rPr>
          <w:color w:val="000000" w:themeColor="text1"/>
          <w:sz w:val="24"/>
        </w:rPr>
      </w:pPr>
      <w:r>
        <w:rPr>
          <w:color w:val="000000" w:themeColor="text1"/>
          <w:sz w:val="24"/>
        </w:rPr>
        <w:t>表2-3 主要设备、设施一览表</w:t>
      </w:r>
    </w:p>
    <w:tbl>
      <w:tblPr>
        <w:tblStyle w:val="52"/>
        <w:tblW w:w="9237"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57" w:type="dxa"/>
          <w:left w:w="108" w:type="dxa"/>
          <w:bottom w:w="0" w:type="dxa"/>
          <w:right w:w="108" w:type="dxa"/>
        </w:tblCellMar>
      </w:tblPr>
      <w:tblGrid>
        <w:gridCol w:w="2159"/>
        <w:gridCol w:w="1048"/>
        <w:gridCol w:w="2925"/>
        <w:gridCol w:w="2310"/>
        <w:gridCol w:w="795"/>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57" w:type="dxa"/>
            <w:left w:w="108" w:type="dxa"/>
            <w:bottom w:w="0" w:type="dxa"/>
            <w:right w:w="108" w:type="dxa"/>
          </w:tblCellMar>
        </w:tblPrEx>
        <w:trPr>
          <w:trHeight w:val="454" w:hRule="atLeast"/>
          <w:tblHeader/>
          <w:jc w:val="center"/>
        </w:trPr>
        <w:tc>
          <w:tcPr>
            <w:tcW w:w="2159" w:type="dxa"/>
            <w:vAlign w:val="center"/>
          </w:tcPr>
          <w:p>
            <w:pPr>
              <w:jc w:val="center"/>
              <w:rPr>
                <w:rStyle w:val="112"/>
                <w:rFonts w:ascii="Times New Roman" w:hAnsi="Times New Roman"/>
                <w:color w:val="000000" w:themeColor="text1"/>
              </w:rPr>
            </w:pPr>
            <w:r>
              <w:rPr>
                <w:rStyle w:val="112"/>
                <w:rFonts w:ascii="Times New Roman" w:hAnsi="Times New Roman"/>
                <w:color w:val="000000" w:themeColor="text1"/>
              </w:rPr>
              <w:t>设备、设施名称</w:t>
            </w:r>
          </w:p>
        </w:tc>
        <w:tc>
          <w:tcPr>
            <w:tcW w:w="1048" w:type="dxa"/>
            <w:vAlign w:val="center"/>
          </w:tcPr>
          <w:p>
            <w:pPr>
              <w:jc w:val="center"/>
              <w:rPr>
                <w:rStyle w:val="112"/>
                <w:rFonts w:ascii="Times New Roman" w:hAnsi="Times New Roman"/>
                <w:color w:val="000000" w:themeColor="text1"/>
              </w:rPr>
            </w:pPr>
            <w:r>
              <w:rPr>
                <w:rStyle w:val="112"/>
                <w:rFonts w:ascii="Times New Roman" w:hAnsi="Times New Roman"/>
                <w:color w:val="000000" w:themeColor="text1"/>
              </w:rPr>
              <w:t>型号</w:t>
            </w:r>
          </w:p>
        </w:tc>
        <w:tc>
          <w:tcPr>
            <w:tcW w:w="2925" w:type="dxa"/>
            <w:vAlign w:val="center"/>
          </w:tcPr>
          <w:p>
            <w:pPr>
              <w:jc w:val="center"/>
              <w:rPr>
                <w:rStyle w:val="112"/>
                <w:rFonts w:ascii="Times New Roman" w:hAnsi="Times New Roman"/>
                <w:color w:val="000000" w:themeColor="text1"/>
              </w:rPr>
            </w:pPr>
            <w:r>
              <w:rPr>
                <w:rStyle w:val="112"/>
                <w:rFonts w:ascii="Times New Roman" w:hAnsi="Times New Roman"/>
                <w:color w:val="000000" w:themeColor="text1"/>
              </w:rPr>
              <w:t>规格</w:t>
            </w:r>
          </w:p>
        </w:tc>
        <w:tc>
          <w:tcPr>
            <w:tcW w:w="2310" w:type="dxa"/>
            <w:vAlign w:val="center"/>
          </w:tcPr>
          <w:p>
            <w:pPr>
              <w:jc w:val="center"/>
              <w:rPr>
                <w:rStyle w:val="112"/>
                <w:rFonts w:ascii="Times New Roman" w:hAnsi="Times New Roman"/>
                <w:color w:val="000000" w:themeColor="text1"/>
              </w:rPr>
            </w:pPr>
            <w:r>
              <w:rPr>
                <w:rStyle w:val="112"/>
                <w:rFonts w:ascii="Times New Roman" w:hAnsi="Times New Roman"/>
                <w:color w:val="000000" w:themeColor="text1"/>
              </w:rPr>
              <w:t>材质</w:t>
            </w:r>
          </w:p>
        </w:tc>
        <w:tc>
          <w:tcPr>
            <w:tcW w:w="795" w:type="dxa"/>
            <w:vAlign w:val="center"/>
          </w:tcPr>
          <w:p>
            <w:pPr>
              <w:jc w:val="center"/>
              <w:rPr>
                <w:rStyle w:val="112"/>
                <w:rFonts w:ascii="Times New Roman" w:hAnsi="Times New Roman"/>
                <w:color w:val="000000" w:themeColor="text1"/>
              </w:rPr>
            </w:pPr>
            <w:r>
              <w:rPr>
                <w:rStyle w:val="112"/>
                <w:rFonts w:ascii="Times New Roman" w:hAnsi="Times New Roman"/>
                <w:color w:val="000000" w:themeColor="text1"/>
              </w:rPr>
              <w:t>数量</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57" w:type="dxa"/>
            <w:left w:w="108" w:type="dxa"/>
            <w:bottom w:w="0" w:type="dxa"/>
            <w:right w:w="108" w:type="dxa"/>
          </w:tblCellMar>
        </w:tblPrEx>
        <w:trPr>
          <w:trHeight w:val="454" w:hRule="atLeast"/>
          <w:jc w:val="center"/>
        </w:trPr>
        <w:tc>
          <w:tcPr>
            <w:tcW w:w="2159" w:type="dxa"/>
            <w:vAlign w:val="center"/>
          </w:tcPr>
          <w:p>
            <w:pPr>
              <w:jc w:val="center"/>
              <w:rPr>
                <w:color w:val="000000" w:themeColor="text1"/>
                <w:szCs w:val="21"/>
              </w:rPr>
            </w:pPr>
            <w:r>
              <w:rPr>
                <w:color w:val="000000" w:themeColor="text1"/>
                <w:szCs w:val="21"/>
              </w:rPr>
              <w:t>甲醇罐</w:t>
            </w:r>
          </w:p>
        </w:tc>
        <w:tc>
          <w:tcPr>
            <w:tcW w:w="1048" w:type="dxa"/>
            <w:vAlign w:val="center"/>
          </w:tcPr>
          <w:p>
            <w:pPr>
              <w:jc w:val="center"/>
              <w:rPr>
                <w:color w:val="000000" w:themeColor="text1"/>
                <w:szCs w:val="21"/>
              </w:rPr>
            </w:pPr>
            <w:r>
              <w:rPr>
                <w:color w:val="000000" w:themeColor="text1"/>
                <w:szCs w:val="21"/>
              </w:rPr>
              <w:t>-</w:t>
            </w:r>
          </w:p>
        </w:tc>
        <w:tc>
          <w:tcPr>
            <w:tcW w:w="2925" w:type="dxa"/>
            <w:vAlign w:val="center"/>
          </w:tcPr>
          <w:p>
            <w:pPr>
              <w:jc w:val="center"/>
              <w:rPr>
                <w:color w:val="000000" w:themeColor="text1"/>
              </w:rPr>
            </w:pPr>
            <w:r>
              <w:rPr>
                <w:color w:val="000000" w:themeColor="text1"/>
              </w:rPr>
              <w:t>∅</w:t>
            </w:r>
            <w:r>
              <w:rPr>
                <w:rFonts w:hint="eastAsia"/>
                <w:color w:val="000000" w:themeColor="text1"/>
              </w:rPr>
              <w:t>2400</w:t>
            </w:r>
            <w:r>
              <w:rPr>
                <w:color w:val="000000" w:themeColor="text1"/>
              </w:rPr>
              <w:t>x</w:t>
            </w:r>
            <w:r>
              <w:rPr>
                <w:rFonts w:hint="eastAsia"/>
                <w:color w:val="000000" w:themeColor="text1"/>
              </w:rPr>
              <w:t>7100</w:t>
            </w:r>
            <w:r>
              <w:rPr>
                <w:color w:val="000000" w:themeColor="text1"/>
              </w:rPr>
              <w:t>； V=</w:t>
            </w:r>
            <w:r>
              <w:rPr>
                <w:rFonts w:hint="eastAsia"/>
                <w:color w:val="000000" w:themeColor="text1"/>
              </w:rPr>
              <w:t>30</w:t>
            </w:r>
            <w:r>
              <w:rPr>
                <w:color w:val="000000" w:themeColor="text1"/>
              </w:rPr>
              <w:t>m</w:t>
            </w:r>
            <w:r>
              <w:rPr>
                <w:color w:val="000000" w:themeColor="text1"/>
                <w:vertAlign w:val="superscript"/>
              </w:rPr>
              <w:t>3</w:t>
            </w:r>
          </w:p>
          <w:p>
            <w:pPr>
              <w:pStyle w:val="51"/>
              <w:ind w:firstLine="210" w:firstLineChars="100"/>
              <w:rPr>
                <w:color w:val="000000" w:themeColor="text1"/>
              </w:rPr>
            </w:pPr>
            <w:r>
              <w:rPr>
                <w:rFonts w:ascii="Times New Roman" w:hAnsi="Times New Roman"/>
                <w:color w:val="000000" w:themeColor="text1"/>
                <w:kern w:val="2"/>
                <w:sz w:val="21"/>
                <w:szCs w:val="22"/>
              </w:rPr>
              <w:t>∅</w:t>
            </w:r>
            <w:r>
              <w:rPr>
                <w:rFonts w:hint="eastAsia" w:ascii="Times New Roman" w:hAnsi="Times New Roman"/>
                <w:color w:val="000000" w:themeColor="text1"/>
                <w:kern w:val="2"/>
                <w:sz w:val="21"/>
                <w:szCs w:val="22"/>
              </w:rPr>
              <w:t>2800</w:t>
            </w:r>
            <w:r>
              <w:rPr>
                <w:rFonts w:ascii="Times New Roman" w:hAnsi="Times New Roman"/>
                <w:color w:val="000000" w:themeColor="text1"/>
                <w:kern w:val="2"/>
                <w:sz w:val="21"/>
                <w:szCs w:val="22"/>
              </w:rPr>
              <w:t>x</w:t>
            </w:r>
            <w:r>
              <w:rPr>
                <w:rFonts w:hint="eastAsia" w:ascii="Times New Roman" w:hAnsi="Times New Roman"/>
                <w:color w:val="000000" w:themeColor="text1"/>
                <w:kern w:val="2"/>
                <w:sz w:val="21"/>
                <w:szCs w:val="22"/>
              </w:rPr>
              <w:t>8700</w:t>
            </w:r>
            <w:r>
              <w:rPr>
                <w:rFonts w:ascii="Times New Roman" w:hAnsi="Times New Roman"/>
                <w:color w:val="000000" w:themeColor="text1"/>
                <w:kern w:val="2"/>
                <w:sz w:val="21"/>
                <w:szCs w:val="22"/>
              </w:rPr>
              <w:t>； V=</w:t>
            </w:r>
            <w:r>
              <w:rPr>
                <w:rFonts w:hint="eastAsia" w:ascii="Times New Roman" w:hAnsi="Times New Roman"/>
                <w:color w:val="000000" w:themeColor="text1"/>
                <w:kern w:val="2"/>
                <w:sz w:val="21"/>
                <w:szCs w:val="22"/>
              </w:rPr>
              <w:t>50</w:t>
            </w:r>
            <w:r>
              <w:rPr>
                <w:rFonts w:ascii="Times New Roman" w:hAnsi="Times New Roman"/>
                <w:color w:val="000000" w:themeColor="text1"/>
                <w:kern w:val="2"/>
                <w:sz w:val="21"/>
                <w:szCs w:val="22"/>
              </w:rPr>
              <w:t>m</w:t>
            </w:r>
            <w:r>
              <w:rPr>
                <w:color w:val="000000" w:themeColor="text1"/>
                <w:vertAlign w:val="superscript"/>
              </w:rPr>
              <w:t>3</w:t>
            </w:r>
          </w:p>
        </w:tc>
        <w:tc>
          <w:tcPr>
            <w:tcW w:w="2310" w:type="dxa"/>
            <w:vAlign w:val="center"/>
          </w:tcPr>
          <w:p>
            <w:pPr>
              <w:spacing w:beforeLines="50"/>
              <w:jc w:val="center"/>
              <w:rPr>
                <w:color w:val="000000" w:themeColor="text1"/>
                <w:szCs w:val="21"/>
              </w:rPr>
            </w:pPr>
            <w:r>
              <w:rPr>
                <w:rFonts w:hint="eastAsia"/>
                <w:color w:val="000000" w:themeColor="text1"/>
                <w:szCs w:val="21"/>
                <w:lang w:val="en-US" w:eastAsia="zh-CN"/>
              </w:rPr>
              <w:t>单层储罐，采用材质为</w:t>
            </w:r>
            <w:r>
              <w:rPr>
                <w:color w:val="000000" w:themeColor="text1"/>
                <w:szCs w:val="21"/>
              </w:rPr>
              <w:t>Q235B</w:t>
            </w:r>
          </w:p>
          <w:p>
            <w:pPr>
              <w:jc w:val="center"/>
              <w:rPr>
                <w:color w:val="000000" w:themeColor="text1"/>
                <w:szCs w:val="21"/>
              </w:rPr>
            </w:pPr>
          </w:p>
        </w:tc>
        <w:tc>
          <w:tcPr>
            <w:tcW w:w="795" w:type="dxa"/>
            <w:vAlign w:val="center"/>
          </w:tcPr>
          <w:p>
            <w:pPr>
              <w:jc w:val="center"/>
              <w:rPr>
                <w:color w:val="000000" w:themeColor="text1"/>
                <w:szCs w:val="21"/>
              </w:rPr>
            </w:pPr>
            <w:r>
              <w:rPr>
                <w:rFonts w:hint="eastAsia"/>
                <w:color w:val="000000" w:themeColor="text1"/>
                <w:szCs w:val="21"/>
              </w:rPr>
              <w:t>2座</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57" w:type="dxa"/>
            <w:left w:w="108" w:type="dxa"/>
            <w:bottom w:w="0" w:type="dxa"/>
            <w:right w:w="108" w:type="dxa"/>
          </w:tblCellMar>
        </w:tblPrEx>
        <w:trPr>
          <w:trHeight w:val="454" w:hRule="atLeast"/>
          <w:jc w:val="center"/>
        </w:trPr>
        <w:tc>
          <w:tcPr>
            <w:tcW w:w="2159" w:type="dxa"/>
            <w:vAlign w:val="center"/>
          </w:tcPr>
          <w:p>
            <w:pPr>
              <w:jc w:val="center"/>
              <w:rPr>
                <w:color w:val="000000" w:themeColor="text1"/>
                <w:szCs w:val="21"/>
              </w:rPr>
            </w:pPr>
            <w:r>
              <w:rPr>
                <w:color w:val="000000" w:themeColor="text1"/>
                <w:szCs w:val="21"/>
              </w:rPr>
              <w:t>甲醇卸车软管</w:t>
            </w:r>
          </w:p>
        </w:tc>
        <w:tc>
          <w:tcPr>
            <w:tcW w:w="1048" w:type="dxa"/>
            <w:vAlign w:val="center"/>
          </w:tcPr>
          <w:p>
            <w:pPr>
              <w:jc w:val="center"/>
              <w:rPr>
                <w:color w:val="000000" w:themeColor="text1"/>
                <w:szCs w:val="21"/>
              </w:rPr>
            </w:pPr>
            <w:r>
              <w:rPr>
                <w:color w:val="000000" w:themeColor="text1"/>
                <w:szCs w:val="21"/>
              </w:rPr>
              <w:t>-</w:t>
            </w:r>
          </w:p>
        </w:tc>
        <w:tc>
          <w:tcPr>
            <w:tcW w:w="2925" w:type="dxa"/>
            <w:vAlign w:val="center"/>
          </w:tcPr>
          <w:p>
            <w:pPr>
              <w:tabs>
                <w:tab w:val="left" w:pos="7668"/>
                <w:tab w:val="left" w:pos="7810"/>
                <w:tab w:val="left" w:pos="7952"/>
                <w:tab w:val="left" w:pos="8094"/>
                <w:tab w:val="left" w:pos="8236"/>
              </w:tabs>
              <w:autoSpaceDE w:val="0"/>
              <w:autoSpaceDN w:val="0"/>
              <w:adjustRightInd w:val="0"/>
              <w:jc w:val="center"/>
              <w:rPr>
                <w:color w:val="000000" w:themeColor="text1"/>
                <w:szCs w:val="21"/>
              </w:rPr>
            </w:pPr>
            <w:r>
              <w:rPr>
                <w:color w:val="000000" w:themeColor="text1"/>
                <w:szCs w:val="21"/>
              </w:rPr>
              <w:t>DN80  PN6</w:t>
            </w:r>
          </w:p>
        </w:tc>
        <w:tc>
          <w:tcPr>
            <w:tcW w:w="2310" w:type="dxa"/>
            <w:vAlign w:val="center"/>
          </w:tcPr>
          <w:p>
            <w:pPr>
              <w:jc w:val="center"/>
              <w:rPr>
                <w:color w:val="000000" w:themeColor="text1"/>
                <w:szCs w:val="21"/>
              </w:rPr>
            </w:pPr>
            <w:r>
              <w:rPr>
                <w:color w:val="000000" w:themeColor="text1"/>
                <w:szCs w:val="21"/>
              </w:rPr>
              <w:t>导静电耐油软管,带快速接头（阴接头），L=6000</w:t>
            </w:r>
          </w:p>
        </w:tc>
        <w:tc>
          <w:tcPr>
            <w:tcW w:w="795" w:type="dxa"/>
            <w:vAlign w:val="center"/>
          </w:tcPr>
          <w:p>
            <w:pPr>
              <w:jc w:val="center"/>
              <w:rPr>
                <w:color w:val="000000" w:themeColor="text1"/>
                <w:szCs w:val="21"/>
              </w:rPr>
            </w:pPr>
            <w:r>
              <w:rPr>
                <w:color w:val="000000" w:themeColor="text1"/>
                <w:szCs w:val="21"/>
              </w:rPr>
              <w:t>1根</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57" w:type="dxa"/>
            <w:left w:w="108" w:type="dxa"/>
            <w:bottom w:w="0" w:type="dxa"/>
            <w:right w:w="108" w:type="dxa"/>
          </w:tblCellMar>
        </w:tblPrEx>
        <w:trPr>
          <w:trHeight w:val="358" w:hRule="atLeast"/>
          <w:jc w:val="center"/>
        </w:trPr>
        <w:tc>
          <w:tcPr>
            <w:tcW w:w="2159" w:type="dxa"/>
            <w:vAlign w:val="center"/>
          </w:tcPr>
          <w:p>
            <w:pPr>
              <w:jc w:val="center"/>
              <w:rPr>
                <w:color w:val="000000" w:themeColor="text1"/>
                <w:szCs w:val="21"/>
              </w:rPr>
            </w:pPr>
            <w:r>
              <w:rPr>
                <w:color w:val="000000" w:themeColor="text1"/>
                <w:szCs w:val="21"/>
              </w:rPr>
              <w:t>消防沙池</w:t>
            </w:r>
          </w:p>
        </w:tc>
        <w:tc>
          <w:tcPr>
            <w:tcW w:w="1048" w:type="dxa"/>
            <w:vAlign w:val="center"/>
          </w:tcPr>
          <w:p>
            <w:pPr>
              <w:jc w:val="center"/>
              <w:rPr>
                <w:color w:val="000000" w:themeColor="text1"/>
                <w:szCs w:val="21"/>
              </w:rPr>
            </w:pPr>
            <w:r>
              <w:rPr>
                <w:color w:val="000000" w:themeColor="text1"/>
                <w:szCs w:val="21"/>
              </w:rPr>
              <w:t>-</w:t>
            </w:r>
          </w:p>
        </w:tc>
        <w:tc>
          <w:tcPr>
            <w:tcW w:w="2925" w:type="dxa"/>
            <w:vAlign w:val="center"/>
          </w:tcPr>
          <w:p>
            <w:pPr>
              <w:tabs>
                <w:tab w:val="left" w:pos="7668"/>
                <w:tab w:val="left" w:pos="7810"/>
                <w:tab w:val="left" w:pos="7952"/>
                <w:tab w:val="left" w:pos="8094"/>
                <w:tab w:val="left" w:pos="8236"/>
              </w:tabs>
              <w:autoSpaceDE w:val="0"/>
              <w:autoSpaceDN w:val="0"/>
              <w:adjustRightInd w:val="0"/>
              <w:jc w:val="center"/>
              <w:rPr>
                <w:color w:val="000000" w:themeColor="text1"/>
                <w:szCs w:val="21"/>
              </w:rPr>
            </w:pPr>
            <w:r>
              <w:rPr>
                <w:rFonts w:hint="eastAsia"/>
                <w:color w:val="000000" w:themeColor="text1"/>
              </w:rPr>
              <w:t>5</w:t>
            </w:r>
            <w:r>
              <w:rPr>
                <w:color w:val="000000" w:themeColor="text1"/>
              </w:rPr>
              <w:t>m</w:t>
            </w:r>
            <w:r>
              <w:rPr>
                <w:color w:val="000000" w:themeColor="text1"/>
                <w:vertAlign w:val="superscript"/>
              </w:rPr>
              <w:t>3</w:t>
            </w:r>
          </w:p>
        </w:tc>
        <w:tc>
          <w:tcPr>
            <w:tcW w:w="2310" w:type="dxa"/>
            <w:vAlign w:val="center"/>
          </w:tcPr>
          <w:p>
            <w:pPr>
              <w:jc w:val="center"/>
              <w:rPr>
                <w:color w:val="000000" w:themeColor="text1"/>
                <w:szCs w:val="21"/>
              </w:rPr>
            </w:pPr>
            <w:r>
              <w:rPr>
                <w:color w:val="000000" w:themeColor="text1"/>
                <w:szCs w:val="21"/>
              </w:rPr>
              <w:t>普通水泥防腐、防渗</w:t>
            </w:r>
          </w:p>
        </w:tc>
        <w:tc>
          <w:tcPr>
            <w:tcW w:w="795" w:type="dxa"/>
            <w:vAlign w:val="center"/>
          </w:tcPr>
          <w:p>
            <w:pPr>
              <w:jc w:val="center"/>
              <w:rPr>
                <w:color w:val="000000" w:themeColor="text1"/>
                <w:szCs w:val="21"/>
              </w:rPr>
            </w:pPr>
            <w:r>
              <w:rPr>
                <w:color w:val="000000" w:themeColor="text1"/>
                <w:szCs w:val="21"/>
              </w:rPr>
              <w:t>1个</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57" w:type="dxa"/>
            <w:left w:w="108" w:type="dxa"/>
            <w:bottom w:w="0" w:type="dxa"/>
            <w:right w:w="108" w:type="dxa"/>
          </w:tblCellMar>
        </w:tblPrEx>
        <w:trPr>
          <w:trHeight w:val="341" w:hRule="atLeast"/>
          <w:jc w:val="center"/>
        </w:trPr>
        <w:tc>
          <w:tcPr>
            <w:tcW w:w="2159" w:type="dxa"/>
            <w:vAlign w:val="center"/>
          </w:tcPr>
          <w:p>
            <w:pPr>
              <w:jc w:val="center"/>
              <w:rPr>
                <w:color w:val="000000" w:themeColor="text1"/>
                <w:szCs w:val="21"/>
              </w:rPr>
            </w:pPr>
            <w:r>
              <w:rPr>
                <w:color w:val="000000" w:themeColor="text1"/>
                <w:szCs w:val="21"/>
              </w:rPr>
              <w:t>甲醇通气口</w:t>
            </w:r>
          </w:p>
        </w:tc>
        <w:tc>
          <w:tcPr>
            <w:tcW w:w="1048" w:type="dxa"/>
            <w:vAlign w:val="center"/>
          </w:tcPr>
          <w:p>
            <w:pPr>
              <w:jc w:val="center"/>
              <w:rPr>
                <w:color w:val="000000" w:themeColor="text1"/>
                <w:szCs w:val="21"/>
              </w:rPr>
            </w:pPr>
            <w:r>
              <w:rPr>
                <w:color w:val="000000" w:themeColor="text1"/>
                <w:szCs w:val="21"/>
              </w:rPr>
              <w:t>-</w:t>
            </w:r>
          </w:p>
        </w:tc>
        <w:tc>
          <w:tcPr>
            <w:tcW w:w="2925" w:type="dxa"/>
            <w:vAlign w:val="center"/>
          </w:tcPr>
          <w:p>
            <w:pPr>
              <w:tabs>
                <w:tab w:val="left" w:pos="7668"/>
                <w:tab w:val="left" w:pos="7810"/>
                <w:tab w:val="left" w:pos="7952"/>
                <w:tab w:val="left" w:pos="8094"/>
                <w:tab w:val="left" w:pos="8236"/>
              </w:tabs>
              <w:autoSpaceDE w:val="0"/>
              <w:autoSpaceDN w:val="0"/>
              <w:adjustRightInd w:val="0"/>
              <w:jc w:val="center"/>
              <w:rPr>
                <w:color w:val="000000" w:themeColor="text1"/>
                <w:szCs w:val="21"/>
              </w:rPr>
            </w:pPr>
            <w:r>
              <w:rPr>
                <w:color w:val="000000" w:themeColor="text1"/>
                <w:szCs w:val="21"/>
              </w:rPr>
              <w:t>DN50，H:4m</w:t>
            </w:r>
          </w:p>
        </w:tc>
        <w:tc>
          <w:tcPr>
            <w:tcW w:w="2310" w:type="dxa"/>
            <w:vAlign w:val="center"/>
          </w:tcPr>
          <w:p>
            <w:pPr>
              <w:jc w:val="center"/>
              <w:rPr>
                <w:color w:val="000000" w:themeColor="text1"/>
                <w:szCs w:val="21"/>
              </w:rPr>
            </w:pPr>
            <w:r>
              <w:rPr>
                <w:color w:val="000000" w:themeColor="text1"/>
                <w:szCs w:val="21"/>
              </w:rPr>
              <w:t>无缝钢管</w:t>
            </w:r>
          </w:p>
        </w:tc>
        <w:tc>
          <w:tcPr>
            <w:tcW w:w="795" w:type="dxa"/>
            <w:vAlign w:val="center"/>
          </w:tcPr>
          <w:p>
            <w:pPr>
              <w:jc w:val="center"/>
              <w:rPr>
                <w:color w:val="000000" w:themeColor="text1"/>
                <w:szCs w:val="21"/>
              </w:rPr>
            </w:pPr>
            <w:r>
              <w:rPr>
                <w:color w:val="000000" w:themeColor="text1"/>
                <w:szCs w:val="21"/>
              </w:rPr>
              <w:t>2根</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57" w:type="dxa"/>
            <w:left w:w="108" w:type="dxa"/>
            <w:bottom w:w="0" w:type="dxa"/>
            <w:right w:w="108" w:type="dxa"/>
          </w:tblCellMar>
        </w:tblPrEx>
        <w:trPr>
          <w:trHeight w:val="90" w:hRule="atLeast"/>
          <w:jc w:val="center"/>
        </w:trPr>
        <w:tc>
          <w:tcPr>
            <w:tcW w:w="2159" w:type="dxa"/>
            <w:vAlign w:val="center"/>
          </w:tcPr>
          <w:p>
            <w:pPr>
              <w:jc w:val="center"/>
              <w:rPr>
                <w:color w:val="000000" w:themeColor="text1"/>
                <w:szCs w:val="21"/>
              </w:rPr>
            </w:pPr>
            <w:r>
              <w:rPr>
                <w:color w:val="000000" w:themeColor="text1"/>
                <w:szCs w:val="21"/>
              </w:rPr>
              <w:t>卸车口</w:t>
            </w:r>
          </w:p>
        </w:tc>
        <w:tc>
          <w:tcPr>
            <w:tcW w:w="1048" w:type="dxa"/>
            <w:vAlign w:val="center"/>
          </w:tcPr>
          <w:p>
            <w:pPr>
              <w:jc w:val="center"/>
              <w:rPr>
                <w:color w:val="000000" w:themeColor="text1"/>
                <w:szCs w:val="21"/>
              </w:rPr>
            </w:pPr>
            <w:r>
              <w:rPr>
                <w:color w:val="000000" w:themeColor="text1"/>
                <w:szCs w:val="21"/>
              </w:rPr>
              <w:t>-</w:t>
            </w:r>
          </w:p>
        </w:tc>
        <w:tc>
          <w:tcPr>
            <w:tcW w:w="2925" w:type="dxa"/>
            <w:vAlign w:val="center"/>
          </w:tcPr>
          <w:p>
            <w:pPr>
              <w:tabs>
                <w:tab w:val="left" w:pos="7668"/>
                <w:tab w:val="left" w:pos="7810"/>
                <w:tab w:val="left" w:pos="7952"/>
                <w:tab w:val="left" w:pos="8094"/>
                <w:tab w:val="left" w:pos="8236"/>
              </w:tabs>
              <w:autoSpaceDE w:val="0"/>
              <w:autoSpaceDN w:val="0"/>
              <w:adjustRightInd w:val="0"/>
              <w:jc w:val="center"/>
              <w:rPr>
                <w:color w:val="000000" w:themeColor="text1"/>
                <w:szCs w:val="21"/>
              </w:rPr>
            </w:pPr>
            <w:r>
              <w:rPr>
                <w:color w:val="000000" w:themeColor="text1"/>
                <w:szCs w:val="21"/>
              </w:rPr>
              <w:t>--</w:t>
            </w:r>
          </w:p>
        </w:tc>
        <w:tc>
          <w:tcPr>
            <w:tcW w:w="2310" w:type="dxa"/>
            <w:vAlign w:val="center"/>
          </w:tcPr>
          <w:p>
            <w:pPr>
              <w:jc w:val="center"/>
              <w:rPr>
                <w:color w:val="000000" w:themeColor="text1"/>
                <w:szCs w:val="21"/>
              </w:rPr>
            </w:pPr>
          </w:p>
        </w:tc>
        <w:tc>
          <w:tcPr>
            <w:tcW w:w="795" w:type="dxa"/>
            <w:vAlign w:val="center"/>
          </w:tcPr>
          <w:p>
            <w:pPr>
              <w:jc w:val="center"/>
              <w:rPr>
                <w:color w:val="000000" w:themeColor="text1"/>
                <w:szCs w:val="21"/>
              </w:rPr>
            </w:pPr>
            <w:r>
              <w:rPr>
                <w:rFonts w:hint="eastAsia"/>
                <w:color w:val="000000" w:themeColor="text1"/>
                <w:szCs w:val="21"/>
              </w:rPr>
              <w:t>2</w:t>
            </w:r>
            <w:r>
              <w:rPr>
                <w:color w:val="000000" w:themeColor="text1"/>
                <w:szCs w:val="21"/>
              </w:rPr>
              <w:t>个</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57" w:type="dxa"/>
            <w:left w:w="108" w:type="dxa"/>
            <w:bottom w:w="0" w:type="dxa"/>
            <w:right w:w="108" w:type="dxa"/>
          </w:tblCellMar>
        </w:tblPrEx>
        <w:trPr>
          <w:trHeight w:val="367" w:hRule="atLeast"/>
          <w:jc w:val="center"/>
        </w:trPr>
        <w:tc>
          <w:tcPr>
            <w:tcW w:w="2159" w:type="dxa"/>
            <w:vAlign w:val="center"/>
          </w:tcPr>
          <w:p>
            <w:pPr>
              <w:jc w:val="center"/>
              <w:rPr>
                <w:color w:val="000000" w:themeColor="text1"/>
                <w:szCs w:val="21"/>
              </w:rPr>
            </w:pPr>
            <w:r>
              <w:rPr>
                <w:rFonts w:hint="eastAsia"/>
                <w:color w:val="000000" w:themeColor="text1"/>
                <w:szCs w:val="21"/>
              </w:rPr>
              <w:t>加注机</w:t>
            </w:r>
          </w:p>
        </w:tc>
        <w:tc>
          <w:tcPr>
            <w:tcW w:w="1048" w:type="dxa"/>
            <w:vAlign w:val="center"/>
          </w:tcPr>
          <w:p>
            <w:pPr>
              <w:jc w:val="center"/>
              <w:rPr>
                <w:color w:val="000000" w:themeColor="text1"/>
                <w:szCs w:val="21"/>
              </w:rPr>
            </w:pPr>
            <w:r>
              <w:rPr>
                <w:color w:val="000000" w:themeColor="text1"/>
                <w:szCs w:val="21"/>
              </w:rPr>
              <w:t>-</w:t>
            </w:r>
          </w:p>
        </w:tc>
        <w:tc>
          <w:tcPr>
            <w:tcW w:w="2925" w:type="dxa"/>
            <w:vAlign w:val="center"/>
          </w:tcPr>
          <w:p>
            <w:pPr>
              <w:tabs>
                <w:tab w:val="left" w:pos="7668"/>
                <w:tab w:val="left" w:pos="7810"/>
                <w:tab w:val="left" w:pos="7952"/>
                <w:tab w:val="left" w:pos="8094"/>
                <w:tab w:val="left" w:pos="8236"/>
              </w:tabs>
              <w:autoSpaceDE w:val="0"/>
              <w:autoSpaceDN w:val="0"/>
              <w:adjustRightInd w:val="0"/>
              <w:jc w:val="center"/>
              <w:rPr>
                <w:color w:val="000000" w:themeColor="text1"/>
                <w:szCs w:val="21"/>
              </w:rPr>
            </w:pPr>
          </w:p>
        </w:tc>
        <w:tc>
          <w:tcPr>
            <w:tcW w:w="2310" w:type="dxa"/>
            <w:vAlign w:val="center"/>
          </w:tcPr>
          <w:p>
            <w:pPr>
              <w:jc w:val="center"/>
              <w:rPr>
                <w:color w:val="000000" w:themeColor="text1"/>
                <w:szCs w:val="21"/>
              </w:rPr>
            </w:pPr>
          </w:p>
        </w:tc>
        <w:tc>
          <w:tcPr>
            <w:tcW w:w="795" w:type="dxa"/>
            <w:vAlign w:val="center"/>
          </w:tcPr>
          <w:p>
            <w:pPr>
              <w:jc w:val="center"/>
              <w:rPr>
                <w:color w:val="000000" w:themeColor="text1"/>
                <w:szCs w:val="21"/>
              </w:rPr>
            </w:pPr>
            <w:r>
              <w:rPr>
                <w:color w:val="000000" w:themeColor="text1"/>
                <w:szCs w:val="21"/>
              </w:rPr>
              <w:t>1</w:t>
            </w:r>
            <w:r>
              <w:rPr>
                <w:rFonts w:hint="eastAsia"/>
                <w:color w:val="000000" w:themeColor="text1"/>
                <w:szCs w:val="21"/>
              </w:rPr>
              <w:t>台</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57" w:type="dxa"/>
            <w:left w:w="108" w:type="dxa"/>
            <w:bottom w:w="0" w:type="dxa"/>
            <w:right w:w="108" w:type="dxa"/>
          </w:tblCellMar>
        </w:tblPrEx>
        <w:trPr>
          <w:trHeight w:val="367" w:hRule="atLeast"/>
          <w:jc w:val="center"/>
        </w:trPr>
        <w:tc>
          <w:tcPr>
            <w:tcW w:w="2159" w:type="dxa"/>
            <w:vAlign w:val="center"/>
          </w:tcPr>
          <w:p>
            <w:pPr>
              <w:jc w:val="center"/>
              <w:rPr>
                <w:color w:val="000000" w:themeColor="text1"/>
                <w:szCs w:val="21"/>
              </w:rPr>
            </w:pPr>
            <w:r>
              <w:rPr>
                <w:rFonts w:hint="eastAsia"/>
                <w:color w:val="000000" w:themeColor="text1"/>
                <w:szCs w:val="21"/>
              </w:rPr>
              <w:t>液位仪</w:t>
            </w:r>
          </w:p>
        </w:tc>
        <w:tc>
          <w:tcPr>
            <w:tcW w:w="1048" w:type="dxa"/>
            <w:vAlign w:val="center"/>
          </w:tcPr>
          <w:p>
            <w:pPr>
              <w:jc w:val="center"/>
              <w:rPr>
                <w:color w:val="000000" w:themeColor="text1"/>
                <w:szCs w:val="21"/>
              </w:rPr>
            </w:pPr>
            <w:r>
              <w:rPr>
                <w:color w:val="000000" w:themeColor="text1"/>
                <w:szCs w:val="21"/>
              </w:rPr>
              <w:t>-</w:t>
            </w:r>
          </w:p>
        </w:tc>
        <w:tc>
          <w:tcPr>
            <w:tcW w:w="2925" w:type="dxa"/>
            <w:vAlign w:val="center"/>
          </w:tcPr>
          <w:p>
            <w:pPr>
              <w:tabs>
                <w:tab w:val="left" w:pos="7668"/>
                <w:tab w:val="left" w:pos="7810"/>
                <w:tab w:val="left" w:pos="7952"/>
                <w:tab w:val="left" w:pos="8094"/>
                <w:tab w:val="left" w:pos="8236"/>
              </w:tabs>
              <w:autoSpaceDE w:val="0"/>
              <w:autoSpaceDN w:val="0"/>
              <w:adjustRightInd w:val="0"/>
              <w:jc w:val="center"/>
              <w:rPr>
                <w:color w:val="000000" w:themeColor="text1"/>
                <w:szCs w:val="21"/>
              </w:rPr>
            </w:pPr>
          </w:p>
        </w:tc>
        <w:tc>
          <w:tcPr>
            <w:tcW w:w="2310" w:type="dxa"/>
            <w:vAlign w:val="center"/>
          </w:tcPr>
          <w:p>
            <w:pPr>
              <w:jc w:val="center"/>
              <w:rPr>
                <w:color w:val="000000" w:themeColor="text1"/>
                <w:szCs w:val="21"/>
              </w:rPr>
            </w:pPr>
          </w:p>
        </w:tc>
        <w:tc>
          <w:tcPr>
            <w:tcW w:w="795" w:type="dxa"/>
            <w:vAlign w:val="center"/>
          </w:tcPr>
          <w:p>
            <w:pPr>
              <w:jc w:val="center"/>
              <w:rPr>
                <w:color w:val="000000" w:themeColor="text1"/>
                <w:szCs w:val="21"/>
              </w:rPr>
            </w:pPr>
            <w:r>
              <w:rPr>
                <w:color w:val="000000" w:themeColor="text1"/>
                <w:szCs w:val="21"/>
              </w:rPr>
              <w:t>1个</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57" w:type="dxa"/>
            <w:left w:w="108" w:type="dxa"/>
            <w:bottom w:w="0" w:type="dxa"/>
            <w:right w:w="108" w:type="dxa"/>
          </w:tblCellMar>
        </w:tblPrEx>
        <w:trPr>
          <w:trHeight w:val="367" w:hRule="atLeast"/>
          <w:jc w:val="center"/>
        </w:trPr>
        <w:tc>
          <w:tcPr>
            <w:tcW w:w="2159" w:type="dxa"/>
            <w:vAlign w:val="center"/>
          </w:tcPr>
          <w:p>
            <w:pPr>
              <w:jc w:val="center"/>
              <w:rPr>
                <w:color w:val="000000" w:themeColor="text1"/>
                <w:szCs w:val="21"/>
              </w:rPr>
            </w:pPr>
            <w:r>
              <w:rPr>
                <w:rFonts w:hint="eastAsia"/>
                <w:color w:val="000000" w:themeColor="text1"/>
                <w:szCs w:val="21"/>
              </w:rPr>
              <w:t>监控探头</w:t>
            </w:r>
          </w:p>
        </w:tc>
        <w:tc>
          <w:tcPr>
            <w:tcW w:w="1048" w:type="dxa"/>
            <w:vAlign w:val="center"/>
          </w:tcPr>
          <w:p>
            <w:pPr>
              <w:jc w:val="center"/>
              <w:rPr>
                <w:color w:val="000000" w:themeColor="text1"/>
                <w:szCs w:val="21"/>
              </w:rPr>
            </w:pPr>
          </w:p>
        </w:tc>
        <w:tc>
          <w:tcPr>
            <w:tcW w:w="2925" w:type="dxa"/>
            <w:vAlign w:val="center"/>
          </w:tcPr>
          <w:p>
            <w:pPr>
              <w:tabs>
                <w:tab w:val="left" w:pos="7668"/>
                <w:tab w:val="left" w:pos="7810"/>
                <w:tab w:val="left" w:pos="7952"/>
                <w:tab w:val="left" w:pos="8094"/>
                <w:tab w:val="left" w:pos="8236"/>
              </w:tabs>
              <w:autoSpaceDE w:val="0"/>
              <w:autoSpaceDN w:val="0"/>
              <w:adjustRightInd w:val="0"/>
              <w:jc w:val="center"/>
              <w:rPr>
                <w:color w:val="000000" w:themeColor="text1"/>
                <w:szCs w:val="21"/>
              </w:rPr>
            </w:pPr>
          </w:p>
        </w:tc>
        <w:tc>
          <w:tcPr>
            <w:tcW w:w="2310" w:type="dxa"/>
            <w:vAlign w:val="center"/>
          </w:tcPr>
          <w:p>
            <w:pPr>
              <w:jc w:val="center"/>
              <w:rPr>
                <w:color w:val="000000" w:themeColor="text1"/>
                <w:szCs w:val="21"/>
              </w:rPr>
            </w:pPr>
          </w:p>
        </w:tc>
        <w:tc>
          <w:tcPr>
            <w:tcW w:w="795" w:type="dxa"/>
            <w:vAlign w:val="center"/>
          </w:tcPr>
          <w:p>
            <w:pPr>
              <w:jc w:val="center"/>
              <w:rPr>
                <w:color w:val="000000" w:themeColor="text1"/>
                <w:szCs w:val="21"/>
              </w:rPr>
            </w:pPr>
            <w:r>
              <w:rPr>
                <w:rFonts w:hint="eastAsia"/>
                <w:color w:val="000000" w:themeColor="text1"/>
                <w:szCs w:val="21"/>
              </w:rPr>
              <w:t>5个</w:t>
            </w:r>
          </w:p>
        </w:tc>
      </w:tr>
      <w:bookmarkEnd w:id="514"/>
      <w:bookmarkEnd w:id="515"/>
      <w:bookmarkEnd w:id="516"/>
      <w:bookmarkEnd w:id="517"/>
      <w:bookmarkEnd w:id="518"/>
      <w:bookmarkEnd w:id="519"/>
      <w:bookmarkEnd w:id="520"/>
      <w:bookmarkEnd w:id="521"/>
    </w:tbl>
    <w:p>
      <w:pPr>
        <w:pStyle w:val="19"/>
        <w:spacing w:afterLines="100" w:line="500" w:lineRule="exact"/>
        <w:rPr>
          <w:rFonts w:ascii="黑体" w:hAnsi="宋体" w:eastAsia="黑体"/>
          <w:color w:val="000000" w:themeColor="text1"/>
          <w:kern w:val="3"/>
          <w:sz w:val="28"/>
          <w:szCs w:val="28"/>
        </w:rPr>
      </w:pPr>
      <w:bookmarkStart w:id="522" w:name="_Toc8827"/>
      <w:bookmarkStart w:id="523" w:name="_Toc16459"/>
      <w:bookmarkStart w:id="524" w:name="_Toc3982"/>
      <w:bookmarkStart w:id="525" w:name="_Toc375"/>
      <w:bookmarkStart w:id="526" w:name="_Toc28383"/>
      <w:bookmarkStart w:id="527" w:name="_Toc23377"/>
      <w:bookmarkStart w:id="528" w:name="_Toc3029"/>
      <w:bookmarkStart w:id="529" w:name="_Toc16603"/>
      <w:bookmarkStart w:id="530" w:name="_Toc32629"/>
      <w:bookmarkStart w:id="531" w:name="_Toc1396"/>
      <w:r>
        <w:rPr>
          <w:rFonts w:hint="eastAsia" w:ascii="黑体" w:hAnsi="宋体" w:eastAsia="黑体"/>
          <w:color w:val="000000" w:themeColor="text1"/>
          <w:kern w:val="3"/>
          <w:sz w:val="28"/>
          <w:szCs w:val="28"/>
        </w:rPr>
        <w:t>2.6.2 主要建（构）筑物</w:t>
      </w:r>
      <w:bookmarkEnd w:id="522"/>
      <w:bookmarkEnd w:id="523"/>
      <w:bookmarkEnd w:id="524"/>
      <w:bookmarkEnd w:id="525"/>
      <w:bookmarkEnd w:id="526"/>
      <w:bookmarkEnd w:id="527"/>
      <w:bookmarkEnd w:id="528"/>
      <w:bookmarkEnd w:id="529"/>
      <w:bookmarkEnd w:id="530"/>
      <w:bookmarkEnd w:id="531"/>
    </w:p>
    <w:p>
      <w:pPr>
        <w:adjustRightInd w:val="0"/>
        <w:snapToGrid w:val="0"/>
        <w:spacing w:line="500" w:lineRule="exact"/>
        <w:ind w:firstLine="560" w:firstLineChars="200"/>
        <w:rPr>
          <w:color w:val="000000" w:themeColor="text1"/>
          <w:sz w:val="28"/>
          <w:szCs w:val="28"/>
        </w:rPr>
      </w:pPr>
      <w:r>
        <w:rPr>
          <w:color w:val="000000" w:themeColor="text1"/>
          <w:sz w:val="28"/>
          <w:szCs w:val="28"/>
        </w:rPr>
        <w:t>该项目涉及的主要建（构）筑物情况如下表所示：</w:t>
      </w:r>
    </w:p>
    <w:p>
      <w:pPr>
        <w:jc w:val="center"/>
        <w:rPr>
          <w:color w:val="000000" w:themeColor="text1"/>
          <w:sz w:val="24"/>
        </w:rPr>
      </w:pPr>
      <w:r>
        <w:rPr>
          <w:color w:val="000000" w:themeColor="text1"/>
          <w:sz w:val="24"/>
        </w:rPr>
        <w:t>表2-4 主要建、构筑物一览表</w:t>
      </w:r>
    </w:p>
    <w:tbl>
      <w:tblPr>
        <w:tblStyle w:val="52"/>
        <w:tblW w:w="94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1"/>
        <w:gridCol w:w="1238"/>
        <w:gridCol w:w="687"/>
        <w:gridCol w:w="750"/>
        <w:gridCol w:w="988"/>
        <w:gridCol w:w="875"/>
        <w:gridCol w:w="737"/>
        <w:gridCol w:w="688"/>
        <w:gridCol w:w="675"/>
        <w:gridCol w:w="658"/>
        <w:gridCol w:w="14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671" w:type="dxa"/>
            <w:vAlign w:val="center"/>
          </w:tcPr>
          <w:p>
            <w:pPr>
              <w:spacing w:before="120"/>
              <w:rPr>
                <w:b/>
                <w:color w:val="000000" w:themeColor="text1"/>
                <w:szCs w:val="21"/>
              </w:rPr>
            </w:pPr>
            <w:r>
              <w:rPr>
                <w:b/>
                <w:color w:val="000000" w:themeColor="text1"/>
                <w:szCs w:val="21"/>
              </w:rPr>
              <w:t>序号</w:t>
            </w:r>
          </w:p>
        </w:tc>
        <w:tc>
          <w:tcPr>
            <w:tcW w:w="1238" w:type="dxa"/>
            <w:vAlign w:val="center"/>
          </w:tcPr>
          <w:p>
            <w:pPr>
              <w:adjustRightInd w:val="0"/>
              <w:snapToGrid w:val="0"/>
              <w:spacing w:before="120"/>
              <w:rPr>
                <w:b/>
                <w:color w:val="000000" w:themeColor="text1"/>
                <w:szCs w:val="21"/>
              </w:rPr>
            </w:pPr>
            <w:r>
              <w:rPr>
                <w:b/>
                <w:color w:val="000000" w:themeColor="text1"/>
                <w:szCs w:val="21"/>
              </w:rPr>
              <w:t>建构筑物名称</w:t>
            </w:r>
          </w:p>
        </w:tc>
        <w:tc>
          <w:tcPr>
            <w:tcW w:w="687" w:type="dxa"/>
            <w:vAlign w:val="center"/>
          </w:tcPr>
          <w:p>
            <w:pPr>
              <w:spacing w:before="120"/>
              <w:rPr>
                <w:b/>
                <w:color w:val="000000" w:themeColor="text1"/>
                <w:szCs w:val="21"/>
              </w:rPr>
            </w:pPr>
            <w:r>
              <w:rPr>
                <w:b/>
                <w:color w:val="000000" w:themeColor="text1"/>
                <w:szCs w:val="21"/>
              </w:rPr>
              <w:t>结构</w:t>
            </w:r>
          </w:p>
        </w:tc>
        <w:tc>
          <w:tcPr>
            <w:tcW w:w="750" w:type="dxa"/>
            <w:vAlign w:val="center"/>
          </w:tcPr>
          <w:p>
            <w:pPr>
              <w:spacing w:before="120"/>
              <w:rPr>
                <w:b/>
                <w:color w:val="000000" w:themeColor="text1"/>
                <w:szCs w:val="21"/>
              </w:rPr>
            </w:pPr>
            <w:r>
              <w:rPr>
                <w:b/>
                <w:color w:val="000000" w:themeColor="text1"/>
                <w:szCs w:val="21"/>
              </w:rPr>
              <w:t>层数</w:t>
            </w:r>
          </w:p>
        </w:tc>
        <w:tc>
          <w:tcPr>
            <w:tcW w:w="988" w:type="dxa"/>
            <w:vAlign w:val="center"/>
          </w:tcPr>
          <w:p>
            <w:pPr>
              <w:spacing w:before="120"/>
              <w:rPr>
                <w:b/>
                <w:color w:val="000000" w:themeColor="text1"/>
                <w:szCs w:val="21"/>
              </w:rPr>
            </w:pPr>
            <w:r>
              <w:rPr>
                <w:rFonts w:hint="eastAsia"/>
                <w:b/>
                <w:color w:val="000000" w:themeColor="text1"/>
                <w:szCs w:val="21"/>
              </w:rPr>
              <w:t>建筑</w:t>
            </w:r>
            <w:r>
              <w:rPr>
                <w:b/>
                <w:color w:val="000000" w:themeColor="text1"/>
                <w:szCs w:val="21"/>
              </w:rPr>
              <w:t>面积（</w:t>
            </w:r>
            <w:r>
              <w:rPr>
                <w:color w:val="000000" w:themeColor="text1"/>
                <w:szCs w:val="21"/>
              </w:rPr>
              <w:t>m</w:t>
            </w:r>
            <w:r>
              <w:rPr>
                <w:color w:val="000000" w:themeColor="text1"/>
                <w:szCs w:val="21"/>
                <w:vertAlign w:val="superscript"/>
              </w:rPr>
              <w:t>2</w:t>
            </w:r>
            <w:r>
              <w:rPr>
                <w:b/>
                <w:color w:val="000000" w:themeColor="text1"/>
                <w:szCs w:val="21"/>
              </w:rPr>
              <w:t>）</w:t>
            </w:r>
          </w:p>
        </w:tc>
        <w:tc>
          <w:tcPr>
            <w:tcW w:w="875" w:type="dxa"/>
          </w:tcPr>
          <w:p>
            <w:pPr>
              <w:adjustRightInd w:val="0"/>
              <w:snapToGrid w:val="0"/>
              <w:spacing w:before="120"/>
              <w:rPr>
                <w:b/>
                <w:color w:val="000000" w:themeColor="text1"/>
                <w:szCs w:val="21"/>
              </w:rPr>
            </w:pPr>
            <w:r>
              <w:rPr>
                <w:b/>
                <w:color w:val="000000" w:themeColor="text1"/>
                <w:szCs w:val="21"/>
              </w:rPr>
              <w:t>火灾危险性</w:t>
            </w:r>
          </w:p>
        </w:tc>
        <w:tc>
          <w:tcPr>
            <w:tcW w:w="737" w:type="dxa"/>
            <w:vAlign w:val="center"/>
          </w:tcPr>
          <w:p>
            <w:pPr>
              <w:adjustRightInd w:val="0"/>
              <w:snapToGrid w:val="0"/>
              <w:spacing w:before="120"/>
              <w:rPr>
                <w:b/>
                <w:color w:val="000000" w:themeColor="text1"/>
                <w:szCs w:val="21"/>
              </w:rPr>
            </w:pPr>
            <w:r>
              <w:rPr>
                <w:b/>
                <w:color w:val="000000" w:themeColor="text1"/>
                <w:szCs w:val="21"/>
              </w:rPr>
              <w:t>耐火等级</w:t>
            </w:r>
          </w:p>
        </w:tc>
        <w:tc>
          <w:tcPr>
            <w:tcW w:w="688" w:type="dxa"/>
            <w:vAlign w:val="center"/>
          </w:tcPr>
          <w:p>
            <w:pPr>
              <w:adjustRightInd w:val="0"/>
              <w:snapToGrid w:val="0"/>
              <w:spacing w:before="120"/>
              <w:rPr>
                <w:b/>
                <w:color w:val="000000" w:themeColor="text1"/>
                <w:szCs w:val="21"/>
              </w:rPr>
            </w:pPr>
            <w:r>
              <w:rPr>
                <w:b/>
                <w:color w:val="000000" w:themeColor="text1"/>
                <w:szCs w:val="21"/>
              </w:rPr>
              <w:t>抗震等级</w:t>
            </w:r>
          </w:p>
        </w:tc>
        <w:tc>
          <w:tcPr>
            <w:tcW w:w="675" w:type="dxa"/>
            <w:vAlign w:val="center"/>
          </w:tcPr>
          <w:p>
            <w:pPr>
              <w:spacing w:before="120"/>
              <w:rPr>
                <w:b/>
                <w:color w:val="000000" w:themeColor="text1"/>
                <w:szCs w:val="21"/>
              </w:rPr>
            </w:pPr>
            <w:r>
              <w:rPr>
                <w:b/>
                <w:color w:val="000000" w:themeColor="text1"/>
                <w:szCs w:val="21"/>
              </w:rPr>
              <w:t>通风</w:t>
            </w:r>
          </w:p>
        </w:tc>
        <w:tc>
          <w:tcPr>
            <w:tcW w:w="658" w:type="dxa"/>
            <w:vAlign w:val="center"/>
          </w:tcPr>
          <w:p>
            <w:pPr>
              <w:spacing w:before="120"/>
              <w:rPr>
                <w:b/>
                <w:color w:val="000000" w:themeColor="text1"/>
                <w:szCs w:val="21"/>
              </w:rPr>
            </w:pPr>
            <w:r>
              <w:rPr>
                <w:b/>
                <w:color w:val="000000" w:themeColor="text1"/>
                <w:szCs w:val="21"/>
              </w:rPr>
              <w:t>泄压面积</w:t>
            </w:r>
          </w:p>
        </w:tc>
        <w:tc>
          <w:tcPr>
            <w:tcW w:w="1434" w:type="dxa"/>
            <w:vAlign w:val="center"/>
          </w:tcPr>
          <w:p>
            <w:pPr>
              <w:adjustRightInd w:val="0"/>
              <w:snapToGrid w:val="0"/>
              <w:spacing w:before="120"/>
              <w:rPr>
                <w:b/>
                <w:color w:val="000000" w:themeColor="text1"/>
                <w:szCs w:val="21"/>
              </w:rPr>
            </w:pPr>
            <w:r>
              <w:rPr>
                <w:b/>
                <w:color w:val="000000" w:themeColor="text1"/>
                <w:szCs w:val="21"/>
              </w:rPr>
              <w:t>疏散通道与安全出口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71" w:type="dxa"/>
            <w:vAlign w:val="center"/>
          </w:tcPr>
          <w:p>
            <w:pPr>
              <w:spacing w:before="120"/>
              <w:jc w:val="center"/>
              <w:rPr>
                <w:color w:val="000000" w:themeColor="text1"/>
                <w:szCs w:val="21"/>
              </w:rPr>
            </w:pPr>
            <w:r>
              <w:rPr>
                <w:color w:val="000000" w:themeColor="text1"/>
                <w:szCs w:val="21"/>
              </w:rPr>
              <w:t>1</w:t>
            </w:r>
          </w:p>
        </w:tc>
        <w:tc>
          <w:tcPr>
            <w:tcW w:w="1238" w:type="dxa"/>
            <w:vAlign w:val="center"/>
          </w:tcPr>
          <w:p>
            <w:pPr>
              <w:spacing w:before="120"/>
              <w:jc w:val="center"/>
              <w:rPr>
                <w:color w:val="000000" w:themeColor="text1"/>
                <w:szCs w:val="21"/>
              </w:rPr>
            </w:pPr>
            <w:r>
              <w:rPr>
                <w:color w:val="000000" w:themeColor="text1"/>
                <w:szCs w:val="21"/>
              </w:rPr>
              <w:t>辅助用房</w:t>
            </w:r>
          </w:p>
        </w:tc>
        <w:tc>
          <w:tcPr>
            <w:tcW w:w="687" w:type="dxa"/>
            <w:vAlign w:val="center"/>
          </w:tcPr>
          <w:p>
            <w:pPr>
              <w:spacing w:before="120"/>
              <w:jc w:val="center"/>
              <w:rPr>
                <w:color w:val="000000" w:themeColor="text1"/>
                <w:szCs w:val="21"/>
              </w:rPr>
            </w:pPr>
            <w:r>
              <w:rPr>
                <w:color w:val="000000" w:themeColor="text1"/>
                <w:szCs w:val="21"/>
              </w:rPr>
              <w:t>砖混</w:t>
            </w:r>
          </w:p>
        </w:tc>
        <w:tc>
          <w:tcPr>
            <w:tcW w:w="750" w:type="dxa"/>
            <w:vAlign w:val="center"/>
          </w:tcPr>
          <w:p>
            <w:pPr>
              <w:jc w:val="center"/>
              <w:rPr>
                <w:color w:val="000000" w:themeColor="text1"/>
                <w:szCs w:val="21"/>
              </w:rPr>
            </w:pPr>
            <w:r>
              <w:rPr>
                <w:rFonts w:hint="eastAsia"/>
                <w:color w:val="000000" w:themeColor="text1"/>
                <w:szCs w:val="21"/>
              </w:rPr>
              <w:t>二</w:t>
            </w:r>
            <w:r>
              <w:rPr>
                <w:color w:val="000000" w:themeColor="text1"/>
                <w:szCs w:val="21"/>
              </w:rPr>
              <w:t>层</w:t>
            </w:r>
          </w:p>
        </w:tc>
        <w:tc>
          <w:tcPr>
            <w:tcW w:w="988" w:type="dxa"/>
            <w:vAlign w:val="center"/>
          </w:tcPr>
          <w:p>
            <w:pPr>
              <w:spacing w:before="120"/>
              <w:jc w:val="center"/>
              <w:rPr>
                <w:color w:val="000000" w:themeColor="text1"/>
                <w:szCs w:val="21"/>
              </w:rPr>
            </w:pPr>
            <w:r>
              <w:rPr>
                <w:rFonts w:hint="eastAsia"/>
                <w:color w:val="000000" w:themeColor="text1"/>
                <w:szCs w:val="21"/>
              </w:rPr>
              <w:t>60</w:t>
            </w:r>
          </w:p>
        </w:tc>
        <w:tc>
          <w:tcPr>
            <w:tcW w:w="875" w:type="dxa"/>
            <w:vAlign w:val="center"/>
          </w:tcPr>
          <w:p>
            <w:pPr>
              <w:spacing w:before="120"/>
              <w:jc w:val="center"/>
              <w:rPr>
                <w:color w:val="000000" w:themeColor="text1"/>
                <w:szCs w:val="21"/>
              </w:rPr>
            </w:pPr>
            <w:r>
              <w:rPr>
                <w:color w:val="000000" w:themeColor="text1"/>
                <w:szCs w:val="21"/>
              </w:rPr>
              <w:t>-</w:t>
            </w:r>
          </w:p>
        </w:tc>
        <w:tc>
          <w:tcPr>
            <w:tcW w:w="737" w:type="dxa"/>
            <w:vAlign w:val="center"/>
          </w:tcPr>
          <w:p>
            <w:pPr>
              <w:spacing w:before="120"/>
              <w:jc w:val="center"/>
              <w:rPr>
                <w:color w:val="000000" w:themeColor="text1"/>
                <w:szCs w:val="21"/>
              </w:rPr>
            </w:pPr>
            <w:r>
              <w:rPr>
                <w:color w:val="000000" w:themeColor="text1"/>
                <w:szCs w:val="21"/>
              </w:rPr>
              <w:t>二级</w:t>
            </w:r>
          </w:p>
        </w:tc>
        <w:tc>
          <w:tcPr>
            <w:tcW w:w="688" w:type="dxa"/>
            <w:vAlign w:val="center"/>
          </w:tcPr>
          <w:p>
            <w:pPr>
              <w:spacing w:before="120"/>
              <w:jc w:val="center"/>
              <w:rPr>
                <w:color w:val="000000" w:themeColor="text1"/>
                <w:szCs w:val="21"/>
              </w:rPr>
            </w:pPr>
            <w:r>
              <w:rPr>
                <w:color w:val="000000" w:themeColor="text1"/>
                <w:szCs w:val="21"/>
              </w:rPr>
              <w:t>丙级</w:t>
            </w:r>
          </w:p>
        </w:tc>
        <w:tc>
          <w:tcPr>
            <w:tcW w:w="675" w:type="dxa"/>
            <w:vAlign w:val="center"/>
          </w:tcPr>
          <w:p>
            <w:pPr>
              <w:spacing w:before="120"/>
              <w:jc w:val="center"/>
              <w:rPr>
                <w:color w:val="000000" w:themeColor="text1"/>
                <w:szCs w:val="21"/>
              </w:rPr>
            </w:pPr>
            <w:r>
              <w:rPr>
                <w:color w:val="000000" w:themeColor="text1"/>
                <w:szCs w:val="21"/>
              </w:rPr>
              <w:t>自然通风</w:t>
            </w:r>
          </w:p>
        </w:tc>
        <w:tc>
          <w:tcPr>
            <w:tcW w:w="658" w:type="dxa"/>
            <w:vAlign w:val="center"/>
          </w:tcPr>
          <w:p>
            <w:pPr>
              <w:spacing w:before="120"/>
              <w:jc w:val="center"/>
              <w:rPr>
                <w:color w:val="000000" w:themeColor="text1"/>
                <w:szCs w:val="21"/>
              </w:rPr>
            </w:pPr>
            <w:r>
              <w:rPr>
                <w:color w:val="000000" w:themeColor="text1"/>
                <w:szCs w:val="21"/>
              </w:rPr>
              <w:t>-</w:t>
            </w:r>
          </w:p>
        </w:tc>
        <w:tc>
          <w:tcPr>
            <w:tcW w:w="1434" w:type="dxa"/>
            <w:vAlign w:val="center"/>
          </w:tcPr>
          <w:p>
            <w:pPr>
              <w:adjustRightInd w:val="0"/>
              <w:snapToGrid w:val="0"/>
              <w:spacing w:before="120"/>
              <w:rPr>
                <w:color w:val="000000" w:themeColor="text1"/>
                <w:szCs w:val="21"/>
              </w:rPr>
            </w:pPr>
            <w:r>
              <w:rPr>
                <w:color w:val="000000" w:themeColor="text1"/>
                <w:szCs w:val="21"/>
              </w:rPr>
              <w:t>设置一个安全出口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71" w:type="dxa"/>
            <w:vAlign w:val="center"/>
          </w:tcPr>
          <w:p>
            <w:pPr>
              <w:spacing w:before="120"/>
              <w:jc w:val="center"/>
              <w:rPr>
                <w:color w:val="000000" w:themeColor="text1"/>
                <w:szCs w:val="21"/>
              </w:rPr>
            </w:pPr>
            <w:r>
              <w:rPr>
                <w:color w:val="000000" w:themeColor="text1"/>
                <w:szCs w:val="21"/>
              </w:rPr>
              <w:t>2</w:t>
            </w:r>
          </w:p>
        </w:tc>
        <w:tc>
          <w:tcPr>
            <w:tcW w:w="1238" w:type="dxa"/>
            <w:vAlign w:val="center"/>
          </w:tcPr>
          <w:p>
            <w:pPr>
              <w:spacing w:before="120"/>
              <w:jc w:val="center"/>
              <w:rPr>
                <w:color w:val="000000" w:themeColor="text1"/>
                <w:szCs w:val="21"/>
              </w:rPr>
            </w:pPr>
            <w:r>
              <w:rPr>
                <w:color w:val="000000" w:themeColor="text1"/>
                <w:szCs w:val="21"/>
              </w:rPr>
              <w:t>办公楼</w:t>
            </w:r>
          </w:p>
        </w:tc>
        <w:tc>
          <w:tcPr>
            <w:tcW w:w="687" w:type="dxa"/>
            <w:vAlign w:val="center"/>
          </w:tcPr>
          <w:p>
            <w:pPr>
              <w:spacing w:before="120"/>
              <w:jc w:val="center"/>
              <w:rPr>
                <w:color w:val="000000" w:themeColor="text1"/>
                <w:szCs w:val="21"/>
              </w:rPr>
            </w:pPr>
            <w:r>
              <w:rPr>
                <w:color w:val="000000" w:themeColor="text1"/>
                <w:szCs w:val="21"/>
              </w:rPr>
              <w:t>砖混</w:t>
            </w:r>
          </w:p>
        </w:tc>
        <w:tc>
          <w:tcPr>
            <w:tcW w:w="750" w:type="dxa"/>
            <w:vAlign w:val="center"/>
          </w:tcPr>
          <w:p>
            <w:pPr>
              <w:spacing w:before="120"/>
              <w:jc w:val="center"/>
              <w:rPr>
                <w:color w:val="000000" w:themeColor="text1"/>
                <w:szCs w:val="21"/>
              </w:rPr>
            </w:pPr>
            <w:r>
              <w:rPr>
                <w:rFonts w:hint="eastAsia"/>
                <w:color w:val="000000" w:themeColor="text1"/>
                <w:szCs w:val="21"/>
              </w:rPr>
              <w:t>一侧</w:t>
            </w:r>
            <w:r>
              <w:rPr>
                <w:color w:val="000000" w:themeColor="text1"/>
                <w:szCs w:val="21"/>
              </w:rPr>
              <w:t>层</w:t>
            </w:r>
          </w:p>
        </w:tc>
        <w:tc>
          <w:tcPr>
            <w:tcW w:w="988" w:type="dxa"/>
            <w:vAlign w:val="center"/>
          </w:tcPr>
          <w:p>
            <w:pPr>
              <w:spacing w:before="120"/>
              <w:jc w:val="center"/>
              <w:rPr>
                <w:color w:val="000000" w:themeColor="text1"/>
                <w:szCs w:val="21"/>
              </w:rPr>
            </w:pPr>
            <w:r>
              <w:rPr>
                <w:rFonts w:hint="eastAsia"/>
                <w:color w:val="000000" w:themeColor="text1"/>
                <w:szCs w:val="21"/>
              </w:rPr>
              <w:t>35</w:t>
            </w:r>
          </w:p>
        </w:tc>
        <w:tc>
          <w:tcPr>
            <w:tcW w:w="875" w:type="dxa"/>
            <w:vAlign w:val="center"/>
          </w:tcPr>
          <w:p>
            <w:pPr>
              <w:spacing w:before="120"/>
              <w:jc w:val="center"/>
              <w:rPr>
                <w:color w:val="000000" w:themeColor="text1"/>
                <w:szCs w:val="21"/>
              </w:rPr>
            </w:pPr>
            <w:r>
              <w:rPr>
                <w:color w:val="000000" w:themeColor="text1"/>
                <w:szCs w:val="21"/>
              </w:rPr>
              <w:t>戊</w:t>
            </w:r>
          </w:p>
        </w:tc>
        <w:tc>
          <w:tcPr>
            <w:tcW w:w="737" w:type="dxa"/>
            <w:vAlign w:val="center"/>
          </w:tcPr>
          <w:p>
            <w:pPr>
              <w:spacing w:before="120"/>
              <w:jc w:val="center"/>
              <w:rPr>
                <w:color w:val="000000" w:themeColor="text1"/>
                <w:szCs w:val="21"/>
              </w:rPr>
            </w:pPr>
            <w:r>
              <w:rPr>
                <w:color w:val="000000" w:themeColor="text1"/>
                <w:szCs w:val="21"/>
              </w:rPr>
              <w:t>二级</w:t>
            </w:r>
          </w:p>
        </w:tc>
        <w:tc>
          <w:tcPr>
            <w:tcW w:w="688" w:type="dxa"/>
            <w:vAlign w:val="center"/>
          </w:tcPr>
          <w:p>
            <w:pPr>
              <w:spacing w:before="120"/>
              <w:jc w:val="center"/>
              <w:rPr>
                <w:color w:val="000000" w:themeColor="text1"/>
                <w:szCs w:val="21"/>
              </w:rPr>
            </w:pPr>
            <w:r>
              <w:rPr>
                <w:color w:val="000000" w:themeColor="text1"/>
                <w:szCs w:val="21"/>
              </w:rPr>
              <w:t>丙级</w:t>
            </w:r>
          </w:p>
        </w:tc>
        <w:tc>
          <w:tcPr>
            <w:tcW w:w="675" w:type="dxa"/>
            <w:vAlign w:val="center"/>
          </w:tcPr>
          <w:p>
            <w:pPr>
              <w:spacing w:before="120"/>
              <w:jc w:val="center"/>
              <w:rPr>
                <w:color w:val="000000" w:themeColor="text1"/>
                <w:szCs w:val="21"/>
              </w:rPr>
            </w:pPr>
            <w:r>
              <w:rPr>
                <w:color w:val="000000" w:themeColor="text1"/>
                <w:szCs w:val="21"/>
              </w:rPr>
              <w:t>自然通风</w:t>
            </w:r>
          </w:p>
        </w:tc>
        <w:tc>
          <w:tcPr>
            <w:tcW w:w="658" w:type="dxa"/>
            <w:vAlign w:val="center"/>
          </w:tcPr>
          <w:p>
            <w:pPr>
              <w:spacing w:before="120"/>
              <w:jc w:val="center"/>
              <w:rPr>
                <w:color w:val="000000" w:themeColor="text1"/>
                <w:szCs w:val="21"/>
              </w:rPr>
            </w:pPr>
            <w:r>
              <w:rPr>
                <w:color w:val="000000" w:themeColor="text1"/>
                <w:szCs w:val="21"/>
              </w:rPr>
              <w:t>-</w:t>
            </w:r>
          </w:p>
        </w:tc>
        <w:tc>
          <w:tcPr>
            <w:tcW w:w="1434" w:type="dxa"/>
            <w:vAlign w:val="center"/>
          </w:tcPr>
          <w:p>
            <w:pPr>
              <w:adjustRightInd w:val="0"/>
              <w:snapToGrid w:val="0"/>
              <w:spacing w:before="120"/>
              <w:rPr>
                <w:color w:val="000000" w:themeColor="text1"/>
                <w:szCs w:val="21"/>
              </w:rPr>
            </w:pPr>
            <w:r>
              <w:rPr>
                <w:color w:val="000000" w:themeColor="text1"/>
                <w:szCs w:val="21"/>
              </w:rPr>
              <w:t>设置一个安全出口</w:t>
            </w:r>
          </w:p>
        </w:tc>
      </w:tr>
    </w:tbl>
    <w:p>
      <w:pPr>
        <w:pStyle w:val="19"/>
        <w:spacing w:afterLines="100" w:line="500" w:lineRule="exact"/>
        <w:rPr>
          <w:rFonts w:ascii="黑体" w:hAnsi="宋体" w:eastAsia="黑体"/>
          <w:color w:val="000000" w:themeColor="text1"/>
          <w:kern w:val="3"/>
          <w:sz w:val="28"/>
          <w:szCs w:val="28"/>
        </w:rPr>
      </w:pPr>
      <w:bookmarkStart w:id="532" w:name="_Toc18757"/>
      <w:bookmarkStart w:id="533" w:name="_Toc6221"/>
      <w:bookmarkStart w:id="534" w:name="_Toc23474"/>
      <w:bookmarkStart w:id="535" w:name="_Toc23379"/>
      <w:bookmarkStart w:id="536" w:name="_Toc30285"/>
      <w:bookmarkStart w:id="537" w:name="_Toc7342"/>
      <w:bookmarkStart w:id="538" w:name="_Toc1280"/>
      <w:bookmarkStart w:id="539" w:name="_Toc2129"/>
      <w:bookmarkStart w:id="540" w:name="_Toc25851"/>
      <w:bookmarkStart w:id="541" w:name="_Toc22682"/>
      <w:bookmarkStart w:id="542" w:name="_Toc28419"/>
      <w:r>
        <w:rPr>
          <w:rFonts w:hint="eastAsia" w:ascii="黑体" w:hAnsi="宋体" w:eastAsia="黑体"/>
          <w:color w:val="000000" w:themeColor="text1"/>
          <w:kern w:val="3"/>
          <w:sz w:val="28"/>
          <w:szCs w:val="28"/>
        </w:rPr>
        <w:t>2.6.3 监测监控设施</w:t>
      </w:r>
      <w:bookmarkEnd w:id="532"/>
      <w:bookmarkEnd w:id="533"/>
      <w:bookmarkEnd w:id="534"/>
      <w:bookmarkEnd w:id="535"/>
      <w:bookmarkEnd w:id="536"/>
      <w:bookmarkEnd w:id="537"/>
      <w:bookmarkEnd w:id="538"/>
      <w:bookmarkEnd w:id="539"/>
      <w:bookmarkEnd w:id="540"/>
    </w:p>
    <w:p>
      <w:pPr>
        <w:pStyle w:val="51"/>
        <w:rPr>
          <w:rFonts w:ascii="Times New Roman" w:hAnsi="Times New Roman"/>
          <w:color w:val="000000" w:themeColor="text1"/>
        </w:rPr>
      </w:pPr>
      <w:r>
        <w:rPr>
          <w:rFonts w:ascii="Times New Roman" w:hAnsi="Times New Roman"/>
          <w:color w:val="000000" w:themeColor="text1"/>
        </w:rPr>
        <w:t>项目</w:t>
      </w:r>
      <w:r>
        <w:rPr>
          <w:rFonts w:hint="eastAsia" w:ascii="Times New Roman" w:hAnsi="Times New Roman"/>
          <w:color w:val="000000" w:themeColor="text1"/>
        </w:rPr>
        <w:t>在整个公司区域内共设置</w:t>
      </w:r>
      <w:r>
        <w:rPr>
          <w:rFonts w:hint="eastAsia" w:ascii="Times New Roman" w:hAnsi="Times New Roman"/>
          <w:color w:val="000000" w:themeColor="text1"/>
          <w:lang w:val="en-US" w:eastAsia="zh-CN"/>
        </w:rPr>
        <w:t>6</w:t>
      </w:r>
      <w:r>
        <w:rPr>
          <w:rFonts w:hint="eastAsia" w:ascii="Times New Roman" w:hAnsi="Times New Roman"/>
          <w:color w:val="000000" w:themeColor="text1"/>
        </w:rPr>
        <w:t>个监控探头，</w:t>
      </w:r>
      <w:r>
        <w:rPr>
          <w:rFonts w:ascii="Times New Roman" w:hAnsi="Times New Roman"/>
          <w:color w:val="000000" w:themeColor="text1"/>
        </w:rPr>
        <w:t>视频监控</w:t>
      </w:r>
      <w:r>
        <w:rPr>
          <w:rFonts w:hint="eastAsia" w:ascii="Times New Roman" w:hAnsi="Times New Roman"/>
          <w:color w:val="000000" w:themeColor="text1"/>
        </w:rPr>
        <w:t>统一设置在办公室内</w:t>
      </w:r>
      <w:r>
        <w:rPr>
          <w:rFonts w:hint="eastAsia" w:ascii="Times New Roman" w:hAnsi="Times New Roman"/>
          <w:color w:val="000000" w:themeColor="text1"/>
          <w:lang w:eastAsia="zh-CN"/>
        </w:rPr>
        <w:t>，</w:t>
      </w:r>
      <w:r>
        <w:rPr>
          <w:rFonts w:hint="eastAsia" w:ascii="Times New Roman" w:hAnsi="Times New Roman"/>
          <w:color w:val="000000" w:themeColor="text1"/>
          <w:lang w:val="en-US" w:eastAsia="zh-CN"/>
        </w:rPr>
        <w:t>经现场业主介绍视频最大储存天数为90天。</w:t>
      </w:r>
      <w:r>
        <w:rPr>
          <w:rFonts w:hint="eastAsia" w:ascii="Times New Roman" w:hAnsi="Times New Roman"/>
          <w:color w:val="000000" w:themeColor="text1"/>
        </w:rPr>
        <w:t>办公室设置储罐</w:t>
      </w:r>
      <w:r>
        <w:rPr>
          <w:rFonts w:ascii="Times New Roman" w:hAnsi="Times New Roman"/>
          <w:color w:val="000000" w:themeColor="text1"/>
        </w:rPr>
        <w:t>高液位报警</w:t>
      </w:r>
      <w:r>
        <w:rPr>
          <w:rFonts w:hint="eastAsia" w:ascii="Times New Roman" w:hAnsi="Times New Roman"/>
          <w:color w:val="000000" w:themeColor="text1"/>
        </w:rPr>
        <w:t>装置，现场检查储罐</w:t>
      </w:r>
      <w:r>
        <w:rPr>
          <w:rFonts w:ascii="Times New Roman" w:hAnsi="Times New Roman"/>
          <w:color w:val="000000" w:themeColor="text1"/>
        </w:rPr>
        <w:t>高液位报警</w:t>
      </w:r>
      <w:r>
        <w:rPr>
          <w:rFonts w:hint="eastAsia" w:ascii="Times New Roman" w:hAnsi="Times New Roman"/>
          <w:color w:val="000000" w:themeColor="text1"/>
        </w:rPr>
        <w:t>装置无信号</w:t>
      </w:r>
      <w:r>
        <w:rPr>
          <w:rFonts w:ascii="Times New Roman" w:hAnsi="Times New Roman"/>
          <w:color w:val="000000" w:themeColor="text1"/>
        </w:rPr>
        <w:t>。</w:t>
      </w:r>
    </w:p>
    <w:p>
      <w:pPr>
        <w:pStyle w:val="19"/>
        <w:spacing w:afterLines="100" w:line="500" w:lineRule="exact"/>
        <w:jc w:val="center"/>
        <w:rPr>
          <w:rFonts w:ascii="楷体_GB2312" w:hAnsi="宋体" w:eastAsia="楷体_GB2312"/>
          <w:color w:val="000000" w:themeColor="text1"/>
          <w:kern w:val="3"/>
        </w:rPr>
      </w:pPr>
      <w:bookmarkStart w:id="543" w:name="_Toc8384"/>
      <w:bookmarkStart w:id="544" w:name="_Toc22318"/>
      <w:bookmarkStart w:id="545" w:name="_Toc23664"/>
      <w:bookmarkStart w:id="546" w:name="_Toc30535"/>
      <w:bookmarkStart w:id="547" w:name="_Toc20071_WPSOffice_Level2"/>
      <w:bookmarkStart w:id="548" w:name="_Toc9187"/>
      <w:bookmarkStart w:id="549" w:name="_Toc32310"/>
      <w:bookmarkStart w:id="550" w:name="_Toc28075"/>
      <w:bookmarkStart w:id="551" w:name="_Toc16150"/>
      <w:bookmarkStart w:id="552" w:name="_Toc12577"/>
      <w:bookmarkStart w:id="553" w:name="_Toc300"/>
      <w:bookmarkStart w:id="554" w:name="_Toc20374"/>
      <w:bookmarkStart w:id="555" w:name="_Toc31188"/>
      <w:bookmarkStart w:id="556" w:name="_Toc5157"/>
      <w:r>
        <w:rPr>
          <w:rFonts w:hint="eastAsia" w:ascii="楷体_GB2312" w:hAnsi="宋体" w:eastAsia="楷体_GB2312"/>
          <w:color w:val="000000" w:themeColor="text1"/>
          <w:kern w:val="3"/>
        </w:rPr>
        <w:t>2.7 公用工程及辅助设施</w:t>
      </w:r>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p>
    <w:p>
      <w:pPr>
        <w:pStyle w:val="19"/>
        <w:spacing w:afterLines="100" w:line="500" w:lineRule="exact"/>
        <w:rPr>
          <w:rFonts w:ascii="黑体" w:hAnsi="宋体" w:eastAsia="黑体"/>
          <w:color w:val="000000" w:themeColor="text1"/>
          <w:kern w:val="3"/>
          <w:sz w:val="28"/>
          <w:szCs w:val="28"/>
        </w:rPr>
      </w:pPr>
      <w:bookmarkStart w:id="557" w:name="_Toc10132"/>
      <w:bookmarkStart w:id="558" w:name="_Toc7883"/>
      <w:bookmarkStart w:id="559" w:name="_Toc8779"/>
      <w:bookmarkStart w:id="560" w:name="_Toc7650"/>
      <w:bookmarkStart w:id="561" w:name="_Toc25862"/>
      <w:bookmarkStart w:id="562" w:name="_Toc23605"/>
      <w:bookmarkStart w:id="563" w:name="_Toc12325"/>
      <w:bookmarkStart w:id="564" w:name="_Toc1794"/>
      <w:bookmarkStart w:id="565" w:name="_Toc15142"/>
      <w:bookmarkStart w:id="566" w:name="_Toc27750"/>
      <w:r>
        <w:rPr>
          <w:rFonts w:hint="eastAsia" w:ascii="黑体" w:hAnsi="宋体" w:eastAsia="黑体"/>
          <w:color w:val="000000" w:themeColor="text1"/>
          <w:kern w:val="3"/>
          <w:sz w:val="28"/>
          <w:szCs w:val="28"/>
        </w:rPr>
        <w:t>2.7.1 供配电</w:t>
      </w:r>
      <w:bookmarkEnd w:id="557"/>
      <w:bookmarkEnd w:id="558"/>
      <w:bookmarkEnd w:id="559"/>
      <w:bookmarkEnd w:id="560"/>
      <w:bookmarkEnd w:id="561"/>
      <w:bookmarkEnd w:id="562"/>
      <w:bookmarkEnd w:id="563"/>
      <w:bookmarkEnd w:id="564"/>
      <w:bookmarkEnd w:id="565"/>
      <w:bookmarkEnd w:id="566"/>
    </w:p>
    <w:p>
      <w:pPr>
        <w:adjustRightInd w:val="0"/>
        <w:snapToGrid w:val="0"/>
        <w:spacing w:line="500" w:lineRule="exact"/>
        <w:ind w:firstLine="560" w:firstLineChars="200"/>
        <w:rPr>
          <w:color w:val="000000" w:themeColor="text1"/>
          <w:sz w:val="28"/>
          <w:szCs w:val="28"/>
        </w:rPr>
      </w:pPr>
      <w:r>
        <w:rPr>
          <w:rFonts w:hint="eastAsia"/>
          <w:color w:val="000000" w:themeColor="text1"/>
          <w:sz w:val="28"/>
          <w:szCs w:val="28"/>
        </w:rPr>
        <w:t>公司电源从供电所380V/220V进入公司内配电箱，再送各用电设备。采用电缆敷设至各用电设备、设施，出配电箱的电缆独立敷设。穿越行车道的采用钢管保护</w:t>
      </w:r>
      <w:r>
        <w:rPr>
          <w:color w:val="000000" w:themeColor="text1"/>
          <w:sz w:val="28"/>
          <w:szCs w:val="28"/>
        </w:rPr>
        <w:t>；该项目用电负荷等级为三级。</w:t>
      </w:r>
    </w:p>
    <w:p>
      <w:pPr>
        <w:adjustRightInd w:val="0"/>
        <w:snapToGrid w:val="0"/>
        <w:spacing w:line="500" w:lineRule="exact"/>
        <w:ind w:firstLine="560" w:firstLineChars="200"/>
        <w:rPr>
          <w:color w:val="000000" w:themeColor="text1"/>
          <w:sz w:val="28"/>
          <w:szCs w:val="28"/>
        </w:rPr>
      </w:pPr>
      <w:r>
        <w:rPr>
          <w:color w:val="000000" w:themeColor="text1"/>
          <w:sz w:val="28"/>
          <w:szCs w:val="28"/>
        </w:rPr>
        <w:t>该项目</w:t>
      </w:r>
      <w:r>
        <w:rPr>
          <w:rFonts w:hint="eastAsia"/>
          <w:color w:val="000000" w:themeColor="text1"/>
          <w:sz w:val="28"/>
          <w:szCs w:val="28"/>
        </w:rPr>
        <w:t>在公司区域内设置了4</w:t>
      </w:r>
      <w:r>
        <w:rPr>
          <w:color w:val="000000" w:themeColor="text1"/>
          <w:sz w:val="28"/>
          <w:szCs w:val="28"/>
        </w:rPr>
        <w:t>盏防爆照明灯具，防护等级不低于IP44级，应急时间不小于30min。</w:t>
      </w:r>
    </w:p>
    <w:p>
      <w:pPr>
        <w:pStyle w:val="19"/>
        <w:spacing w:afterLines="100" w:line="500" w:lineRule="exact"/>
        <w:rPr>
          <w:rFonts w:ascii="黑体" w:hAnsi="宋体" w:eastAsia="黑体"/>
          <w:color w:val="000000" w:themeColor="text1"/>
          <w:kern w:val="3"/>
          <w:sz w:val="28"/>
          <w:szCs w:val="28"/>
        </w:rPr>
      </w:pPr>
      <w:bookmarkStart w:id="567" w:name="_Toc26469"/>
      <w:bookmarkStart w:id="568" w:name="_Toc24066"/>
      <w:bookmarkStart w:id="569" w:name="_Toc15529"/>
      <w:bookmarkStart w:id="570" w:name="_Toc9348"/>
      <w:bookmarkStart w:id="571" w:name="_Toc17236"/>
      <w:bookmarkStart w:id="572" w:name="_Toc2822"/>
      <w:bookmarkStart w:id="573" w:name="_Toc2459"/>
      <w:bookmarkStart w:id="574" w:name="_Toc4551"/>
      <w:bookmarkStart w:id="575" w:name="_Toc21742"/>
      <w:bookmarkStart w:id="576" w:name="_Toc6943"/>
      <w:r>
        <w:rPr>
          <w:rFonts w:hint="eastAsia" w:ascii="黑体" w:hAnsi="宋体" w:eastAsia="黑体"/>
          <w:color w:val="000000" w:themeColor="text1"/>
          <w:kern w:val="3"/>
          <w:sz w:val="28"/>
          <w:szCs w:val="28"/>
        </w:rPr>
        <w:t>2.7.2给排水</w:t>
      </w:r>
      <w:bookmarkEnd w:id="567"/>
      <w:bookmarkEnd w:id="568"/>
      <w:bookmarkEnd w:id="569"/>
      <w:bookmarkEnd w:id="570"/>
      <w:bookmarkEnd w:id="571"/>
      <w:bookmarkEnd w:id="572"/>
      <w:bookmarkEnd w:id="573"/>
      <w:bookmarkEnd w:id="574"/>
      <w:bookmarkEnd w:id="575"/>
      <w:bookmarkEnd w:id="576"/>
    </w:p>
    <w:p>
      <w:pPr>
        <w:pStyle w:val="28"/>
        <w:rPr>
          <w:color w:val="000000" w:themeColor="text1"/>
          <w:szCs w:val="28"/>
        </w:rPr>
      </w:pPr>
      <w:r>
        <w:rPr>
          <w:rFonts w:hint="eastAsia"/>
          <w:color w:val="000000" w:themeColor="text1"/>
          <w:szCs w:val="28"/>
        </w:rPr>
        <w:t>1.供水</w:t>
      </w:r>
    </w:p>
    <w:p>
      <w:pPr>
        <w:pStyle w:val="28"/>
        <w:rPr>
          <w:color w:val="000000" w:themeColor="text1"/>
          <w:szCs w:val="28"/>
        </w:rPr>
      </w:pPr>
      <w:r>
        <w:rPr>
          <w:rFonts w:hint="eastAsia"/>
          <w:color w:val="000000" w:themeColor="text1"/>
          <w:szCs w:val="28"/>
        </w:rPr>
        <w:t>公司用水采用金属管接乡镇供水管网至各用水点，每天冲洗地坪、站区绿化、员工生活等用水预计最大为5m</w:t>
      </w:r>
      <w:r>
        <w:rPr>
          <w:rFonts w:hint="eastAsia"/>
          <w:color w:val="000000" w:themeColor="text1"/>
          <w:szCs w:val="28"/>
          <w:vertAlign w:val="superscript"/>
        </w:rPr>
        <w:t>3</w:t>
      </w:r>
      <w:r>
        <w:rPr>
          <w:rFonts w:hint="eastAsia"/>
          <w:color w:val="000000" w:themeColor="text1"/>
          <w:szCs w:val="28"/>
        </w:rPr>
        <w:t>/天，供水能够满足需要。</w:t>
      </w:r>
    </w:p>
    <w:p>
      <w:pPr>
        <w:pStyle w:val="28"/>
        <w:outlineLvl w:val="0"/>
        <w:rPr>
          <w:color w:val="000000" w:themeColor="text1"/>
          <w:szCs w:val="28"/>
        </w:rPr>
      </w:pPr>
      <w:bookmarkStart w:id="577" w:name="_Toc454179982"/>
      <w:bookmarkStart w:id="578" w:name="_Toc426375905"/>
      <w:bookmarkStart w:id="579" w:name="_Toc482780821"/>
      <w:bookmarkStart w:id="580" w:name="_Toc10555280"/>
      <w:bookmarkStart w:id="581" w:name="_Toc482694049"/>
      <w:bookmarkStart w:id="582" w:name="_Toc10537907"/>
      <w:bookmarkStart w:id="583" w:name="_Toc481478522"/>
      <w:bookmarkStart w:id="584" w:name="_Toc482780700"/>
      <w:bookmarkStart w:id="585" w:name="_Toc481140737"/>
      <w:bookmarkStart w:id="586" w:name="_Toc452131051"/>
      <w:r>
        <w:rPr>
          <w:rFonts w:hint="eastAsia"/>
          <w:color w:val="000000" w:themeColor="text1"/>
          <w:szCs w:val="28"/>
        </w:rPr>
        <w:t>2.排水</w:t>
      </w:r>
      <w:bookmarkEnd w:id="577"/>
      <w:bookmarkEnd w:id="578"/>
      <w:bookmarkEnd w:id="579"/>
      <w:bookmarkEnd w:id="580"/>
      <w:bookmarkEnd w:id="581"/>
      <w:bookmarkEnd w:id="582"/>
      <w:bookmarkEnd w:id="583"/>
      <w:bookmarkEnd w:id="584"/>
      <w:bookmarkEnd w:id="585"/>
      <w:bookmarkEnd w:id="586"/>
    </w:p>
    <w:p>
      <w:pPr>
        <w:adjustRightInd w:val="0"/>
        <w:snapToGrid w:val="0"/>
        <w:spacing w:line="500" w:lineRule="exact"/>
        <w:ind w:firstLine="560" w:firstLineChars="200"/>
        <w:rPr>
          <w:snapToGrid w:val="0"/>
          <w:color w:val="000000" w:themeColor="text1"/>
          <w:kern w:val="0"/>
          <w:sz w:val="28"/>
          <w:szCs w:val="28"/>
        </w:rPr>
      </w:pPr>
      <w:r>
        <w:rPr>
          <w:rFonts w:hint="eastAsia" w:ascii="宋体" w:hAnsi="宋体"/>
          <w:color w:val="000000" w:themeColor="text1"/>
          <w:sz w:val="28"/>
          <w:szCs w:val="28"/>
        </w:rPr>
        <w:t>公司雨水及生活污水，经公司雨水沟收集后，排至站外排水沟</w:t>
      </w:r>
      <w:r>
        <w:rPr>
          <w:snapToGrid w:val="0"/>
          <w:color w:val="000000" w:themeColor="text1"/>
          <w:kern w:val="0"/>
          <w:sz w:val="28"/>
          <w:szCs w:val="28"/>
        </w:rPr>
        <w:t>。</w:t>
      </w:r>
    </w:p>
    <w:p>
      <w:pPr>
        <w:pStyle w:val="19"/>
        <w:spacing w:afterLines="100" w:line="500" w:lineRule="exact"/>
        <w:rPr>
          <w:rFonts w:ascii="黑体" w:hAnsi="宋体" w:eastAsia="黑体"/>
          <w:color w:val="000000" w:themeColor="text1"/>
          <w:kern w:val="3"/>
          <w:sz w:val="28"/>
          <w:szCs w:val="28"/>
        </w:rPr>
      </w:pPr>
      <w:bookmarkStart w:id="587" w:name="_Toc2143"/>
      <w:bookmarkStart w:id="588" w:name="_Toc396"/>
      <w:bookmarkStart w:id="589" w:name="_Toc22338"/>
      <w:bookmarkStart w:id="590" w:name="_Toc16050"/>
      <w:bookmarkStart w:id="591" w:name="_Toc4691"/>
      <w:bookmarkStart w:id="592" w:name="_Toc15635"/>
      <w:bookmarkStart w:id="593" w:name="_Toc1217"/>
      <w:bookmarkStart w:id="594" w:name="_Toc8389"/>
      <w:bookmarkStart w:id="595" w:name="_Toc30424"/>
      <w:bookmarkStart w:id="596" w:name="_Toc25336"/>
      <w:r>
        <w:rPr>
          <w:rFonts w:hint="eastAsia" w:ascii="黑体" w:hAnsi="宋体" w:eastAsia="黑体"/>
          <w:color w:val="000000" w:themeColor="text1"/>
          <w:kern w:val="3"/>
          <w:sz w:val="28"/>
          <w:szCs w:val="28"/>
        </w:rPr>
        <w:t>2.7.3防雷</w:t>
      </w:r>
      <w:bookmarkEnd w:id="587"/>
      <w:bookmarkEnd w:id="588"/>
      <w:bookmarkEnd w:id="589"/>
      <w:bookmarkEnd w:id="590"/>
      <w:bookmarkEnd w:id="591"/>
      <w:bookmarkEnd w:id="592"/>
      <w:bookmarkEnd w:id="593"/>
      <w:bookmarkEnd w:id="594"/>
      <w:bookmarkEnd w:id="595"/>
      <w:bookmarkEnd w:id="596"/>
    </w:p>
    <w:p>
      <w:pPr>
        <w:spacing w:line="500" w:lineRule="exact"/>
        <w:ind w:firstLine="570"/>
        <w:rPr>
          <w:rFonts w:ascii="宋体" w:hAnsi="宋体"/>
          <w:color w:val="000000"/>
          <w:sz w:val="28"/>
          <w:szCs w:val="28"/>
        </w:rPr>
      </w:pPr>
      <w:r>
        <w:rPr>
          <w:rFonts w:hint="eastAsia" w:ascii="宋体" w:hAnsi="宋体"/>
          <w:color w:val="000000"/>
          <w:sz w:val="28"/>
          <w:szCs w:val="28"/>
          <w:lang w:val="en-US" w:eastAsia="zh-CN"/>
        </w:rPr>
        <w:t>公司</w:t>
      </w:r>
      <w:r>
        <w:rPr>
          <w:rFonts w:hint="eastAsia" w:ascii="宋体" w:hAnsi="宋体"/>
          <w:color w:val="000000"/>
          <w:sz w:val="28"/>
          <w:szCs w:val="28"/>
        </w:rPr>
        <w:t>的防雷防静电按</w:t>
      </w:r>
      <w:r>
        <w:rPr>
          <w:rFonts w:ascii="宋体" w:hAnsi="宋体"/>
          <w:color w:val="000000"/>
          <w:sz w:val="28"/>
          <w:szCs w:val="28"/>
        </w:rPr>
        <w:t>《建筑物防雷设计规范》</w:t>
      </w:r>
      <w:r>
        <w:rPr>
          <w:rFonts w:hint="eastAsia" w:ascii="宋体" w:hAnsi="宋体"/>
          <w:color w:val="000000"/>
          <w:sz w:val="28"/>
          <w:szCs w:val="28"/>
        </w:rPr>
        <w:t>，在</w:t>
      </w:r>
      <w:r>
        <w:rPr>
          <w:rFonts w:hint="eastAsia" w:ascii="宋体" w:hAnsi="宋体"/>
          <w:color w:val="000000"/>
          <w:sz w:val="28"/>
          <w:szCs w:val="28"/>
          <w:lang w:val="en-US" w:eastAsia="zh-CN"/>
        </w:rPr>
        <w:t>办公室</w:t>
      </w:r>
      <w:r>
        <w:rPr>
          <w:rFonts w:hint="eastAsia" w:ascii="宋体" w:hAnsi="宋体"/>
          <w:color w:val="000000"/>
          <w:sz w:val="28"/>
          <w:szCs w:val="28"/>
        </w:rPr>
        <w:t>和</w:t>
      </w:r>
      <w:r>
        <w:rPr>
          <w:rFonts w:hint="eastAsia" w:ascii="宋体" w:hAnsi="宋体"/>
          <w:color w:val="000000"/>
          <w:sz w:val="28"/>
          <w:szCs w:val="28"/>
          <w:lang w:val="en-US" w:eastAsia="zh-CN"/>
        </w:rPr>
        <w:t>罩棚</w:t>
      </w:r>
      <w:r>
        <w:rPr>
          <w:rFonts w:hint="eastAsia" w:ascii="宋体" w:hAnsi="宋体"/>
          <w:color w:val="000000"/>
          <w:sz w:val="28"/>
          <w:szCs w:val="28"/>
        </w:rPr>
        <w:t>顶敷设避雷网。</w:t>
      </w:r>
    </w:p>
    <w:p>
      <w:pPr>
        <w:spacing w:line="500" w:lineRule="exact"/>
        <w:ind w:firstLine="570"/>
        <w:rPr>
          <w:rFonts w:ascii="宋体" w:hAnsi="宋体"/>
          <w:color w:val="000000"/>
          <w:sz w:val="28"/>
          <w:szCs w:val="28"/>
        </w:rPr>
      </w:pPr>
      <w:r>
        <w:rPr>
          <w:rFonts w:hint="eastAsia" w:ascii="宋体" w:hAnsi="宋体"/>
          <w:color w:val="000000"/>
          <w:sz w:val="28"/>
          <w:szCs w:val="28"/>
        </w:rPr>
        <w:t>电源引入各配电箱时PE线均应作重复接地，所有电气设备金属外壳，穿线金属钢管等均需与PE线可靠连接重复接地装置与防静电接地装置等共用，接地电阻小于4欧姆。</w:t>
      </w:r>
    </w:p>
    <w:p>
      <w:pPr>
        <w:spacing w:line="500" w:lineRule="exact"/>
        <w:ind w:firstLine="570"/>
        <w:rPr>
          <w:rFonts w:ascii="宋体" w:hAnsi="宋体"/>
          <w:color w:val="000000"/>
          <w:sz w:val="28"/>
          <w:szCs w:val="28"/>
        </w:rPr>
      </w:pPr>
      <w:r>
        <w:rPr>
          <w:rFonts w:hint="eastAsia" w:ascii="宋体" w:hAnsi="宋体"/>
          <w:color w:val="000000"/>
          <w:sz w:val="28"/>
          <w:szCs w:val="28"/>
        </w:rPr>
        <w:t>屋面避雷带通过构造柱内的钢筋与做为接地极的基础钢筋焊接；凡伸出屋面的金属构件均与接地网焊接；避雷网内的各连接点均采用焊接，使整个防雷网形成良好的电气回路。</w:t>
      </w:r>
    </w:p>
    <w:p>
      <w:pPr>
        <w:spacing w:line="500" w:lineRule="exact"/>
        <w:ind w:firstLine="560" w:firstLineChars="200"/>
        <w:rPr>
          <w:snapToGrid w:val="0"/>
          <w:color w:val="000000" w:themeColor="text1"/>
          <w:kern w:val="0"/>
          <w:sz w:val="28"/>
          <w:szCs w:val="28"/>
        </w:rPr>
      </w:pPr>
      <w:r>
        <w:rPr>
          <w:rFonts w:hint="eastAsia" w:ascii="宋体" w:hAnsi="宋体"/>
          <w:color w:val="000000"/>
          <w:sz w:val="28"/>
          <w:szCs w:val="28"/>
          <w:lang w:val="en-US" w:eastAsia="zh-CN"/>
        </w:rPr>
        <w:t>公司内</w:t>
      </w:r>
      <w:r>
        <w:rPr>
          <w:rFonts w:hint="eastAsia" w:ascii="宋体" w:hAnsi="宋体"/>
          <w:color w:val="000000"/>
          <w:sz w:val="28"/>
          <w:szCs w:val="28"/>
        </w:rPr>
        <w:t>所有电器设备、金属管道支架、电缆保护套管以及金属部分等均有可靠接地。输油管道的法兰两端用金属铜片进行跨接。卸油台设置静电接地栓、静电夹</w:t>
      </w:r>
      <w:r>
        <w:rPr>
          <w:rFonts w:hint="eastAsia" w:ascii="宋体" w:hAnsi="宋体" w:eastAsia="宋体" w:cs="Times New Roman"/>
          <w:color w:val="000000"/>
          <w:sz w:val="28"/>
          <w:szCs w:val="28"/>
          <w:lang w:val="en-US" w:eastAsia="zh-CN"/>
        </w:rPr>
        <w:t>。2025年</w:t>
      </w:r>
      <w:r>
        <w:rPr>
          <w:rFonts w:hint="eastAsia" w:ascii="宋体" w:hAnsi="宋体" w:cs="Times New Roman"/>
          <w:color w:val="000000"/>
          <w:sz w:val="28"/>
          <w:szCs w:val="28"/>
          <w:lang w:val="en-US" w:eastAsia="zh-CN"/>
        </w:rPr>
        <w:t>3</w:t>
      </w:r>
      <w:r>
        <w:rPr>
          <w:rFonts w:hint="eastAsia" w:ascii="宋体" w:hAnsi="宋体" w:eastAsia="宋体" w:cs="Times New Roman"/>
          <w:color w:val="000000"/>
          <w:sz w:val="28"/>
          <w:szCs w:val="28"/>
          <w:lang w:val="en-US" w:eastAsia="zh-CN"/>
        </w:rPr>
        <w:t>月</w:t>
      </w:r>
      <w:r>
        <w:rPr>
          <w:rFonts w:hint="eastAsia" w:ascii="宋体" w:hAnsi="宋体" w:cs="Times New Roman"/>
          <w:color w:val="000000"/>
          <w:sz w:val="28"/>
          <w:szCs w:val="28"/>
          <w:lang w:val="en-US" w:eastAsia="zh-CN"/>
        </w:rPr>
        <w:t>1</w:t>
      </w:r>
      <w:r>
        <w:rPr>
          <w:rFonts w:hint="eastAsia" w:ascii="宋体" w:hAnsi="宋体" w:eastAsia="宋体" w:cs="Times New Roman"/>
          <w:color w:val="000000"/>
          <w:sz w:val="28"/>
          <w:szCs w:val="28"/>
          <w:lang w:val="en-US" w:eastAsia="zh-CN"/>
        </w:rPr>
        <w:t>日</w:t>
      </w:r>
      <w:r>
        <w:rPr>
          <w:rFonts w:hint="eastAsia" w:ascii="宋体" w:hAnsi="宋体" w:cs="Times New Roman"/>
          <w:color w:val="000000"/>
          <w:sz w:val="28"/>
          <w:szCs w:val="28"/>
          <w:lang w:val="en-US" w:eastAsia="zh-CN"/>
        </w:rPr>
        <w:t>云南省气象灾害防御技术中心</w:t>
      </w:r>
      <w:r>
        <w:rPr>
          <w:rFonts w:hint="eastAsia" w:ascii="宋体" w:hAnsi="宋体"/>
          <w:color w:val="000000"/>
          <w:sz w:val="28"/>
          <w:szCs w:val="28"/>
        </w:rPr>
        <w:t>对</w:t>
      </w:r>
      <w:r>
        <w:rPr>
          <w:rFonts w:hint="eastAsia" w:ascii="宋体" w:hAnsi="宋体"/>
          <w:color w:val="000000"/>
          <w:sz w:val="28"/>
          <w:szCs w:val="28"/>
          <w:lang w:val="en-US" w:eastAsia="zh-CN"/>
        </w:rPr>
        <w:t>耀晨公司</w:t>
      </w:r>
      <w:r>
        <w:rPr>
          <w:rFonts w:hint="eastAsia" w:ascii="宋体" w:hAnsi="宋体"/>
          <w:color w:val="000000"/>
          <w:sz w:val="28"/>
          <w:szCs w:val="28"/>
        </w:rPr>
        <w:t>的防雷防静电设施进行检测，并出据防雷防静电检测报告，检测报告有效</w:t>
      </w:r>
      <w:r>
        <w:rPr>
          <w:rFonts w:hint="eastAsia" w:ascii="宋体" w:hAnsi="宋体" w:eastAsia="宋体" w:cs="Times New Roman"/>
          <w:color w:val="000000"/>
          <w:sz w:val="28"/>
          <w:szCs w:val="28"/>
        </w:rPr>
        <w:t>期至202</w:t>
      </w:r>
      <w:r>
        <w:rPr>
          <w:rFonts w:hint="eastAsia" w:ascii="宋体" w:hAnsi="宋体" w:eastAsia="宋体" w:cs="Times New Roman"/>
          <w:color w:val="000000"/>
          <w:sz w:val="28"/>
          <w:szCs w:val="28"/>
          <w:lang w:val="en-US" w:eastAsia="zh-CN"/>
        </w:rPr>
        <w:t>5</w:t>
      </w:r>
      <w:r>
        <w:rPr>
          <w:rFonts w:hint="eastAsia" w:ascii="宋体" w:hAnsi="宋体" w:eastAsia="宋体" w:cs="Times New Roman"/>
          <w:color w:val="000000"/>
          <w:sz w:val="28"/>
          <w:szCs w:val="28"/>
        </w:rPr>
        <w:t>年</w:t>
      </w:r>
      <w:r>
        <w:rPr>
          <w:rFonts w:hint="eastAsia" w:ascii="宋体" w:hAnsi="宋体" w:cs="Times New Roman"/>
          <w:color w:val="000000"/>
          <w:sz w:val="28"/>
          <w:szCs w:val="28"/>
          <w:lang w:val="en-US" w:eastAsia="zh-CN"/>
        </w:rPr>
        <w:t>9</w:t>
      </w:r>
      <w:r>
        <w:rPr>
          <w:rFonts w:hint="eastAsia" w:ascii="宋体" w:hAnsi="宋体" w:eastAsia="宋体" w:cs="Times New Roman"/>
          <w:color w:val="000000"/>
          <w:sz w:val="28"/>
          <w:szCs w:val="28"/>
        </w:rPr>
        <w:t>月</w:t>
      </w:r>
      <w:r>
        <w:rPr>
          <w:rFonts w:hint="eastAsia" w:ascii="宋体" w:hAnsi="宋体" w:cs="Times New Roman"/>
          <w:color w:val="000000"/>
          <w:sz w:val="28"/>
          <w:szCs w:val="28"/>
          <w:lang w:val="en-US" w:eastAsia="zh-CN"/>
        </w:rPr>
        <w:t>1</w:t>
      </w:r>
      <w:r>
        <w:rPr>
          <w:rFonts w:hint="eastAsia" w:ascii="宋体" w:hAnsi="宋体"/>
          <w:color w:val="000000"/>
          <w:sz w:val="28"/>
          <w:szCs w:val="28"/>
        </w:rPr>
        <w:t>日</w:t>
      </w:r>
      <w:r>
        <w:rPr>
          <w:rFonts w:hint="eastAsia" w:ascii="宋体" w:hAnsi="宋体"/>
          <w:color w:val="000000"/>
          <w:sz w:val="28"/>
          <w:szCs w:val="28"/>
          <w:lang w:val="en-US" w:eastAsia="zh-CN"/>
        </w:rPr>
        <w:t>前</w:t>
      </w:r>
      <w:r>
        <w:rPr>
          <w:rFonts w:hint="eastAsia"/>
          <w:snapToGrid w:val="0"/>
          <w:color w:val="000000" w:themeColor="text1"/>
          <w:kern w:val="0"/>
          <w:sz w:val="28"/>
          <w:szCs w:val="28"/>
        </w:rPr>
        <w:t>，</w:t>
      </w:r>
      <w:r>
        <w:rPr>
          <w:snapToGrid w:val="0"/>
          <w:color w:val="000000" w:themeColor="text1"/>
          <w:kern w:val="0"/>
          <w:sz w:val="28"/>
          <w:szCs w:val="28"/>
        </w:rPr>
        <w:t>防雷检测报告详见本报告附件。</w:t>
      </w:r>
    </w:p>
    <w:p>
      <w:pPr>
        <w:pStyle w:val="19"/>
        <w:spacing w:afterLines="100" w:line="500" w:lineRule="exact"/>
        <w:rPr>
          <w:rFonts w:ascii="黑体" w:hAnsi="宋体" w:eastAsia="黑体"/>
          <w:color w:val="000000" w:themeColor="text1"/>
          <w:kern w:val="3"/>
          <w:sz w:val="28"/>
          <w:szCs w:val="28"/>
        </w:rPr>
      </w:pPr>
      <w:bookmarkStart w:id="597" w:name="_Toc22358"/>
      <w:bookmarkStart w:id="598" w:name="_Toc487"/>
      <w:bookmarkStart w:id="599" w:name="_Toc25042"/>
      <w:bookmarkStart w:id="600" w:name="_Toc3303"/>
      <w:bookmarkStart w:id="601" w:name="_Toc17178"/>
      <w:bookmarkStart w:id="602" w:name="_Toc21664"/>
      <w:bookmarkStart w:id="603" w:name="_Toc26389"/>
      <w:bookmarkStart w:id="604" w:name="_Toc16977"/>
      <w:bookmarkStart w:id="605" w:name="_Toc6715"/>
      <w:bookmarkStart w:id="606" w:name="_Toc16087"/>
      <w:r>
        <w:rPr>
          <w:rFonts w:hint="eastAsia" w:ascii="黑体" w:hAnsi="宋体" w:eastAsia="黑体"/>
          <w:color w:val="000000" w:themeColor="text1"/>
          <w:kern w:val="3"/>
          <w:sz w:val="28"/>
          <w:szCs w:val="28"/>
        </w:rPr>
        <w:t>2.7.4防静电</w:t>
      </w:r>
      <w:bookmarkEnd w:id="597"/>
      <w:bookmarkEnd w:id="598"/>
      <w:bookmarkEnd w:id="599"/>
      <w:bookmarkEnd w:id="600"/>
      <w:bookmarkEnd w:id="601"/>
      <w:bookmarkEnd w:id="602"/>
      <w:bookmarkEnd w:id="603"/>
      <w:bookmarkEnd w:id="604"/>
      <w:bookmarkEnd w:id="605"/>
      <w:bookmarkEnd w:id="606"/>
    </w:p>
    <w:p>
      <w:pPr>
        <w:spacing w:line="500" w:lineRule="exact"/>
        <w:ind w:firstLine="560" w:firstLineChars="200"/>
        <w:rPr>
          <w:color w:val="000000" w:themeColor="text1"/>
        </w:rPr>
      </w:pPr>
      <w:r>
        <w:rPr>
          <w:snapToGrid w:val="0"/>
          <w:color w:val="000000" w:themeColor="text1"/>
          <w:kern w:val="0"/>
          <w:sz w:val="28"/>
          <w:szCs w:val="28"/>
        </w:rPr>
        <w:t>该项目在罐区内设置装卸车静电夹</w:t>
      </w:r>
      <w:r>
        <w:rPr>
          <w:rFonts w:hint="eastAsia"/>
          <w:snapToGrid w:val="0"/>
          <w:color w:val="000000" w:themeColor="text1"/>
          <w:kern w:val="0"/>
          <w:sz w:val="28"/>
          <w:szCs w:val="28"/>
          <w:lang w:val="en-US" w:eastAsia="zh-CN"/>
        </w:rPr>
        <w:t>及</w:t>
      </w:r>
      <w:r>
        <w:rPr>
          <w:snapToGrid w:val="0"/>
          <w:color w:val="000000" w:themeColor="text1"/>
          <w:kern w:val="0"/>
          <w:sz w:val="28"/>
          <w:szCs w:val="28"/>
        </w:rPr>
        <w:t>人体静电释放装置。</w:t>
      </w:r>
    </w:p>
    <w:p>
      <w:pPr>
        <w:pStyle w:val="19"/>
        <w:spacing w:afterLines="100" w:line="500" w:lineRule="exact"/>
        <w:rPr>
          <w:rFonts w:ascii="黑体" w:hAnsi="宋体" w:eastAsia="黑体"/>
          <w:color w:val="000000" w:themeColor="text1"/>
          <w:kern w:val="3"/>
          <w:sz w:val="28"/>
          <w:szCs w:val="28"/>
        </w:rPr>
      </w:pPr>
      <w:bookmarkStart w:id="607" w:name="_Toc20049"/>
      <w:bookmarkStart w:id="608" w:name="_Toc2234"/>
      <w:bookmarkStart w:id="609" w:name="_Toc14497"/>
      <w:bookmarkStart w:id="610" w:name="_Toc4935"/>
      <w:bookmarkStart w:id="611" w:name="_Toc30094"/>
      <w:bookmarkStart w:id="612" w:name="_Toc23593"/>
      <w:bookmarkStart w:id="613" w:name="_Toc32339"/>
      <w:bookmarkStart w:id="614" w:name="_Toc398"/>
      <w:bookmarkStart w:id="615" w:name="_Toc389"/>
      <w:bookmarkStart w:id="616" w:name="_Toc26508"/>
      <w:bookmarkStart w:id="617" w:name="_Toc7453"/>
      <w:bookmarkStart w:id="618" w:name="_Toc11327"/>
      <w:bookmarkStart w:id="619" w:name="_Toc15464"/>
      <w:bookmarkStart w:id="620" w:name="_Toc31083"/>
      <w:r>
        <w:rPr>
          <w:rFonts w:hint="eastAsia" w:ascii="黑体" w:hAnsi="宋体" w:eastAsia="黑体"/>
          <w:color w:val="000000" w:themeColor="text1"/>
          <w:kern w:val="3"/>
          <w:sz w:val="28"/>
          <w:szCs w:val="28"/>
        </w:rPr>
        <w:t>2.7.5消防设施及安全警示标识</w:t>
      </w:r>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p>
    <w:p>
      <w:pPr>
        <w:spacing w:line="500" w:lineRule="exact"/>
        <w:ind w:firstLine="560" w:firstLineChars="200"/>
        <w:rPr>
          <w:snapToGrid w:val="0"/>
          <w:color w:val="000000" w:themeColor="text1"/>
          <w:kern w:val="0"/>
          <w:sz w:val="28"/>
          <w:szCs w:val="28"/>
        </w:rPr>
      </w:pPr>
      <w:r>
        <w:rPr>
          <w:snapToGrid w:val="0"/>
          <w:color w:val="000000" w:themeColor="text1"/>
          <w:kern w:val="0"/>
          <w:sz w:val="28"/>
          <w:szCs w:val="28"/>
        </w:rPr>
        <w:t>1</w:t>
      </w:r>
      <w:r>
        <w:rPr>
          <w:rFonts w:hint="eastAsia"/>
          <w:snapToGrid w:val="0"/>
          <w:color w:val="000000" w:themeColor="text1"/>
          <w:kern w:val="0"/>
          <w:sz w:val="28"/>
          <w:szCs w:val="28"/>
        </w:rPr>
        <w:t>.</w:t>
      </w:r>
      <w:r>
        <w:rPr>
          <w:snapToGrid w:val="0"/>
          <w:color w:val="000000" w:themeColor="text1"/>
          <w:kern w:val="0"/>
          <w:sz w:val="28"/>
          <w:szCs w:val="28"/>
        </w:rPr>
        <w:t>消防设施</w:t>
      </w:r>
    </w:p>
    <w:p>
      <w:pPr>
        <w:spacing w:line="500" w:lineRule="exact"/>
        <w:ind w:firstLine="560" w:firstLineChars="200"/>
        <w:rPr>
          <w:rFonts w:eastAsiaTheme="minorEastAsia"/>
          <w:snapToGrid w:val="0"/>
          <w:color w:val="000000" w:themeColor="text1"/>
          <w:kern w:val="0"/>
          <w:sz w:val="28"/>
          <w:szCs w:val="28"/>
        </w:rPr>
      </w:pPr>
      <w:r>
        <w:rPr>
          <w:rFonts w:eastAsiaTheme="minorEastAsia"/>
          <w:snapToGrid w:val="0"/>
          <w:color w:val="000000" w:themeColor="text1"/>
          <w:kern w:val="0"/>
          <w:sz w:val="28"/>
          <w:szCs w:val="28"/>
        </w:rPr>
        <w:t>该项目区域设置的消防设施情况列入下表：</w:t>
      </w:r>
    </w:p>
    <w:p>
      <w:pPr>
        <w:jc w:val="center"/>
        <w:rPr>
          <w:color w:val="000000" w:themeColor="text1"/>
          <w:sz w:val="24"/>
        </w:rPr>
      </w:pPr>
      <w:r>
        <w:rPr>
          <w:color w:val="000000" w:themeColor="text1"/>
          <w:sz w:val="24"/>
        </w:rPr>
        <w:t>表2-5 主要消防器材、设施及安全标识配备表</w:t>
      </w:r>
    </w:p>
    <w:tbl>
      <w:tblPr>
        <w:tblStyle w:val="52"/>
        <w:tblW w:w="84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508"/>
        <w:gridCol w:w="1700"/>
        <w:gridCol w:w="760"/>
        <w:gridCol w:w="920"/>
        <w:gridCol w:w="26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2508" w:type="dxa"/>
            <w:noWrap/>
            <w:vAlign w:val="center"/>
          </w:tcPr>
          <w:p>
            <w:pPr>
              <w:spacing w:line="500" w:lineRule="exact"/>
              <w:jc w:val="center"/>
              <w:rPr>
                <w:rFonts w:ascii="宋体" w:hAnsi="宋体" w:cs="仿宋"/>
                <w:color w:val="000000" w:themeColor="text1"/>
                <w:kern w:val="3"/>
              </w:rPr>
            </w:pPr>
            <w:r>
              <w:rPr>
                <w:rFonts w:hint="eastAsia" w:ascii="宋体" w:hAnsi="宋体" w:cs="仿宋"/>
                <w:color w:val="000000" w:themeColor="text1"/>
                <w:kern w:val="3"/>
              </w:rPr>
              <w:t>名称</w:t>
            </w:r>
          </w:p>
        </w:tc>
        <w:tc>
          <w:tcPr>
            <w:tcW w:w="1700" w:type="dxa"/>
            <w:noWrap/>
            <w:vAlign w:val="center"/>
          </w:tcPr>
          <w:p>
            <w:pPr>
              <w:spacing w:line="500" w:lineRule="exact"/>
              <w:jc w:val="center"/>
              <w:rPr>
                <w:rFonts w:ascii="宋体" w:hAnsi="宋体" w:cs="仿宋"/>
                <w:color w:val="000000" w:themeColor="text1"/>
                <w:kern w:val="3"/>
              </w:rPr>
            </w:pPr>
            <w:r>
              <w:rPr>
                <w:rFonts w:hint="eastAsia" w:ascii="宋体" w:hAnsi="宋体" w:cs="仿宋"/>
                <w:color w:val="000000" w:themeColor="text1"/>
                <w:kern w:val="3"/>
              </w:rPr>
              <w:t>型号、规格</w:t>
            </w:r>
          </w:p>
        </w:tc>
        <w:tc>
          <w:tcPr>
            <w:tcW w:w="760" w:type="dxa"/>
            <w:noWrap/>
            <w:vAlign w:val="center"/>
          </w:tcPr>
          <w:p>
            <w:pPr>
              <w:spacing w:line="500" w:lineRule="exact"/>
              <w:jc w:val="center"/>
              <w:rPr>
                <w:rFonts w:ascii="宋体" w:hAnsi="宋体" w:cs="仿宋"/>
                <w:color w:val="000000" w:themeColor="text1"/>
                <w:kern w:val="3"/>
              </w:rPr>
            </w:pPr>
            <w:r>
              <w:rPr>
                <w:rFonts w:hint="eastAsia" w:ascii="宋体" w:hAnsi="宋体" w:cs="仿宋"/>
                <w:color w:val="000000" w:themeColor="text1"/>
                <w:kern w:val="3"/>
              </w:rPr>
              <w:t>数量</w:t>
            </w:r>
          </w:p>
        </w:tc>
        <w:tc>
          <w:tcPr>
            <w:tcW w:w="920" w:type="dxa"/>
            <w:noWrap/>
            <w:vAlign w:val="center"/>
          </w:tcPr>
          <w:p>
            <w:pPr>
              <w:spacing w:line="500" w:lineRule="exact"/>
              <w:jc w:val="center"/>
              <w:rPr>
                <w:rFonts w:ascii="宋体" w:hAnsi="宋体" w:cs="仿宋"/>
                <w:color w:val="000000" w:themeColor="text1"/>
                <w:kern w:val="3"/>
              </w:rPr>
            </w:pPr>
            <w:r>
              <w:rPr>
                <w:rFonts w:hint="eastAsia" w:ascii="宋体" w:hAnsi="宋体" w:cs="仿宋"/>
                <w:color w:val="000000" w:themeColor="text1"/>
                <w:kern w:val="3"/>
              </w:rPr>
              <w:t>状况</w:t>
            </w:r>
          </w:p>
        </w:tc>
        <w:tc>
          <w:tcPr>
            <w:tcW w:w="2606" w:type="dxa"/>
            <w:noWrap/>
            <w:vAlign w:val="center"/>
          </w:tcPr>
          <w:p>
            <w:pPr>
              <w:spacing w:line="500" w:lineRule="exact"/>
              <w:jc w:val="center"/>
              <w:rPr>
                <w:rFonts w:ascii="宋体" w:hAnsi="宋体" w:cs="仿宋"/>
                <w:color w:val="000000" w:themeColor="text1"/>
                <w:kern w:val="3"/>
              </w:rPr>
            </w:pPr>
            <w:r>
              <w:rPr>
                <w:rFonts w:hint="eastAsia" w:ascii="宋体" w:hAnsi="宋体" w:cs="仿宋"/>
                <w:color w:val="000000" w:themeColor="text1"/>
                <w:kern w:val="3"/>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2508" w:type="dxa"/>
            <w:noWrap/>
            <w:vAlign w:val="center"/>
          </w:tcPr>
          <w:p>
            <w:pPr>
              <w:autoSpaceDE w:val="0"/>
              <w:autoSpaceDN w:val="0"/>
              <w:jc w:val="center"/>
              <w:rPr>
                <w:rFonts w:ascii="宋体" w:hAnsi="宋体" w:cs="宋体"/>
                <w:color w:val="000000" w:themeColor="text1"/>
                <w:kern w:val="0"/>
                <w:szCs w:val="21"/>
              </w:rPr>
            </w:pPr>
            <w:r>
              <w:rPr>
                <w:rFonts w:hint="eastAsia" w:ascii="宋体" w:hAnsi="宋体" w:cs="宋体"/>
                <w:color w:val="000000" w:themeColor="text1"/>
                <w:kern w:val="0"/>
                <w:szCs w:val="21"/>
              </w:rPr>
              <w:t>干粉灭火器</w:t>
            </w:r>
          </w:p>
        </w:tc>
        <w:tc>
          <w:tcPr>
            <w:tcW w:w="1700" w:type="dxa"/>
            <w:noWrap/>
            <w:vAlign w:val="center"/>
          </w:tcPr>
          <w:p>
            <w:pPr>
              <w:autoSpaceDE w:val="0"/>
              <w:autoSpaceDN w:val="0"/>
              <w:jc w:val="center"/>
              <w:rPr>
                <w:rFonts w:ascii="宋体" w:hAnsi="宋体" w:cs="宋体"/>
                <w:color w:val="000000" w:themeColor="text1"/>
                <w:kern w:val="0"/>
                <w:szCs w:val="21"/>
              </w:rPr>
            </w:pPr>
            <w:r>
              <w:rPr>
                <w:rFonts w:ascii="宋体" w:hAnsi="宋体" w:cs="宋体"/>
                <w:color w:val="000000" w:themeColor="text1"/>
                <w:kern w:val="0"/>
                <w:szCs w:val="21"/>
              </w:rPr>
              <w:t>MFZL-4</w:t>
            </w:r>
          </w:p>
        </w:tc>
        <w:tc>
          <w:tcPr>
            <w:tcW w:w="760" w:type="dxa"/>
            <w:noWrap/>
            <w:vAlign w:val="center"/>
          </w:tcPr>
          <w:p>
            <w:pPr>
              <w:autoSpaceDE w:val="0"/>
              <w:autoSpaceDN w:val="0"/>
              <w:jc w:val="center"/>
              <w:rPr>
                <w:rFonts w:ascii="宋体" w:hAnsi="宋体" w:cs="宋体"/>
                <w:color w:val="000000" w:themeColor="text1"/>
                <w:kern w:val="0"/>
                <w:szCs w:val="21"/>
              </w:rPr>
            </w:pPr>
            <w:r>
              <w:rPr>
                <w:rFonts w:hint="eastAsia" w:ascii="宋体" w:hAnsi="宋体" w:cs="宋体"/>
                <w:color w:val="000000" w:themeColor="text1"/>
                <w:kern w:val="0"/>
                <w:szCs w:val="21"/>
                <w:lang w:val="en-US" w:eastAsia="zh-CN"/>
              </w:rPr>
              <w:t>8</w:t>
            </w:r>
            <w:r>
              <w:rPr>
                <w:rFonts w:hint="eastAsia" w:ascii="宋体" w:hAnsi="宋体" w:cs="宋体"/>
                <w:color w:val="000000" w:themeColor="text1"/>
                <w:kern w:val="0"/>
                <w:szCs w:val="21"/>
              </w:rPr>
              <w:t>只</w:t>
            </w:r>
          </w:p>
        </w:tc>
        <w:tc>
          <w:tcPr>
            <w:tcW w:w="920" w:type="dxa"/>
            <w:noWrap/>
            <w:vAlign w:val="center"/>
          </w:tcPr>
          <w:p>
            <w:pPr>
              <w:autoSpaceDE w:val="0"/>
              <w:autoSpaceDN w:val="0"/>
              <w:jc w:val="center"/>
              <w:rPr>
                <w:rFonts w:ascii="宋体" w:hAnsi="宋体" w:cs="宋体"/>
                <w:color w:val="000000" w:themeColor="text1"/>
                <w:kern w:val="0"/>
                <w:szCs w:val="21"/>
              </w:rPr>
            </w:pPr>
            <w:r>
              <w:rPr>
                <w:rFonts w:hint="eastAsia" w:ascii="宋体" w:hAnsi="宋体" w:cs="宋体"/>
                <w:color w:val="000000" w:themeColor="text1"/>
                <w:kern w:val="0"/>
                <w:szCs w:val="21"/>
              </w:rPr>
              <w:t>良好</w:t>
            </w:r>
          </w:p>
        </w:tc>
        <w:tc>
          <w:tcPr>
            <w:tcW w:w="2606" w:type="dxa"/>
            <w:noWrap/>
            <w:vAlign w:val="center"/>
          </w:tcPr>
          <w:p>
            <w:pPr>
              <w:autoSpaceDE w:val="0"/>
              <w:autoSpaceDN w:val="0"/>
              <w:rPr>
                <w:rFonts w:ascii="宋体" w:hAnsi="宋体" w:cs="宋体"/>
                <w:color w:val="000000" w:themeColor="text1"/>
                <w:kern w:val="0"/>
                <w:szCs w:val="21"/>
              </w:rPr>
            </w:pPr>
            <w:r>
              <w:rPr>
                <w:rFonts w:hint="eastAsia" w:ascii="宋体" w:hAnsi="宋体" w:cs="宋体"/>
                <w:color w:val="000000" w:themeColor="text1"/>
                <w:kern w:val="0"/>
                <w:szCs w:val="21"/>
              </w:rPr>
              <w:t>加注机，储罐区、营业室。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2508" w:type="dxa"/>
            <w:noWrap/>
            <w:vAlign w:val="center"/>
          </w:tcPr>
          <w:p>
            <w:pPr>
              <w:autoSpaceDE w:val="0"/>
              <w:autoSpaceDN w:val="0"/>
              <w:jc w:val="center"/>
              <w:rPr>
                <w:rFonts w:hint="eastAsia" w:ascii="宋体" w:hAnsi="宋体" w:eastAsia="宋体" w:cs="宋体"/>
                <w:color w:val="000000" w:themeColor="text1"/>
                <w:kern w:val="0"/>
                <w:sz w:val="21"/>
                <w:szCs w:val="21"/>
                <w:lang w:val="en-US" w:eastAsia="zh-CN" w:bidi="ar-SA"/>
              </w:rPr>
            </w:pPr>
            <w:r>
              <w:rPr>
                <w:rFonts w:hint="eastAsia" w:ascii="宋体" w:hAnsi="宋体" w:cs="宋体"/>
                <w:color w:val="000000" w:themeColor="text1"/>
                <w:kern w:val="0"/>
                <w:szCs w:val="21"/>
              </w:rPr>
              <w:t>干粉灭火器</w:t>
            </w:r>
          </w:p>
        </w:tc>
        <w:tc>
          <w:tcPr>
            <w:tcW w:w="1700" w:type="dxa"/>
            <w:noWrap/>
            <w:vAlign w:val="center"/>
          </w:tcPr>
          <w:p>
            <w:pPr>
              <w:autoSpaceDE w:val="0"/>
              <w:autoSpaceDN w:val="0"/>
              <w:jc w:val="center"/>
              <w:rPr>
                <w:rFonts w:hint="eastAsia" w:ascii="宋体" w:hAnsi="宋体" w:eastAsia="宋体" w:cs="宋体"/>
                <w:color w:val="000000" w:themeColor="text1"/>
                <w:kern w:val="0"/>
                <w:sz w:val="21"/>
                <w:szCs w:val="21"/>
                <w:lang w:val="en-US" w:eastAsia="zh-CN" w:bidi="ar-SA"/>
              </w:rPr>
            </w:pPr>
            <w:r>
              <w:rPr>
                <w:rFonts w:ascii="宋体" w:hAnsi="宋体" w:cs="宋体"/>
                <w:color w:val="000000" w:themeColor="text1"/>
                <w:kern w:val="0"/>
                <w:szCs w:val="21"/>
              </w:rPr>
              <w:t>MFZL-</w:t>
            </w:r>
            <w:r>
              <w:rPr>
                <w:rFonts w:hint="eastAsia" w:ascii="宋体" w:hAnsi="宋体" w:cs="宋体"/>
                <w:color w:val="000000" w:themeColor="text1"/>
                <w:kern w:val="0"/>
                <w:szCs w:val="21"/>
                <w:lang w:val="en-US" w:eastAsia="zh-CN"/>
              </w:rPr>
              <w:t>2</w:t>
            </w:r>
          </w:p>
        </w:tc>
        <w:tc>
          <w:tcPr>
            <w:tcW w:w="760" w:type="dxa"/>
            <w:noWrap/>
            <w:vAlign w:val="center"/>
          </w:tcPr>
          <w:p>
            <w:pPr>
              <w:autoSpaceDE w:val="0"/>
              <w:autoSpaceDN w:val="0"/>
              <w:jc w:val="center"/>
              <w:rPr>
                <w:rFonts w:hint="eastAsia" w:ascii="宋体" w:hAnsi="宋体" w:eastAsia="宋体" w:cs="宋体"/>
                <w:color w:val="000000" w:themeColor="text1"/>
                <w:kern w:val="0"/>
                <w:sz w:val="21"/>
                <w:szCs w:val="21"/>
                <w:lang w:val="en-US" w:eastAsia="zh-CN" w:bidi="ar-SA"/>
              </w:rPr>
            </w:pPr>
            <w:r>
              <w:rPr>
                <w:rFonts w:hint="eastAsia" w:ascii="宋体" w:hAnsi="宋体" w:cs="宋体"/>
                <w:color w:val="000000" w:themeColor="text1"/>
                <w:kern w:val="0"/>
                <w:szCs w:val="21"/>
                <w:lang w:val="en-US" w:eastAsia="zh-CN"/>
              </w:rPr>
              <w:t>2</w:t>
            </w:r>
            <w:r>
              <w:rPr>
                <w:rFonts w:hint="eastAsia" w:ascii="宋体" w:hAnsi="宋体" w:cs="宋体"/>
                <w:color w:val="000000" w:themeColor="text1"/>
                <w:kern w:val="0"/>
                <w:szCs w:val="21"/>
              </w:rPr>
              <w:t>只</w:t>
            </w:r>
          </w:p>
        </w:tc>
        <w:tc>
          <w:tcPr>
            <w:tcW w:w="920" w:type="dxa"/>
            <w:noWrap/>
            <w:vAlign w:val="center"/>
          </w:tcPr>
          <w:p>
            <w:pPr>
              <w:autoSpaceDE w:val="0"/>
              <w:autoSpaceDN w:val="0"/>
              <w:jc w:val="center"/>
              <w:rPr>
                <w:rFonts w:hint="eastAsia" w:ascii="宋体" w:hAnsi="宋体" w:eastAsia="宋体" w:cs="宋体"/>
                <w:color w:val="000000" w:themeColor="text1"/>
                <w:kern w:val="0"/>
                <w:sz w:val="21"/>
                <w:szCs w:val="21"/>
                <w:lang w:val="en-US" w:eastAsia="zh-CN" w:bidi="ar-SA"/>
              </w:rPr>
            </w:pPr>
            <w:r>
              <w:rPr>
                <w:rFonts w:hint="eastAsia" w:ascii="宋体" w:hAnsi="宋体" w:cs="宋体"/>
                <w:color w:val="000000" w:themeColor="text1"/>
                <w:kern w:val="0"/>
                <w:szCs w:val="21"/>
              </w:rPr>
              <w:t>良好</w:t>
            </w:r>
          </w:p>
        </w:tc>
        <w:tc>
          <w:tcPr>
            <w:tcW w:w="2606" w:type="dxa"/>
            <w:noWrap/>
            <w:vAlign w:val="center"/>
          </w:tcPr>
          <w:p>
            <w:pPr>
              <w:autoSpaceDE w:val="0"/>
              <w:autoSpaceDN w:val="0"/>
              <w:rPr>
                <w:rFonts w:hint="eastAsia" w:ascii="宋体" w:hAnsi="宋体" w:eastAsia="宋体" w:cs="宋体"/>
                <w:color w:val="000000" w:themeColor="text1"/>
                <w:kern w:val="0"/>
                <w:sz w:val="21"/>
                <w:szCs w:val="21"/>
                <w:lang w:val="en-US" w:eastAsia="zh-CN" w:bidi="ar-SA"/>
              </w:rPr>
            </w:pPr>
            <w:r>
              <w:rPr>
                <w:rFonts w:hint="eastAsia" w:ascii="宋体" w:hAnsi="宋体" w:cs="宋体"/>
                <w:color w:val="000000" w:themeColor="text1"/>
                <w:kern w:val="0"/>
                <w:szCs w:val="21"/>
              </w:rPr>
              <w:t>营业室2只。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2508" w:type="dxa"/>
            <w:noWrap/>
            <w:vAlign w:val="center"/>
          </w:tcPr>
          <w:p>
            <w:pPr>
              <w:autoSpaceDE w:val="0"/>
              <w:autoSpaceDN w:val="0"/>
              <w:jc w:val="center"/>
              <w:rPr>
                <w:rFonts w:ascii="宋体" w:hAnsi="宋体" w:cs="宋体"/>
                <w:color w:val="000000" w:themeColor="text1"/>
                <w:kern w:val="0"/>
                <w:szCs w:val="21"/>
              </w:rPr>
            </w:pPr>
            <w:r>
              <w:rPr>
                <w:rFonts w:hint="eastAsia" w:ascii="宋体" w:hAnsi="宋体" w:cs="宋体"/>
                <w:color w:val="000000" w:themeColor="text1"/>
                <w:kern w:val="0"/>
                <w:szCs w:val="21"/>
              </w:rPr>
              <w:t>推车式干粉灭火器</w:t>
            </w:r>
          </w:p>
        </w:tc>
        <w:tc>
          <w:tcPr>
            <w:tcW w:w="1700" w:type="dxa"/>
            <w:noWrap/>
            <w:vAlign w:val="center"/>
          </w:tcPr>
          <w:p>
            <w:pPr>
              <w:autoSpaceDE w:val="0"/>
              <w:autoSpaceDN w:val="0"/>
              <w:jc w:val="center"/>
              <w:rPr>
                <w:rFonts w:ascii="宋体" w:hAnsi="宋体" w:cs="宋体"/>
                <w:color w:val="000000" w:themeColor="text1"/>
                <w:kern w:val="0"/>
                <w:szCs w:val="21"/>
              </w:rPr>
            </w:pPr>
            <w:r>
              <w:rPr>
                <w:rFonts w:ascii="宋体" w:hAnsi="宋体" w:cs="宋体"/>
                <w:color w:val="000000" w:themeColor="text1"/>
                <w:kern w:val="0"/>
                <w:szCs w:val="21"/>
              </w:rPr>
              <w:t>MF</w:t>
            </w:r>
            <w:r>
              <w:rPr>
                <w:rFonts w:hint="eastAsia" w:ascii="宋体" w:hAnsi="宋体" w:cs="宋体"/>
                <w:color w:val="000000" w:themeColor="text1"/>
                <w:kern w:val="0"/>
                <w:szCs w:val="21"/>
              </w:rPr>
              <w:t>TL</w:t>
            </w:r>
            <w:r>
              <w:rPr>
                <w:rFonts w:ascii="宋体" w:hAnsi="宋体" w:cs="宋体"/>
                <w:color w:val="000000" w:themeColor="text1"/>
                <w:kern w:val="0"/>
                <w:szCs w:val="21"/>
              </w:rPr>
              <w:t xml:space="preserve"> 3</w:t>
            </w:r>
            <w:r>
              <w:rPr>
                <w:rFonts w:hint="eastAsia" w:ascii="宋体" w:hAnsi="宋体" w:cs="宋体"/>
                <w:color w:val="000000" w:themeColor="text1"/>
                <w:kern w:val="0"/>
                <w:szCs w:val="21"/>
              </w:rPr>
              <w:t>5kg</w:t>
            </w:r>
          </w:p>
        </w:tc>
        <w:tc>
          <w:tcPr>
            <w:tcW w:w="760" w:type="dxa"/>
            <w:noWrap/>
            <w:vAlign w:val="center"/>
          </w:tcPr>
          <w:p>
            <w:pPr>
              <w:autoSpaceDE w:val="0"/>
              <w:autoSpaceDN w:val="0"/>
              <w:jc w:val="center"/>
              <w:rPr>
                <w:rFonts w:ascii="宋体" w:hAnsi="宋体" w:cs="宋体"/>
                <w:color w:val="000000" w:themeColor="text1"/>
                <w:kern w:val="0"/>
                <w:szCs w:val="21"/>
              </w:rPr>
            </w:pPr>
            <w:r>
              <w:rPr>
                <w:rFonts w:hint="eastAsia" w:ascii="宋体" w:hAnsi="宋体" w:cs="宋体"/>
                <w:color w:val="000000" w:themeColor="text1"/>
                <w:kern w:val="0"/>
                <w:szCs w:val="21"/>
              </w:rPr>
              <w:t>1个</w:t>
            </w:r>
          </w:p>
        </w:tc>
        <w:tc>
          <w:tcPr>
            <w:tcW w:w="920" w:type="dxa"/>
            <w:noWrap/>
            <w:vAlign w:val="center"/>
          </w:tcPr>
          <w:p>
            <w:pPr>
              <w:autoSpaceDE w:val="0"/>
              <w:autoSpaceDN w:val="0"/>
              <w:jc w:val="center"/>
              <w:rPr>
                <w:rFonts w:ascii="宋体" w:hAnsi="宋体" w:cs="宋体"/>
                <w:color w:val="000000" w:themeColor="text1"/>
                <w:kern w:val="0"/>
                <w:szCs w:val="21"/>
              </w:rPr>
            </w:pPr>
            <w:r>
              <w:rPr>
                <w:rFonts w:hint="eastAsia" w:ascii="宋体" w:hAnsi="宋体" w:cs="宋体"/>
                <w:color w:val="000000" w:themeColor="text1"/>
                <w:kern w:val="0"/>
                <w:szCs w:val="21"/>
              </w:rPr>
              <w:t>良好</w:t>
            </w:r>
          </w:p>
        </w:tc>
        <w:tc>
          <w:tcPr>
            <w:tcW w:w="2606" w:type="dxa"/>
            <w:noWrap/>
          </w:tcPr>
          <w:p>
            <w:pPr>
              <w:rPr>
                <w:rFonts w:ascii="宋体" w:hAnsi="宋体"/>
                <w:color w:val="000000" w:themeColor="text1"/>
              </w:rPr>
            </w:pPr>
            <w:r>
              <w:rPr>
                <w:rFonts w:hint="eastAsia" w:ascii="宋体" w:hAnsi="宋体" w:cs="宋体"/>
                <w:color w:val="000000" w:themeColor="text1"/>
                <w:kern w:val="0"/>
                <w:szCs w:val="21"/>
              </w:rPr>
              <w:t>储罐区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2508" w:type="dxa"/>
            <w:noWrap/>
            <w:vAlign w:val="center"/>
          </w:tcPr>
          <w:p>
            <w:pPr>
              <w:autoSpaceDE w:val="0"/>
              <w:autoSpaceDN w:val="0"/>
              <w:jc w:val="center"/>
              <w:rPr>
                <w:rFonts w:ascii="宋体" w:hAnsi="宋体" w:cs="宋体"/>
                <w:color w:val="000000" w:themeColor="text1"/>
                <w:kern w:val="0"/>
                <w:szCs w:val="21"/>
              </w:rPr>
            </w:pPr>
            <w:r>
              <w:rPr>
                <w:rFonts w:hint="eastAsia" w:ascii="宋体" w:hAnsi="宋体" w:cs="宋体"/>
                <w:color w:val="000000" w:themeColor="text1"/>
                <w:kern w:val="0"/>
                <w:szCs w:val="21"/>
              </w:rPr>
              <w:t>灭火毯</w:t>
            </w:r>
          </w:p>
        </w:tc>
        <w:tc>
          <w:tcPr>
            <w:tcW w:w="1700" w:type="dxa"/>
            <w:noWrap/>
            <w:vAlign w:val="center"/>
          </w:tcPr>
          <w:p>
            <w:pPr>
              <w:autoSpaceDE w:val="0"/>
              <w:autoSpaceDN w:val="0"/>
              <w:jc w:val="center"/>
              <w:rPr>
                <w:rFonts w:ascii="宋体" w:hAnsi="宋体" w:cs="宋体"/>
                <w:color w:val="000000" w:themeColor="text1"/>
                <w:kern w:val="0"/>
                <w:szCs w:val="21"/>
              </w:rPr>
            </w:pPr>
            <w:r>
              <w:rPr>
                <w:rFonts w:ascii="宋体" w:hAnsi="宋体" w:cs="宋体"/>
                <w:color w:val="000000" w:themeColor="text1"/>
                <w:kern w:val="0"/>
                <w:szCs w:val="21"/>
              </w:rPr>
              <w:t>1*1.5M</w:t>
            </w:r>
            <w:r>
              <w:rPr>
                <w:rFonts w:hint="eastAsia" w:ascii="宋体" w:hAnsi="宋体" w:cs="宋体"/>
                <w:color w:val="000000" w:themeColor="text1"/>
                <w:kern w:val="0"/>
                <w:szCs w:val="21"/>
              </w:rPr>
              <w:t>石棉</w:t>
            </w:r>
          </w:p>
        </w:tc>
        <w:tc>
          <w:tcPr>
            <w:tcW w:w="760" w:type="dxa"/>
            <w:noWrap/>
            <w:vAlign w:val="center"/>
          </w:tcPr>
          <w:p>
            <w:pPr>
              <w:autoSpaceDE w:val="0"/>
              <w:autoSpaceDN w:val="0"/>
              <w:jc w:val="center"/>
              <w:rPr>
                <w:rFonts w:ascii="宋体" w:hAnsi="宋体" w:cs="宋体"/>
                <w:color w:val="000000" w:themeColor="text1"/>
                <w:kern w:val="0"/>
                <w:szCs w:val="21"/>
              </w:rPr>
            </w:pPr>
            <w:r>
              <w:rPr>
                <w:rFonts w:hint="eastAsia" w:ascii="宋体" w:hAnsi="宋体" w:cs="宋体"/>
                <w:color w:val="000000" w:themeColor="text1"/>
                <w:kern w:val="0"/>
                <w:szCs w:val="21"/>
                <w:lang w:val="en-US" w:eastAsia="zh-CN"/>
              </w:rPr>
              <w:t>4</w:t>
            </w:r>
            <w:r>
              <w:rPr>
                <w:rFonts w:hint="eastAsia" w:ascii="宋体" w:hAnsi="宋体" w:cs="宋体"/>
                <w:color w:val="000000" w:themeColor="text1"/>
                <w:kern w:val="0"/>
                <w:szCs w:val="21"/>
              </w:rPr>
              <w:t>床</w:t>
            </w:r>
          </w:p>
        </w:tc>
        <w:tc>
          <w:tcPr>
            <w:tcW w:w="920" w:type="dxa"/>
            <w:noWrap/>
            <w:vAlign w:val="center"/>
          </w:tcPr>
          <w:p>
            <w:pPr>
              <w:autoSpaceDE w:val="0"/>
              <w:autoSpaceDN w:val="0"/>
              <w:jc w:val="center"/>
              <w:rPr>
                <w:rFonts w:ascii="宋体" w:hAnsi="宋体" w:cs="宋体"/>
                <w:color w:val="000000" w:themeColor="text1"/>
                <w:kern w:val="0"/>
                <w:szCs w:val="21"/>
              </w:rPr>
            </w:pPr>
            <w:r>
              <w:rPr>
                <w:rFonts w:hint="eastAsia" w:ascii="宋体" w:hAnsi="宋体" w:cs="宋体"/>
                <w:color w:val="000000" w:themeColor="text1"/>
                <w:kern w:val="0"/>
                <w:szCs w:val="21"/>
              </w:rPr>
              <w:t>良好</w:t>
            </w:r>
          </w:p>
        </w:tc>
        <w:tc>
          <w:tcPr>
            <w:tcW w:w="2606" w:type="dxa"/>
            <w:noWrap/>
          </w:tcPr>
          <w:p>
            <w:pPr>
              <w:rPr>
                <w:rFonts w:ascii="宋体" w:hAnsi="宋体"/>
                <w:color w:val="000000" w:themeColor="text1"/>
              </w:rPr>
            </w:pPr>
            <w:r>
              <w:rPr>
                <w:rFonts w:hint="eastAsia" w:ascii="宋体" w:hAnsi="宋体" w:cs="宋体"/>
                <w:color w:val="000000" w:themeColor="text1"/>
                <w:kern w:val="0"/>
                <w:szCs w:val="21"/>
              </w:rPr>
              <w:t>加注区</w:t>
            </w:r>
            <w:r>
              <w:rPr>
                <w:rFonts w:hint="eastAsia" w:ascii="宋体" w:hAnsi="宋体" w:cs="宋体"/>
                <w:color w:val="000000" w:themeColor="text1"/>
                <w:kern w:val="0"/>
                <w:szCs w:val="21"/>
                <w:lang w:val="en-US" w:eastAsia="zh-CN"/>
              </w:rPr>
              <w:t>2</w:t>
            </w:r>
            <w:r>
              <w:rPr>
                <w:rFonts w:hint="eastAsia" w:ascii="宋体" w:hAnsi="宋体" w:cs="宋体"/>
                <w:color w:val="000000" w:themeColor="text1"/>
                <w:kern w:val="0"/>
                <w:szCs w:val="21"/>
              </w:rPr>
              <w:t>床、储罐区</w:t>
            </w:r>
            <w:r>
              <w:rPr>
                <w:rFonts w:hint="eastAsia" w:ascii="宋体" w:hAnsi="宋体" w:cs="宋体"/>
                <w:color w:val="000000" w:themeColor="text1"/>
                <w:kern w:val="0"/>
                <w:szCs w:val="21"/>
                <w:lang w:val="en-US" w:eastAsia="zh-CN"/>
              </w:rPr>
              <w:t>2</w:t>
            </w:r>
            <w:r>
              <w:rPr>
                <w:rFonts w:hint="eastAsia" w:ascii="宋体" w:hAnsi="宋体" w:cs="宋体"/>
                <w:color w:val="000000" w:themeColor="text1"/>
                <w:kern w:val="0"/>
                <w:szCs w:val="21"/>
              </w:rPr>
              <w:t>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2508" w:type="dxa"/>
            <w:noWrap/>
            <w:vAlign w:val="center"/>
          </w:tcPr>
          <w:p>
            <w:pPr>
              <w:autoSpaceDE w:val="0"/>
              <w:autoSpaceDN w:val="0"/>
              <w:jc w:val="center"/>
              <w:rPr>
                <w:rFonts w:ascii="宋体" w:hAnsi="宋体" w:cs="宋体"/>
                <w:color w:val="000000" w:themeColor="text1"/>
                <w:kern w:val="0"/>
                <w:szCs w:val="21"/>
              </w:rPr>
            </w:pPr>
            <w:r>
              <w:rPr>
                <w:rFonts w:hint="eastAsia" w:ascii="宋体" w:hAnsi="宋体" w:cs="宋体"/>
                <w:color w:val="000000" w:themeColor="text1"/>
                <w:kern w:val="0"/>
                <w:szCs w:val="21"/>
              </w:rPr>
              <w:t>消防砂池</w:t>
            </w:r>
          </w:p>
        </w:tc>
        <w:tc>
          <w:tcPr>
            <w:tcW w:w="1700" w:type="dxa"/>
            <w:noWrap/>
            <w:vAlign w:val="center"/>
          </w:tcPr>
          <w:p>
            <w:pPr>
              <w:autoSpaceDE w:val="0"/>
              <w:autoSpaceDN w:val="0"/>
              <w:jc w:val="center"/>
              <w:rPr>
                <w:rFonts w:ascii="宋体" w:hAnsi="宋体" w:cs="宋体"/>
                <w:color w:val="000000" w:themeColor="text1"/>
                <w:kern w:val="0"/>
                <w:szCs w:val="21"/>
              </w:rPr>
            </w:pPr>
            <w:r>
              <w:rPr>
                <w:rFonts w:ascii="宋体" w:hAnsi="宋体" w:cs="宋体"/>
                <w:color w:val="000000" w:themeColor="text1"/>
                <w:kern w:val="0"/>
                <w:szCs w:val="21"/>
              </w:rPr>
              <w:t>2</w:t>
            </w:r>
            <w:r>
              <w:rPr>
                <w:rFonts w:hint="eastAsia" w:ascii="宋体" w:hAnsi="宋体" w:cs="宋体"/>
                <w:color w:val="000000" w:themeColor="text1"/>
                <w:kern w:val="0"/>
                <w:szCs w:val="21"/>
              </w:rPr>
              <w:t>m</w:t>
            </w:r>
            <w:r>
              <w:rPr>
                <w:rFonts w:hint="eastAsia" w:ascii="宋体" w:hAnsi="宋体" w:cs="宋体"/>
                <w:color w:val="000000" w:themeColor="text1"/>
                <w:kern w:val="0"/>
                <w:szCs w:val="21"/>
                <w:vertAlign w:val="superscript"/>
              </w:rPr>
              <w:t>3</w:t>
            </w:r>
          </w:p>
        </w:tc>
        <w:tc>
          <w:tcPr>
            <w:tcW w:w="760" w:type="dxa"/>
            <w:noWrap/>
            <w:vAlign w:val="center"/>
          </w:tcPr>
          <w:p>
            <w:pPr>
              <w:autoSpaceDE w:val="0"/>
              <w:autoSpaceDN w:val="0"/>
              <w:jc w:val="center"/>
              <w:rPr>
                <w:rFonts w:ascii="宋体" w:hAnsi="宋体" w:cs="宋体"/>
                <w:color w:val="000000" w:themeColor="text1"/>
                <w:kern w:val="0"/>
                <w:szCs w:val="21"/>
              </w:rPr>
            </w:pPr>
            <w:r>
              <w:rPr>
                <w:rFonts w:hint="eastAsia" w:ascii="宋体" w:hAnsi="宋体" w:cs="宋体"/>
                <w:color w:val="000000" w:themeColor="text1"/>
                <w:kern w:val="0"/>
                <w:szCs w:val="21"/>
              </w:rPr>
              <w:t>1座</w:t>
            </w:r>
          </w:p>
        </w:tc>
        <w:tc>
          <w:tcPr>
            <w:tcW w:w="920" w:type="dxa"/>
            <w:noWrap/>
            <w:vAlign w:val="center"/>
          </w:tcPr>
          <w:p>
            <w:pPr>
              <w:autoSpaceDE w:val="0"/>
              <w:autoSpaceDN w:val="0"/>
              <w:jc w:val="center"/>
              <w:rPr>
                <w:rFonts w:ascii="宋体" w:hAnsi="宋体" w:cs="宋体"/>
                <w:color w:val="000000" w:themeColor="text1"/>
                <w:kern w:val="0"/>
                <w:szCs w:val="21"/>
              </w:rPr>
            </w:pPr>
            <w:r>
              <w:rPr>
                <w:rFonts w:hint="eastAsia" w:ascii="宋体" w:hAnsi="宋体" w:cs="宋体"/>
                <w:color w:val="000000" w:themeColor="text1"/>
                <w:kern w:val="0"/>
                <w:szCs w:val="21"/>
              </w:rPr>
              <w:t>良好</w:t>
            </w:r>
          </w:p>
        </w:tc>
        <w:tc>
          <w:tcPr>
            <w:tcW w:w="2606" w:type="dxa"/>
            <w:noWrap/>
          </w:tcPr>
          <w:p>
            <w:pPr>
              <w:rPr>
                <w:rFonts w:ascii="宋体" w:hAnsi="宋体"/>
                <w:color w:val="000000" w:themeColor="text1"/>
              </w:rPr>
            </w:pPr>
            <w:r>
              <w:rPr>
                <w:rFonts w:hint="eastAsia" w:ascii="宋体" w:hAnsi="宋体"/>
                <w:color w:val="000000" w:themeColor="text1"/>
              </w:rPr>
              <w:t>卸油区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2508" w:type="dxa"/>
            <w:noWrap/>
            <w:vAlign w:val="center"/>
          </w:tcPr>
          <w:p>
            <w:pPr>
              <w:autoSpaceDE w:val="0"/>
              <w:autoSpaceDN w:val="0"/>
              <w:jc w:val="center"/>
              <w:rPr>
                <w:rFonts w:ascii="宋体" w:hAnsi="宋体" w:cs="宋体"/>
                <w:color w:val="000000" w:themeColor="text1"/>
                <w:kern w:val="0"/>
                <w:szCs w:val="21"/>
              </w:rPr>
            </w:pPr>
            <w:r>
              <w:rPr>
                <w:rFonts w:hint="eastAsia" w:ascii="宋体" w:hAnsi="宋体" w:cs="宋体"/>
                <w:color w:val="000000" w:themeColor="text1"/>
                <w:kern w:val="0"/>
                <w:szCs w:val="21"/>
              </w:rPr>
              <w:t>消防铲</w:t>
            </w:r>
          </w:p>
        </w:tc>
        <w:tc>
          <w:tcPr>
            <w:tcW w:w="1700" w:type="dxa"/>
            <w:noWrap/>
            <w:vAlign w:val="center"/>
          </w:tcPr>
          <w:p>
            <w:pPr>
              <w:autoSpaceDE w:val="0"/>
              <w:autoSpaceDN w:val="0"/>
              <w:jc w:val="center"/>
              <w:rPr>
                <w:rFonts w:ascii="宋体" w:hAnsi="宋体" w:cs="宋体"/>
                <w:color w:val="000000" w:themeColor="text1"/>
                <w:kern w:val="0"/>
                <w:szCs w:val="21"/>
              </w:rPr>
            </w:pPr>
          </w:p>
        </w:tc>
        <w:tc>
          <w:tcPr>
            <w:tcW w:w="760" w:type="dxa"/>
            <w:noWrap/>
            <w:vAlign w:val="center"/>
          </w:tcPr>
          <w:p>
            <w:pPr>
              <w:autoSpaceDE w:val="0"/>
              <w:autoSpaceDN w:val="0"/>
              <w:jc w:val="center"/>
              <w:rPr>
                <w:rFonts w:ascii="宋体" w:hAnsi="宋体" w:cs="宋体"/>
                <w:color w:val="000000" w:themeColor="text1"/>
                <w:kern w:val="0"/>
                <w:szCs w:val="21"/>
              </w:rPr>
            </w:pPr>
            <w:r>
              <w:rPr>
                <w:rFonts w:hint="eastAsia" w:ascii="宋体" w:hAnsi="宋体" w:cs="宋体"/>
                <w:color w:val="000000" w:themeColor="text1"/>
                <w:kern w:val="0"/>
                <w:szCs w:val="21"/>
              </w:rPr>
              <w:t>2把</w:t>
            </w:r>
          </w:p>
        </w:tc>
        <w:tc>
          <w:tcPr>
            <w:tcW w:w="920" w:type="dxa"/>
            <w:noWrap/>
            <w:vAlign w:val="center"/>
          </w:tcPr>
          <w:p>
            <w:pPr>
              <w:autoSpaceDE w:val="0"/>
              <w:autoSpaceDN w:val="0"/>
              <w:jc w:val="center"/>
              <w:rPr>
                <w:rFonts w:ascii="宋体" w:hAnsi="宋体" w:cs="宋体"/>
                <w:color w:val="000000" w:themeColor="text1"/>
                <w:kern w:val="0"/>
                <w:szCs w:val="21"/>
              </w:rPr>
            </w:pPr>
            <w:r>
              <w:rPr>
                <w:rFonts w:hint="eastAsia" w:ascii="宋体" w:hAnsi="宋体" w:cs="宋体"/>
                <w:color w:val="000000" w:themeColor="text1"/>
                <w:kern w:val="0"/>
                <w:szCs w:val="21"/>
              </w:rPr>
              <w:t>良好</w:t>
            </w:r>
          </w:p>
        </w:tc>
        <w:tc>
          <w:tcPr>
            <w:tcW w:w="2606" w:type="dxa"/>
            <w:noWrap/>
          </w:tcPr>
          <w:p>
            <w:pPr>
              <w:rPr>
                <w:rFonts w:ascii="宋体" w:hAnsi="宋体"/>
                <w:color w:val="000000" w:themeColor="text1"/>
              </w:rPr>
            </w:pPr>
            <w:r>
              <w:rPr>
                <w:rFonts w:hint="eastAsia" w:ascii="宋体" w:hAnsi="宋体"/>
                <w:color w:val="000000" w:themeColor="text1"/>
              </w:rPr>
              <w:t>卸油区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4" w:hRule="atLeast"/>
          <w:jc w:val="center"/>
        </w:trPr>
        <w:tc>
          <w:tcPr>
            <w:tcW w:w="2508" w:type="dxa"/>
            <w:noWrap/>
            <w:vAlign w:val="center"/>
          </w:tcPr>
          <w:p>
            <w:pPr>
              <w:autoSpaceDE w:val="0"/>
              <w:autoSpaceDN w:val="0"/>
              <w:jc w:val="center"/>
              <w:rPr>
                <w:rFonts w:ascii="宋体" w:hAnsi="宋体" w:cs="宋体"/>
                <w:color w:val="000000" w:themeColor="text1"/>
                <w:kern w:val="0"/>
                <w:szCs w:val="21"/>
              </w:rPr>
            </w:pPr>
            <w:r>
              <w:rPr>
                <w:rFonts w:hint="eastAsia" w:ascii="宋体" w:hAnsi="宋体" w:cs="宋体"/>
                <w:color w:val="000000" w:themeColor="text1"/>
                <w:kern w:val="0"/>
                <w:szCs w:val="21"/>
              </w:rPr>
              <w:t>消防桶</w:t>
            </w:r>
          </w:p>
        </w:tc>
        <w:tc>
          <w:tcPr>
            <w:tcW w:w="1700" w:type="dxa"/>
            <w:noWrap/>
            <w:vAlign w:val="center"/>
          </w:tcPr>
          <w:p>
            <w:pPr>
              <w:autoSpaceDE w:val="0"/>
              <w:autoSpaceDN w:val="0"/>
              <w:jc w:val="center"/>
              <w:rPr>
                <w:rFonts w:ascii="宋体" w:hAnsi="宋体" w:cs="宋体"/>
                <w:color w:val="000000" w:themeColor="text1"/>
                <w:kern w:val="0"/>
                <w:szCs w:val="21"/>
              </w:rPr>
            </w:pPr>
          </w:p>
        </w:tc>
        <w:tc>
          <w:tcPr>
            <w:tcW w:w="760" w:type="dxa"/>
            <w:noWrap/>
            <w:vAlign w:val="center"/>
          </w:tcPr>
          <w:p>
            <w:pPr>
              <w:autoSpaceDE w:val="0"/>
              <w:autoSpaceDN w:val="0"/>
              <w:jc w:val="center"/>
              <w:rPr>
                <w:rFonts w:ascii="宋体" w:hAnsi="宋体" w:cs="宋体"/>
                <w:color w:val="000000" w:themeColor="text1"/>
                <w:kern w:val="0"/>
                <w:szCs w:val="21"/>
              </w:rPr>
            </w:pPr>
            <w:r>
              <w:rPr>
                <w:rFonts w:hint="eastAsia" w:ascii="宋体" w:hAnsi="宋体" w:cs="宋体"/>
                <w:color w:val="000000" w:themeColor="text1"/>
                <w:kern w:val="0"/>
                <w:szCs w:val="21"/>
              </w:rPr>
              <w:t>2只</w:t>
            </w:r>
          </w:p>
        </w:tc>
        <w:tc>
          <w:tcPr>
            <w:tcW w:w="920" w:type="dxa"/>
            <w:noWrap/>
            <w:vAlign w:val="center"/>
          </w:tcPr>
          <w:p>
            <w:pPr>
              <w:autoSpaceDE w:val="0"/>
              <w:autoSpaceDN w:val="0"/>
              <w:jc w:val="center"/>
              <w:rPr>
                <w:rFonts w:ascii="宋体" w:hAnsi="宋体" w:cs="宋体"/>
                <w:color w:val="000000" w:themeColor="text1"/>
                <w:kern w:val="0"/>
                <w:szCs w:val="21"/>
              </w:rPr>
            </w:pPr>
            <w:r>
              <w:rPr>
                <w:rFonts w:hint="eastAsia" w:ascii="宋体" w:hAnsi="宋体" w:cs="宋体"/>
                <w:color w:val="000000" w:themeColor="text1"/>
                <w:kern w:val="0"/>
                <w:szCs w:val="21"/>
              </w:rPr>
              <w:t>良好</w:t>
            </w:r>
          </w:p>
        </w:tc>
        <w:tc>
          <w:tcPr>
            <w:tcW w:w="2606" w:type="dxa"/>
            <w:noWrap/>
          </w:tcPr>
          <w:p>
            <w:pPr>
              <w:rPr>
                <w:rFonts w:ascii="宋体" w:hAnsi="宋体"/>
                <w:color w:val="000000" w:themeColor="text1"/>
              </w:rPr>
            </w:pPr>
            <w:r>
              <w:rPr>
                <w:rFonts w:hint="eastAsia" w:ascii="宋体" w:hAnsi="宋体"/>
                <w:color w:val="000000" w:themeColor="text1"/>
              </w:rPr>
              <w:t>卸油区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2508" w:type="dxa"/>
            <w:noWrap/>
            <w:vAlign w:val="center"/>
          </w:tcPr>
          <w:p>
            <w:pPr>
              <w:autoSpaceDE w:val="0"/>
              <w:autoSpaceDN w:val="0"/>
              <w:jc w:val="center"/>
              <w:rPr>
                <w:rFonts w:ascii="宋体" w:hAnsi="宋体" w:cs="宋体"/>
                <w:color w:val="000000" w:themeColor="text1"/>
                <w:kern w:val="0"/>
                <w:szCs w:val="21"/>
              </w:rPr>
            </w:pPr>
            <w:r>
              <w:rPr>
                <w:rFonts w:hint="eastAsia" w:ascii="宋体" w:hAnsi="宋体" w:cs="宋体"/>
                <w:color w:val="000000" w:themeColor="text1"/>
                <w:kern w:val="0"/>
                <w:szCs w:val="21"/>
              </w:rPr>
              <w:t>应急救援箱</w:t>
            </w:r>
          </w:p>
        </w:tc>
        <w:tc>
          <w:tcPr>
            <w:tcW w:w="1700" w:type="dxa"/>
            <w:noWrap/>
            <w:vAlign w:val="center"/>
          </w:tcPr>
          <w:p>
            <w:pPr>
              <w:autoSpaceDE w:val="0"/>
              <w:autoSpaceDN w:val="0"/>
              <w:jc w:val="center"/>
              <w:rPr>
                <w:rFonts w:ascii="宋体" w:hAnsi="宋体" w:cs="宋体"/>
                <w:color w:val="000000" w:themeColor="text1"/>
                <w:kern w:val="0"/>
                <w:szCs w:val="21"/>
              </w:rPr>
            </w:pPr>
          </w:p>
        </w:tc>
        <w:tc>
          <w:tcPr>
            <w:tcW w:w="760" w:type="dxa"/>
            <w:noWrap/>
            <w:vAlign w:val="center"/>
          </w:tcPr>
          <w:p>
            <w:pPr>
              <w:autoSpaceDE w:val="0"/>
              <w:autoSpaceDN w:val="0"/>
              <w:jc w:val="center"/>
              <w:rPr>
                <w:rFonts w:ascii="宋体" w:hAnsi="宋体" w:cs="宋体"/>
                <w:color w:val="000000" w:themeColor="text1"/>
                <w:kern w:val="0"/>
                <w:szCs w:val="21"/>
              </w:rPr>
            </w:pPr>
            <w:r>
              <w:rPr>
                <w:rFonts w:hint="eastAsia" w:ascii="宋体" w:hAnsi="宋体" w:cs="宋体"/>
                <w:color w:val="000000" w:themeColor="text1"/>
                <w:kern w:val="0"/>
                <w:szCs w:val="21"/>
              </w:rPr>
              <w:t>1个</w:t>
            </w:r>
          </w:p>
        </w:tc>
        <w:tc>
          <w:tcPr>
            <w:tcW w:w="920" w:type="dxa"/>
            <w:noWrap/>
            <w:vAlign w:val="center"/>
          </w:tcPr>
          <w:p>
            <w:pPr>
              <w:autoSpaceDE w:val="0"/>
              <w:autoSpaceDN w:val="0"/>
              <w:jc w:val="center"/>
              <w:rPr>
                <w:rFonts w:ascii="宋体" w:hAnsi="宋体" w:cs="宋体"/>
                <w:color w:val="000000" w:themeColor="text1"/>
                <w:kern w:val="0"/>
                <w:szCs w:val="21"/>
              </w:rPr>
            </w:pPr>
            <w:r>
              <w:rPr>
                <w:rFonts w:hint="eastAsia" w:ascii="宋体" w:hAnsi="宋体" w:cs="宋体"/>
                <w:color w:val="000000" w:themeColor="text1"/>
                <w:kern w:val="0"/>
                <w:szCs w:val="21"/>
              </w:rPr>
              <w:t>良好</w:t>
            </w:r>
          </w:p>
        </w:tc>
        <w:tc>
          <w:tcPr>
            <w:tcW w:w="2606" w:type="dxa"/>
            <w:noWrap/>
          </w:tcPr>
          <w:p>
            <w:pPr>
              <w:rPr>
                <w:rFonts w:ascii="宋体" w:hAnsi="宋体"/>
                <w:color w:val="000000" w:themeColor="text1"/>
              </w:rPr>
            </w:pPr>
            <w:r>
              <w:rPr>
                <w:rFonts w:hint="eastAsia" w:ascii="宋体" w:hAnsi="宋体"/>
                <w:color w:val="000000" w:themeColor="text1"/>
              </w:rPr>
              <w:t>站房</w:t>
            </w:r>
          </w:p>
        </w:tc>
      </w:tr>
    </w:tbl>
    <w:p>
      <w:pPr>
        <w:pStyle w:val="25"/>
        <w:ind w:firstLine="560" w:firstLineChars="200"/>
        <w:rPr>
          <w:rFonts w:eastAsiaTheme="minorEastAsia"/>
          <w:b/>
          <w:snapToGrid w:val="0"/>
          <w:color w:val="000000" w:themeColor="text1"/>
          <w:kern w:val="0"/>
          <w:sz w:val="28"/>
          <w:szCs w:val="28"/>
        </w:rPr>
      </w:pPr>
      <w:r>
        <w:rPr>
          <w:bCs/>
          <w:snapToGrid w:val="0"/>
          <w:color w:val="000000" w:themeColor="text1"/>
          <w:kern w:val="0"/>
          <w:sz w:val="28"/>
          <w:szCs w:val="28"/>
        </w:rPr>
        <w:t>本项目消防依托</w:t>
      </w:r>
      <w:r>
        <w:rPr>
          <w:rFonts w:hint="eastAsia"/>
          <w:bCs/>
          <w:color w:val="000000" w:themeColor="text1"/>
          <w:sz w:val="28"/>
          <w:szCs w:val="28"/>
        </w:rPr>
        <w:t>昭阳区</w:t>
      </w:r>
      <w:r>
        <w:rPr>
          <w:bCs/>
          <w:color w:val="000000" w:themeColor="text1"/>
          <w:sz w:val="28"/>
          <w:szCs w:val="28"/>
        </w:rPr>
        <w:t>消防救援大队，距本项目约</w:t>
      </w:r>
      <w:r>
        <w:rPr>
          <w:rFonts w:hint="eastAsia"/>
          <w:bCs/>
          <w:color w:val="000000" w:themeColor="text1"/>
          <w:sz w:val="28"/>
          <w:szCs w:val="28"/>
        </w:rPr>
        <w:t>10</w:t>
      </w:r>
      <w:r>
        <w:rPr>
          <w:bCs/>
          <w:color w:val="000000" w:themeColor="text1"/>
          <w:sz w:val="28"/>
          <w:szCs w:val="28"/>
        </w:rPr>
        <w:t>km。</w:t>
      </w:r>
    </w:p>
    <w:p>
      <w:pPr>
        <w:spacing w:line="500" w:lineRule="exact"/>
        <w:ind w:firstLine="560" w:firstLineChars="200"/>
        <w:rPr>
          <w:snapToGrid w:val="0"/>
          <w:color w:val="000000" w:themeColor="text1"/>
          <w:kern w:val="0"/>
          <w:sz w:val="28"/>
          <w:szCs w:val="28"/>
        </w:rPr>
      </w:pPr>
      <w:bookmarkStart w:id="621" w:name="_Toc14831"/>
      <w:bookmarkStart w:id="622" w:name="_Toc20275"/>
      <w:bookmarkStart w:id="623" w:name="_Toc4214"/>
      <w:bookmarkStart w:id="624" w:name="_Toc907"/>
      <w:bookmarkStart w:id="625" w:name="_Toc8288"/>
      <w:r>
        <w:rPr>
          <w:snapToGrid w:val="0"/>
          <w:color w:val="000000" w:themeColor="text1"/>
          <w:kern w:val="0"/>
          <w:sz w:val="28"/>
          <w:szCs w:val="28"/>
        </w:rPr>
        <w:t>2</w:t>
      </w:r>
      <w:r>
        <w:rPr>
          <w:rFonts w:hint="eastAsia"/>
          <w:snapToGrid w:val="0"/>
          <w:color w:val="000000" w:themeColor="text1"/>
          <w:kern w:val="0"/>
          <w:sz w:val="28"/>
          <w:szCs w:val="28"/>
        </w:rPr>
        <w:t>.</w:t>
      </w:r>
      <w:r>
        <w:rPr>
          <w:snapToGrid w:val="0"/>
          <w:color w:val="000000" w:themeColor="text1"/>
          <w:kern w:val="0"/>
          <w:sz w:val="28"/>
          <w:szCs w:val="28"/>
        </w:rPr>
        <w:t>安全警示标识</w:t>
      </w:r>
      <w:bookmarkEnd w:id="621"/>
      <w:bookmarkEnd w:id="622"/>
      <w:bookmarkEnd w:id="623"/>
      <w:bookmarkEnd w:id="624"/>
      <w:bookmarkEnd w:id="625"/>
    </w:p>
    <w:p>
      <w:pPr>
        <w:spacing w:line="500" w:lineRule="exact"/>
        <w:ind w:firstLine="560" w:firstLineChars="200"/>
        <w:rPr>
          <w:rFonts w:eastAsiaTheme="minorEastAsia"/>
          <w:snapToGrid w:val="0"/>
          <w:color w:val="000000" w:themeColor="text1"/>
          <w:kern w:val="0"/>
          <w:sz w:val="28"/>
          <w:szCs w:val="28"/>
        </w:rPr>
      </w:pPr>
      <w:r>
        <w:rPr>
          <w:rFonts w:eastAsiaTheme="minorEastAsia"/>
          <w:snapToGrid w:val="0"/>
          <w:color w:val="000000" w:themeColor="text1"/>
          <w:kern w:val="0"/>
          <w:sz w:val="28"/>
          <w:szCs w:val="28"/>
        </w:rPr>
        <w:t>该项目</w:t>
      </w:r>
      <w:r>
        <w:rPr>
          <w:rFonts w:hint="eastAsia" w:eastAsiaTheme="minorEastAsia"/>
          <w:snapToGrid w:val="0"/>
          <w:color w:val="000000" w:themeColor="text1"/>
          <w:kern w:val="0"/>
          <w:sz w:val="28"/>
          <w:szCs w:val="28"/>
        </w:rPr>
        <w:t>区域内</w:t>
      </w:r>
      <w:r>
        <w:rPr>
          <w:rFonts w:eastAsiaTheme="minorEastAsia"/>
          <w:snapToGrid w:val="0"/>
          <w:color w:val="000000" w:themeColor="text1"/>
          <w:kern w:val="0"/>
          <w:sz w:val="28"/>
          <w:szCs w:val="28"/>
        </w:rPr>
        <w:t>有“禁止吸烟、禁打手机”</w:t>
      </w:r>
      <w:r>
        <w:rPr>
          <w:rFonts w:hint="eastAsia" w:eastAsiaTheme="minorEastAsia"/>
          <w:snapToGrid w:val="0"/>
          <w:color w:val="000000" w:themeColor="text1"/>
          <w:kern w:val="0"/>
          <w:sz w:val="28"/>
          <w:szCs w:val="28"/>
        </w:rPr>
        <w:t>等</w:t>
      </w:r>
      <w:r>
        <w:rPr>
          <w:rFonts w:eastAsiaTheme="minorEastAsia"/>
          <w:snapToGrid w:val="0"/>
          <w:color w:val="000000" w:themeColor="text1"/>
          <w:kern w:val="0"/>
          <w:sz w:val="28"/>
          <w:szCs w:val="28"/>
        </w:rPr>
        <w:t>标识</w:t>
      </w:r>
      <w:r>
        <w:rPr>
          <w:rFonts w:hint="eastAsia" w:eastAsiaTheme="minorEastAsia"/>
          <w:snapToGrid w:val="0"/>
          <w:color w:val="000000" w:themeColor="text1"/>
          <w:kern w:val="0"/>
          <w:sz w:val="28"/>
          <w:szCs w:val="28"/>
        </w:rPr>
        <w:t>，但</w:t>
      </w:r>
      <w:r>
        <w:rPr>
          <w:rFonts w:hint="eastAsia" w:eastAsiaTheme="minorEastAsia"/>
          <w:snapToGrid w:val="0"/>
          <w:color w:val="000000" w:themeColor="text1"/>
          <w:kern w:val="0"/>
          <w:sz w:val="28"/>
          <w:szCs w:val="28"/>
          <w:lang w:val="en-US" w:eastAsia="zh-CN"/>
        </w:rPr>
        <w:t>安全标识</w:t>
      </w:r>
      <w:r>
        <w:rPr>
          <w:rFonts w:hint="eastAsia" w:eastAsiaTheme="minorEastAsia"/>
          <w:snapToGrid w:val="0"/>
          <w:color w:val="000000" w:themeColor="text1"/>
          <w:kern w:val="0"/>
          <w:sz w:val="28"/>
          <w:szCs w:val="28"/>
        </w:rPr>
        <w:t>老化</w:t>
      </w:r>
      <w:r>
        <w:rPr>
          <w:rFonts w:eastAsiaTheme="minorEastAsia"/>
          <w:snapToGrid w:val="0"/>
          <w:color w:val="000000" w:themeColor="text1"/>
          <w:kern w:val="0"/>
          <w:sz w:val="28"/>
          <w:szCs w:val="28"/>
        </w:rPr>
        <w:t>。</w:t>
      </w:r>
    </w:p>
    <w:p>
      <w:pPr>
        <w:pStyle w:val="19"/>
        <w:spacing w:afterLines="100" w:line="500" w:lineRule="exact"/>
        <w:jc w:val="center"/>
        <w:rPr>
          <w:rFonts w:ascii="楷体_GB2312" w:hAnsi="宋体" w:eastAsia="楷体_GB2312"/>
          <w:color w:val="000000" w:themeColor="text1"/>
          <w:kern w:val="3"/>
        </w:rPr>
      </w:pPr>
      <w:bookmarkStart w:id="626" w:name="_Toc23814"/>
      <w:bookmarkStart w:id="627" w:name="_Toc18860"/>
      <w:bookmarkStart w:id="628" w:name="_Toc19573"/>
      <w:bookmarkStart w:id="629" w:name="_Toc23597"/>
      <w:bookmarkStart w:id="630" w:name="_Toc21453"/>
      <w:bookmarkStart w:id="631" w:name="_Toc24300"/>
      <w:bookmarkStart w:id="632" w:name="_Toc18055"/>
      <w:bookmarkStart w:id="633" w:name="_Toc17760"/>
      <w:bookmarkStart w:id="634" w:name="_Toc4915"/>
      <w:bookmarkStart w:id="635" w:name="_Toc6321"/>
      <w:bookmarkStart w:id="636" w:name="_Toc20364"/>
      <w:bookmarkStart w:id="637" w:name="_Toc13339"/>
      <w:bookmarkStart w:id="638" w:name="_Toc16212"/>
      <w:bookmarkStart w:id="639" w:name="_Toc28121"/>
      <w:bookmarkStart w:id="640" w:name="_Toc23124"/>
      <w:bookmarkStart w:id="641" w:name="_Toc20662_WPSOffice_Level2"/>
      <w:r>
        <w:rPr>
          <w:rFonts w:hint="eastAsia" w:ascii="楷体_GB2312" w:hAnsi="宋体" w:eastAsia="楷体_GB2312"/>
          <w:color w:val="000000" w:themeColor="text1"/>
          <w:kern w:val="3"/>
        </w:rPr>
        <w:t>2.8</w:t>
      </w:r>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r>
        <w:rPr>
          <w:rFonts w:hint="eastAsia" w:ascii="楷体_GB2312" w:hAnsi="宋体" w:eastAsia="楷体_GB2312"/>
          <w:color w:val="000000" w:themeColor="text1"/>
          <w:kern w:val="3"/>
        </w:rPr>
        <w:t>安全设施、措施</w:t>
      </w:r>
      <w:bookmarkEnd w:id="641"/>
    </w:p>
    <w:p>
      <w:pPr>
        <w:pStyle w:val="19"/>
        <w:spacing w:afterLines="100" w:line="500" w:lineRule="exact"/>
        <w:rPr>
          <w:rFonts w:ascii="黑体" w:hAnsi="宋体" w:eastAsia="黑体"/>
          <w:color w:val="000000" w:themeColor="text1"/>
          <w:kern w:val="3"/>
          <w:sz w:val="28"/>
          <w:szCs w:val="28"/>
        </w:rPr>
      </w:pPr>
      <w:bookmarkStart w:id="642" w:name="_Toc10555282"/>
      <w:bookmarkStart w:id="643" w:name="_Toc350931589"/>
      <w:r>
        <w:rPr>
          <w:rFonts w:hint="eastAsia" w:ascii="黑体" w:hAnsi="宋体" w:eastAsia="黑体"/>
          <w:color w:val="000000" w:themeColor="text1"/>
          <w:kern w:val="3"/>
          <w:sz w:val="28"/>
          <w:szCs w:val="28"/>
        </w:rPr>
        <w:t>2.8.1预防事故设施</w:t>
      </w:r>
      <w:bookmarkEnd w:id="642"/>
      <w:bookmarkEnd w:id="643"/>
    </w:p>
    <w:p>
      <w:pPr>
        <w:pStyle w:val="28"/>
        <w:rPr>
          <w:color w:val="000000" w:themeColor="text1"/>
          <w:szCs w:val="28"/>
        </w:rPr>
      </w:pPr>
      <w:r>
        <w:rPr>
          <w:rFonts w:hint="eastAsia"/>
          <w:color w:val="000000" w:themeColor="text1"/>
          <w:szCs w:val="28"/>
        </w:rPr>
        <w:t>1.昭通市耀晨甲醇醇油有限公司监测及信息管理系统包括：办公系统、视频监控系统。</w:t>
      </w:r>
    </w:p>
    <w:p>
      <w:pPr>
        <w:pStyle w:val="28"/>
        <w:rPr>
          <w:color w:val="000000" w:themeColor="text1"/>
          <w:szCs w:val="28"/>
        </w:rPr>
      </w:pPr>
      <w:r>
        <w:rPr>
          <w:rFonts w:hint="eastAsia"/>
          <w:color w:val="000000" w:themeColor="text1"/>
          <w:szCs w:val="28"/>
        </w:rPr>
        <w:t>2.昭通市耀晨甲醇醇油有限公司设置视频监控系统一套。</w:t>
      </w:r>
    </w:p>
    <w:p>
      <w:pPr>
        <w:pStyle w:val="28"/>
        <w:rPr>
          <w:rFonts w:hint="eastAsia"/>
          <w:color w:val="000000" w:themeColor="text1"/>
          <w:szCs w:val="28"/>
        </w:rPr>
      </w:pPr>
      <w:r>
        <w:rPr>
          <w:rFonts w:hint="eastAsia"/>
          <w:color w:val="000000" w:themeColor="text1"/>
          <w:szCs w:val="28"/>
        </w:rPr>
        <w:t>3.昭通市耀晨甲醇醇油有限公司设置液位仪检测系统一套。</w:t>
      </w:r>
    </w:p>
    <w:p>
      <w:pPr>
        <w:pStyle w:val="28"/>
        <w:rPr>
          <w:rFonts w:hint="eastAsia"/>
          <w:color w:val="000000" w:themeColor="text1"/>
          <w:szCs w:val="28"/>
        </w:rPr>
      </w:pPr>
      <w:r>
        <w:rPr>
          <w:rFonts w:hint="eastAsia"/>
          <w:color w:val="000000" w:themeColor="text1"/>
          <w:szCs w:val="28"/>
          <w:lang w:val="en-US" w:eastAsia="zh-CN"/>
        </w:rPr>
        <w:t>4.</w:t>
      </w:r>
      <w:r>
        <w:rPr>
          <w:rFonts w:hint="eastAsia"/>
          <w:color w:val="000000"/>
          <w:sz w:val="28"/>
          <w:szCs w:val="28"/>
          <w:lang w:val="en-US" w:eastAsia="zh-CN"/>
        </w:rPr>
        <w:t>加注机一侧</w:t>
      </w:r>
      <w:r>
        <w:rPr>
          <w:rFonts w:hint="eastAsia" w:ascii="宋体" w:hAnsi="宋体"/>
          <w:color w:val="000000"/>
          <w:sz w:val="28"/>
          <w:szCs w:val="28"/>
        </w:rPr>
        <w:t>设置防碰撞栏杆</w:t>
      </w:r>
      <w:r>
        <w:rPr>
          <w:rFonts w:hint="eastAsia"/>
          <w:color w:val="000000" w:themeColor="text1"/>
          <w:szCs w:val="28"/>
        </w:rPr>
        <w:t>。</w:t>
      </w:r>
    </w:p>
    <w:p>
      <w:pPr>
        <w:spacing w:line="500" w:lineRule="exact"/>
        <w:ind w:firstLine="560" w:firstLineChars="200"/>
        <w:rPr>
          <w:rFonts w:hint="eastAsia" w:ascii="宋体" w:hAnsi="宋体"/>
          <w:color w:val="000000"/>
          <w:sz w:val="28"/>
          <w:szCs w:val="28"/>
        </w:rPr>
      </w:pPr>
      <w:r>
        <w:rPr>
          <w:rFonts w:hint="eastAsia" w:ascii="宋体" w:hAnsi="宋体"/>
          <w:color w:val="000000"/>
          <w:sz w:val="28"/>
          <w:szCs w:val="28"/>
          <w:lang w:val="en-US" w:eastAsia="zh-CN"/>
        </w:rPr>
        <w:t>5.场地内</w:t>
      </w:r>
      <w:r>
        <w:rPr>
          <w:rFonts w:hint="eastAsia" w:ascii="宋体" w:hAnsi="宋体"/>
          <w:color w:val="000000"/>
          <w:sz w:val="28"/>
          <w:szCs w:val="28"/>
        </w:rPr>
        <w:t>设置有严禁烟火标识，设置熄火加油、限速5公里等标识。</w:t>
      </w:r>
    </w:p>
    <w:p>
      <w:pPr>
        <w:pStyle w:val="28"/>
        <w:rPr>
          <w:rFonts w:hint="eastAsia"/>
          <w:color w:val="000000"/>
          <w:sz w:val="28"/>
          <w:szCs w:val="28"/>
          <w:lang w:eastAsia="zh-CN"/>
        </w:rPr>
      </w:pPr>
      <w:r>
        <w:rPr>
          <w:rFonts w:hint="eastAsia"/>
          <w:color w:val="000000"/>
          <w:sz w:val="28"/>
          <w:szCs w:val="28"/>
          <w:lang w:val="en-US" w:eastAsia="zh-CN"/>
        </w:rPr>
        <w:t>6.场地内</w:t>
      </w:r>
      <w:r>
        <w:rPr>
          <w:rFonts w:hint="eastAsia" w:ascii="宋体" w:hAnsi="宋体"/>
          <w:color w:val="000000"/>
          <w:sz w:val="28"/>
          <w:szCs w:val="28"/>
        </w:rPr>
        <w:t>道路为砼地面</w:t>
      </w:r>
      <w:r>
        <w:rPr>
          <w:rFonts w:hint="eastAsia"/>
          <w:color w:val="000000"/>
          <w:sz w:val="28"/>
          <w:szCs w:val="28"/>
          <w:lang w:eastAsia="zh-CN"/>
        </w:rPr>
        <w:t>。</w:t>
      </w:r>
    </w:p>
    <w:p>
      <w:pPr>
        <w:pStyle w:val="28"/>
        <w:rPr>
          <w:rFonts w:hint="eastAsia" w:eastAsia="宋体"/>
          <w:color w:val="000000"/>
          <w:sz w:val="28"/>
          <w:szCs w:val="28"/>
          <w:lang w:eastAsia="zh-CN"/>
        </w:rPr>
      </w:pPr>
      <w:r>
        <w:rPr>
          <w:rFonts w:hint="eastAsia"/>
          <w:color w:val="000000"/>
          <w:sz w:val="28"/>
          <w:szCs w:val="28"/>
          <w:lang w:val="en-US" w:eastAsia="zh-CN"/>
        </w:rPr>
        <w:t>7.在公司区域内（加注区、办公区及储罐区）</w:t>
      </w:r>
      <w:r>
        <w:rPr>
          <w:rFonts w:hint="eastAsia" w:ascii="宋体" w:hAnsi="宋体"/>
          <w:color w:val="000000"/>
          <w:sz w:val="28"/>
          <w:szCs w:val="28"/>
        </w:rPr>
        <w:t>安装了视频监控探头，监控屏幕设置在营业室内</w:t>
      </w:r>
      <w:r>
        <w:rPr>
          <w:rFonts w:hint="eastAsia"/>
          <w:color w:val="000000"/>
          <w:sz w:val="28"/>
          <w:szCs w:val="28"/>
          <w:lang w:eastAsia="zh-CN"/>
        </w:rPr>
        <w:t>。</w:t>
      </w:r>
    </w:p>
    <w:p>
      <w:pPr>
        <w:pStyle w:val="19"/>
        <w:spacing w:afterLines="100" w:line="500" w:lineRule="exact"/>
        <w:rPr>
          <w:rFonts w:ascii="黑体" w:hAnsi="宋体" w:eastAsia="黑体"/>
          <w:color w:val="000000" w:themeColor="text1"/>
          <w:kern w:val="3"/>
          <w:sz w:val="28"/>
          <w:szCs w:val="28"/>
        </w:rPr>
      </w:pPr>
      <w:bookmarkStart w:id="644" w:name="_Toc350931590"/>
      <w:bookmarkStart w:id="645" w:name="_Toc10555283"/>
      <w:r>
        <w:rPr>
          <w:rFonts w:hint="eastAsia" w:ascii="黑体" w:hAnsi="宋体" w:eastAsia="黑体"/>
          <w:color w:val="000000" w:themeColor="text1"/>
          <w:kern w:val="3"/>
          <w:sz w:val="28"/>
          <w:szCs w:val="28"/>
        </w:rPr>
        <w:t>2.8.2安全防护设备设施</w:t>
      </w:r>
      <w:bookmarkEnd w:id="644"/>
      <w:bookmarkEnd w:id="645"/>
    </w:p>
    <w:p>
      <w:pPr>
        <w:pStyle w:val="28"/>
        <w:rPr>
          <w:color w:val="000000" w:themeColor="text1"/>
          <w:szCs w:val="28"/>
        </w:rPr>
      </w:pPr>
      <w:r>
        <w:rPr>
          <w:rFonts w:hint="eastAsia"/>
          <w:color w:val="000000" w:themeColor="text1"/>
          <w:szCs w:val="28"/>
        </w:rPr>
        <w:t>1.防雷、防静电</w:t>
      </w:r>
    </w:p>
    <w:p>
      <w:pPr>
        <w:pStyle w:val="28"/>
        <w:rPr>
          <w:color w:val="000000" w:themeColor="text1"/>
          <w:szCs w:val="28"/>
        </w:rPr>
      </w:pPr>
      <w:r>
        <w:rPr>
          <w:rFonts w:hint="eastAsia"/>
          <w:color w:val="000000" w:themeColor="text1"/>
          <w:szCs w:val="28"/>
        </w:rPr>
        <w:t>储罐每座做对称两组接地，管线的始、末端和分支处做接地装置，在罩棚四周设置避雷网，法兰作跨接，卸车场地设置有防静电接地装置，公司所有接地做成一个接地网。云南省气象灾害防御技术中心对公司的设备设施进行了防雷防静电装置检测：防雷防静电接地电阻值合格。公司为现场工作的员工配备了防静电工作服，现场检查员工为正确穿戴防静电工作服。</w:t>
      </w:r>
    </w:p>
    <w:p>
      <w:pPr>
        <w:pStyle w:val="28"/>
        <w:rPr>
          <w:color w:val="000000" w:themeColor="text1"/>
          <w:szCs w:val="28"/>
        </w:rPr>
      </w:pPr>
      <w:r>
        <w:rPr>
          <w:rFonts w:hint="eastAsia"/>
          <w:color w:val="000000" w:themeColor="text1"/>
          <w:szCs w:val="28"/>
        </w:rPr>
        <w:t>2.设施防腐</w:t>
      </w:r>
    </w:p>
    <w:p>
      <w:pPr>
        <w:pStyle w:val="28"/>
        <w:rPr>
          <w:color w:val="000000" w:themeColor="text1"/>
          <w:szCs w:val="28"/>
        </w:rPr>
      </w:pPr>
      <w:r>
        <w:rPr>
          <w:rFonts w:hint="eastAsia"/>
          <w:color w:val="000000" w:themeColor="text1"/>
          <w:szCs w:val="28"/>
        </w:rPr>
        <w:t>公司的埋地储罐和埋地工艺管道外表面的防腐采用加强级防腐。储罐的周围按规范回填细沙，厚度0.3m，储罐的顶部覆土厚度0.5m。</w:t>
      </w:r>
    </w:p>
    <w:p>
      <w:pPr>
        <w:pStyle w:val="28"/>
        <w:rPr>
          <w:color w:val="000000" w:themeColor="text1"/>
          <w:szCs w:val="28"/>
        </w:rPr>
      </w:pPr>
      <w:r>
        <w:rPr>
          <w:rFonts w:hint="eastAsia"/>
          <w:color w:val="000000" w:themeColor="text1"/>
          <w:szCs w:val="28"/>
        </w:rPr>
        <w:t>3.防渗漏</w:t>
      </w:r>
    </w:p>
    <w:p>
      <w:pPr>
        <w:pStyle w:val="28"/>
        <w:rPr>
          <w:color w:val="000000" w:themeColor="text1"/>
          <w:szCs w:val="28"/>
        </w:rPr>
      </w:pPr>
      <w:r>
        <w:rPr>
          <w:rFonts w:hint="eastAsia"/>
          <w:color w:val="000000" w:themeColor="text1"/>
          <w:szCs w:val="28"/>
        </w:rPr>
        <w:t>储罐出厂前经过空气试压检测，有合格证。管线安装完成后进行了气密性检验，无泄漏。</w:t>
      </w:r>
    </w:p>
    <w:p>
      <w:pPr>
        <w:pStyle w:val="28"/>
        <w:rPr>
          <w:color w:val="000000" w:themeColor="text1"/>
          <w:szCs w:val="28"/>
        </w:rPr>
      </w:pPr>
      <w:r>
        <w:rPr>
          <w:rFonts w:hint="eastAsia"/>
          <w:color w:val="000000" w:themeColor="text1"/>
          <w:szCs w:val="28"/>
        </w:rPr>
        <w:t>4.防浮</w:t>
      </w:r>
    </w:p>
    <w:p>
      <w:pPr>
        <w:pStyle w:val="28"/>
        <w:rPr>
          <w:color w:val="000000" w:themeColor="text1"/>
          <w:szCs w:val="28"/>
        </w:rPr>
      </w:pPr>
      <w:r>
        <w:rPr>
          <w:rFonts w:hint="eastAsia"/>
          <w:color w:val="000000" w:themeColor="text1"/>
          <w:szCs w:val="28"/>
        </w:rPr>
        <w:t>公司2个钢制卧式埋地储罐在修建时已经采用防止上浮的有效措施，避免储罐漂浮及拉断管线，造成跑、冒、漏发生火灾事故或环境污染事故。</w:t>
      </w:r>
    </w:p>
    <w:p>
      <w:pPr>
        <w:pStyle w:val="19"/>
        <w:spacing w:afterLines="100" w:line="500" w:lineRule="exact"/>
        <w:rPr>
          <w:rFonts w:ascii="黑体" w:hAnsi="宋体" w:eastAsia="黑体"/>
          <w:color w:val="000000" w:themeColor="text1"/>
          <w:kern w:val="3"/>
          <w:sz w:val="28"/>
          <w:szCs w:val="28"/>
        </w:rPr>
      </w:pPr>
      <w:bookmarkStart w:id="646" w:name="_Toc10555284"/>
      <w:bookmarkStart w:id="647" w:name="_Toc350931591"/>
      <w:r>
        <w:rPr>
          <w:rFonts w:hint="eastAsia" w:ascii="黑体" w:hAnsi="宋体" w:eastAsia="黑体"/>
          <w:color w:val="000000" w:themeColor="text1"/>
          <w:kern w:val="3"/>
          <w:sz w:val="28"/>
          <w:szCs w:val="28"/>
        </w:rPr>
        <w:t>2.8.3防爆设施</w:t>
      </w:r>
      <w:bookmarkEnd w:id="646"/>
      <w:bookmarkEnd w:id="647"/>
    </w:p>
    <w:p>
      <w:pPr>
        <w:ind w:firstLine="560" w:firstLineChars="200"/>
        <w:rPr>
          <w:rFonts w:ascii="宋体" w:hAnsi="宋体"/>
          <w:color w:val="000000" w:themeColor="text1"/>
          <w:kern w:val="0"/>
          <w:sz w:val="28"/>
          <w:szCs w:val="44"/>
        </w:rPr>
      </w:pPr>
      <w:r>
        <w:rPr>
          <w:rFonts w:hint="eastAsia" w:ascii="宋体" w:hAnsi="宋体"/>
          <w:color w:val="000000" w:themeColor="text1"/>
          <w:kern w:val="0"/>
          <w:sz w:val="28"/>
          <w:szCs w:val="44"/>
        </w:rPr>
        <w:t>项目建设时按照规范的要求，选用有防爆产品合格证的加注机，电器开关及灯具均选用防爆型。</w:t>
      </w:r>
    </w:p>
    <w:p>
      <w:pPr>
        <w:pStyle w:val="19"/>
        <w:spacing w:afterLines="100" w:line="500" w:lineRule="exact"/>
        <w:rPr>
          <w:rFonts w:ascii="黑体" w:hAnsi="宋体" w:eastAsia="黑体"/>
          <w:color w:val="000000" w:themeColor="text1"/>
          <w:kern w:val="3"/>
          <w:sz w:val="28"/>
          <w:szCs w:val="28"/>
        </w:rPr>
      </w:pPr>
      <w:bookmarkStart w:id="648" w:name="_Toc10555285"/>
      <w:bookmarkStart w:id="649" w:name="_Toc350931592"/>
      <w:r>
        <w:rPr>
          <w:rFonts w:hint="eastAsia" w:ascii="黑体" w:hAnsi="宋体" w:eastAsia="黑体"/>
          <w:color w:val="000000" w:themeColor="text1"/>
          <w:kern w:val="3"/>
          <w:sz w:val="28"/>
          <w:szCs w:val="28"/>
        </w:rPr>
        <w:t>2.8.4安全警示标志</w:t>
      </w:r>
      <w:bookmarkEnd w:id="648"/>
      <w:bookmarkEnd w:id="649"/>
    </w:p>
    <w:p>
      <w:pPr>
        <w:ind w:firstLine="420" w:firstLineChars="150"/>
        <w:rPr>
          <w:rFonts w:ascii="宋体" w:hAnsi="宋体"/>
          <w:color w:val="000000" w:themeColor="text1"/>
          <w:sz w:val="28"/>
        </w:rPr>
      </w:pPr>
      <w:r>
        <w:rPr>
          <w:rFonts w:hint="eastAsia" w:ascii="宋体" w:hAnsi="宋体"/>
          <w:color w:val="000000" w:themeColor="text1"/>
          <w:sz w:val="28"/>
        </w:rPr>
        <w:t>公司设置有“严禁烟火”、“禁止打手机”、“有点危险”“监控区域”等安全警示标志，在进、出口设有指示标志及限速标志。</w:t>
      </w:r>
    </w:p>
    <w:p>
      <w:pPr>
        <w:pStyle w:val="19"/>
        <w:spacing w:afterLines="100" w:line="500" w:lineRule="exact"/>
        <w:rPr>
          <w:rFonts w:ascii="黑体" w:hAnsi="宋体" w:eastAsia="黑体"/>
          <w:color w:val="000000" w:themeColor="text1"/>
          <w:kern w:val="3"/>
          <w:sz w:val="28"/>
          <w:szCs w:val="28"/>
        </w:rPr>
      </w:pPr>
      <w:bookmarkStart w:id="650" w:name="_Toc350931593"/>
      <w:bookmarkStart w:id="651" w:name="_Toc10555286"/>
      <w:r>
        <w:rPr>
          <w:rFonts w:hint="eastAsia" w:ascii="黑体" w:hAnsi="宋体" w:eastAsia="黑体"/>
          <w:color w:val="000000" w:themeColor="text1"/>
          <w:kern w:val="3"/>
          <w:sz w:val="28"/>
          <w:szCs w:val="28"/>
        </w:rPr>
        <w:t>2.8.5控制事故设施</w:t>
      </w:r>
      <w:bookmarkEnd w:id="650"/>
      <w:bookmarkEnd w:id="651"/>
    </w:p>
    <w:p>
      <w:pPr>
        <w:ind w:firstLine="560" w:firstLineChars="200"/>
        <w:rPr>
          <w:rFonts w:ascii="宋体" w:hAnsi="宋体"/>
          <w:color w:val="000000" w:themeColor="text1"/>
          <w:sz w:val="28"/>
        </w:rPr>
      </w:pPr>
      <w:r>
        <w:rPr>
          <w:rFonts w:hint="eastAsia" w:ascii="宋体" w:hAnsi="宋体"/>
          <w:color w:val="000000" w:themeColor="text1"/>
          <w:sz w:val="28"/>
        </w:rPr>
        <w:t>公司按要求在储罐的通气管口配置阻火器；公司禁止明火、吸烟、使用移动电话。</w:t>
      </w:r>
    </w:p>
    <w:p>
      <w:pPr>
        <w:pStyle w:val="19"/>
        <w:spacing w:afterLines="100" w:line="500" w:lineRule="exact"/>
        <w:rPr>
          <w:rFonts w:ascii="黑体" w:hAnsi="宋体" w:eastAsia="黑体"/>
          <w:color w:val="000000" w:themeColor="text1"/>
          <w:kern w:val="3"/>
          <w:sz w:val="28"/>
          <w:szCs w:val="28"/>
        </w:rPr>
      </w:pPr>
      <w:bookmarkStart w:id="652" w:name="_Toc10555287"/>
      <w:bookmarkStart w:id="653" w:name="_Toc350931594"/>
      <w:r>
        <w:rPr>
          <w:rFonts w:hint="eastAsia" w:ascii="黑体" w:hAnsi="宋体" w:eastAsia="黑体"/>
          <w:color w:val="000000" w:themeColor="text1"/>
          <w:kern w:val="3"/>
          <w:sz w:val="28"/>
          <w:szCs w:val="28"/>
        </w:rPr>
        <w:t>2.8.6减少与消除事故影响设施</w:t>
      </w:r>
      <w:bookmarkEnd w:id="652"/>
      <w:bookmarkEnd w:id="653"/>
    </w:p>
    <w:p>
      <w:pPr>
        <w:pStyle w:val="28"/>
        <w:rPr>
          <w:color w:val="000000" w:themeColor="text1"/>
          <w:szCs w:val="28"/>
        </w:rPr>
      </w:pPr>
      <w:r>
        <w:rPr>
          <w:rFonts w:hint="eastAsia"/>
          <w:color w:val="000000" w:themeColor="text1"/>
          <w:szCs w:val="28"/>
        </w:rPr>
        <w:t>防止火灾蔓延设施：项目建设时按照要求在通气管口配置阻火器。</w:t>
      </w:r>
    </w:p>
    <w:p>
      <w:pPr>
        <w:pStyle w:val="28"/>
        <w:rPr>
          <w:color w:val="000000" w:themeColor="text1"/>
          <w:szCs w:val="28"/>
        </w:rPr>
      </w:pPr>
      <w:r>
        <w:rPr>
          <w:rFonts w:hint="eastAsia"/>
          <w:color w:val="000000" w:themeColor="text1"/>
          <w:szCs w:val="28"/>
        </w:rPr>
        <w:t>逃生避难设施：消防通道根据公司设备、设施布置情况修筑，消防通道分别通向储罐区、加注区及站房等区域。公司停车场和道路路面均水泥路面。</w:t>
      </w:r>
    </w:p>
    <w:p>
      <w:pPr>
        <w:pStyle w:val="19"/>
        <w:spacing w:afterLines="100" w:line="500" w:lineRule="exact"/>
        <w:rPr>
          <w:rFonts w:ascii="黑体" w:hAnsi="宋体" w:eastAsia="黑体"/>
          <w:color w:val="000000" w:themeColor="text1"/>
          <w:kern w:val="3"/>
          <w:sz w:val="28"/>
          <w:szCs w:val="28"/>
        </w:rPr>
      </w:pPr>
      <w:bookmarkStart w:id="654" w:name="_Toc350931595"/>
      <w:bookmarkStart w:id="655" w:name="_Toc10555288"/>
      <w:r>
        <w:rPr>
          <w:rFonts w:hint="eastAsia" w:ascii="黑体" w:hAnsi="宋体" w:eastAsia="黑体"/>
          <w:color w:val="000000" w:themeColor="text1"/>
          <w:kern w:val="3"/>
          <w:sz w:val="28"/>
          <w:szCs w:val="28"/>
        </w:rPr>
        <w:t>2.8.7其他安全设施</w:t>
      </w:r>
      <w:bookmarkEnd w:id="654"/>
      <w:bookmarkEnd w:id="655"/>
    </w:p>
    <w:p>
      <w:pPr>
        <w:pStyle w:val="28"/>
        <w:rPr>
          <w:color w:val="000000" w:themeColor="text1"/>
          <w:szCs w:val="28"/>
        </w:rPr>
      </w:pPr>
      <w:r>
        <w:rPr>
          <w:rFonts w:hint="eastAsia"/>
          <w:color w:val="000000" w:themeColor="text1"/>
          <w:szCs w:val="28"/>
        </w:rPr>
        <w:t>1.公司所在地地势平坦，现场未发现危及建筑安全的滑坡、断层、泥石流、采空区、地面沉降等不良地质现象，工程地质条件较好。</w:t>
      </w:r>
    </w:p>
    <w:p>
      <w:pPr>
        <w:pStyle w:val="28"/>
        <w:rPr>
          <w:color w:val="000000" w:themeColor="text1"/>
          <w:szCs w:val="28"/>
        </w:rPr>
      </w:pPr>
      <w:r>
        <w:rPr>
          <w:rFonts w:hint="eastAsia"/>
          <w:color w:val="000000" w:themeColor="text1"/>
          <w:szCs w:val="28"/>
        </w:rPr>
        <w:t>2.公司除进出口以外其他均设置有实体围墙。根据设计要求，公司还在办公室及储罐区一侧修建有一道安全门。</w:t>
      </w:r>
    </w:p>
    <w:p>
      <w:pPr>
        <w:pStyle w:val="19"/>
        <w:spacing w:afterLines="100" w:line="500" w:lineRule="exact"/>
        <w:rPr>
          <w:rFonts w:ascii="黑体" w:hAnsi="宋体" w:eastAsia="黑体"/>
          <w:color w:val="000000" w:themeColor="text1"/>
          <w:kern w:val="3"/>
          <w:sz w:val="28"/>
          <w:szCs w:val="28"/>
        </w:rPr>
      </w:pPr>
      <w:bookmarkStart w:id="656" w:name="_Toc10555289"/>
      <w:bookmarkStart w:id="657" w:name="_Toc521514159"/>
      <w:r>
        <w:rPr>
          <w:rFonts w:hint="eastAsia" w:ascii="黑体" w:hAnsi="宋体" w:eastAsia="黑体"/>
          <w:color w:val="000000" w:themeColor="text1"/>
          <w:kern w:val="3"/>
          <w:sz w:val="28"/>
          <w:szCs w:val="28"/>
        </w:rPr>
        <w:t>2.8.8安全投入情况</w:t>
      </w:r>
      <w:bookmarkEnd w:id="656"/>
      <w:bookmarkEnd w:id="657"/>
    </w:p>
    <w:p>
      <w:pPr>
        <w:spacing w:line="500" w:lineRule="exact"/>
        <w:ind w:firstLine="560" w:firstLineChars="200"/>
        <w:rPr>
          <w:rFonts w:hint="eastAsia" w:ascii="宋体" w:hAnsi="宋体"/>
          <w:color w:val="000000"/>
          <w:sz w:val="28"/>
          <w:szCs w:val="28"/>
          <w:lang w:eastAsia="zh-CN"/>
        </w:rPr>
      </w:pPr>
      <w:r>
        <w:rPr>
          <w:rFonts w:hint="eastAsia" w:ascii="宋体" w:hAnsi="宋体"/>
          <w:color w:val="000000"/>
          <w:sz w:val="28"/>
          <w:szCs w:val="28"/>
        </w:rPr>
        <w:t>该</w:t>
      </w:r>
      <w:r>
        <w:rPr>
          <w:rFonts w:hint="eastAsia" w:ascii="宋体" w:hAnsi="宋体"/>
          <w:color w:val="000000"/>
          <w:sz w:val="28"/>
          <w:szCs w:val="28"/>
          <w:lang w:val="en-US" w:eastAsia="zh-CN"/>
        </w:rPr>
        <w:t>公司</w:t>
      </w:r>
      <w:r>
        <w:rPr>
          <w:rFonts w:hint="eastAsia" w:ascii="宋体" w:hAnsi="宋体"/>
          <w:color w:val="000000"/>
          <w:sz w:val="28"/>
          <w:szCs w:val="28"/>
        </w:rPr>
        <w:t>的安全费用据实支付，建立了安全费用的使用台账，但未及时记录完善。经与</w:t>
      </w:r>
      <w:r>
        <w:rPr>
          <w:rFonts w:hint="eastAsia" w:ascii="宋体" w:hAnsi="宋体"/>
          <w:color w:val="000000"/>
          <w:sz w:val="28"/>
          <w:szCs w:val="28"/>
          <w:lang w:val="en-US" w:eastAsia="zh-CN"/>
        </w:rPr>
        <w:t>公司</w:t>
      </w:r>
      <w:r>
        <w:rPr>
          <w:rFonts w:hint="eastAsia" w:ascii="宋体" w:hAnsi="宋体"/>
          <w:color w:val="000000"/>
          <w:sz w:val="28"/>
          <w:szCs w:val="28"/>
        </w:rPr>
        <w:t>负责人现场交流，</w:t>
      </w:r>
      <w:r>
        <w:rPr>
          <w:rFonts w:hint="eastAsia" w:ascii="宋体" w:hAnsi="宋体"/>
          <w:color w:val="000000"/>
          <w:sz w:val="28"/>
          <w:szCs w:val="28"/>
          <w:lang w:val="en-US" w:eastAsia="zh-CN"/>
        </w:rPr>
        <w:t>耀晨公司</w:t>
      </w:r>
      <w:r>
        <w:rPr>
          <w:rFonts w:hint="eastAsia" w:ascii="宋体" w:hAnsi="宋体"/>
          <w:color w:val="000000"/>
          <w:sz w:val="28"/>
          <w:szCs w:val="28"/>
        </w:rPr>
        <w:t>的安全投入主要用于安全警示标志的购买和安装、安全教育培训、消防设施、防雷设施检测、劳动防护用品、工伤保险及事故隐患整改等</w:t>
      </w:r>
      <w:r>
        <w:rPr>
          <w:rFonts w:hint="eastAsia" w:ascii="宋体" w:hAnsi="宋体"/>
          <w:color w:val="000000"/>
          <w:sz w:val="28"/>
          <w:szCs w:val="28"/>
          <w:lang w:eastAsia="zh-CN"/>
        </w:rPr>
        <w:t>。</w:t>
      </w:r>
    </w:p>
    <w:p>
      <w:pPr>
        <w:ind w:firstLine="560" w:firstLineChars="200"/>
        <w:rPr>
          <w:rFonts w:ascii="宋体" w:hAnsi="宋体"/>
          <w:color w:val="000000" w:themeColor="text1"/>
          <w:sz w:val="28"/>
          <w:szCs w:val="28"/>
        </w:rPr>
      </w:pPr>
      <w:r>
        <w:rPr>
          <w:rFonts w:hint="eastAsia" w:ascii="宋体" w:hAnsi="宋体" w:eastAsia="宋体" w:cs="Times New Roman"/>
          <w:color w:val="000000"/>
          <w:sz w:val="28"/>
          <w:szCs w:val="28"/>
          <w:lang w:val="en-US" w:eastAsia="zh-CN"/>
        </w:rPr>
        <w:t>经现场询问加油站于202</w:t>
      </w:r>
      <w:r>
        <w:rPr>
          <w:rFonts w:hint="eastAsia" w:ascii="宋体" w:hAnsi="宋体" w:cs="Times New Roman"/>
          <w:color w:val="000000"/>
          <w:sz w:val="28"/>
          <w:szCs w:val="28"/>
          <w:lang w:val="en-US" w:eastAsia="zh-CN"/>
        </w:rPr>
        <w:t>5</w:t>
      </w:r>
      <w:r>
        <w:rPr>
          <w:rFonts w:hint="eastAsia" w:ascii="宋体" w:hAnsi="宋体" w:eastAsia="宋体" w:cs="Times New Roman"/>
          <w:color w:val="000000"/>
          <w:sz w:val="28"/>
          <w:szCs w:val="28"/>
          <w:lang w:val="en-US" w:eastAsia="zh-CN"/>
        </w:rPr>
        <w:t>年1-</w:t>
      </w:r>
      <w:r>
        <w:rPr>
          <w:rFonts w:hint="eastAsia" w:ascii="宋体" w:hAnsi="宋体" w:cs="Times New Roman"/>
          <w:color w:val="000000"/>
          <w:sz w:val="28"/>
          <w:szCs w:val="28"/>
          <w:lang w:val="en-US" w:eastAsia="zh-CN"/>
        </w:rPr>
        <w:t>6</w:t>
      </w:r>
      <w:r>
        <w:rPr>
          <w:rFonts w:hint="eastAsia" w:ascii="宋体" w:hAnsi="宋体" w:eastAsia="宋体" w:cs="Times New Roman"/>
          <w:color w:val="000000"/>
          <w:sz w:val="28"/>
          <w:szCs w:val="28"/>
          <w:lang w:val="en-US" w:eastAsia="zh-CN"/>
        </w:rPr>
        <w:t>月用于教育培训、设备设施维护、演练等安全投入约</w:t>
      </w:r>
      <w:r>
        <w:rPr>
          <w:rFonts w:hint="eastAsia" w:ascii="宋体" w:hAnsi="宋体" w:cs="Times New Roman"/>
          <w:color w:val="000000"/>
          <w:sz w:val="28"/>
          <w:szCs w:val="28"/>
          <w:lang w:val="en-US" w:eastAsia="zh-CN"/>
        </w:rPr>
        <w:t>1.5</w:t>
      </w:r>
      <w:r>
        <w:rPr>
          <w:rFonts w:hint="eastAsia" w:ascii="宋体" w:hAnsi="宋体" w:eastAsia="宋体" w:cs="Times New Roman"/>
          <w:color w:val="000000"/>
          <w:sz w:val="28"/>
          <w:szCs w:val="28"/>
          <w:lang w:val="en-US" w:eastAsia="zh-CN"/>
        </w:rPr>
        <w:t>万元</w:t>
      </w:r>
      <w:r>
        <w:rPr>
          <w:rFonts w:hint="eastAsia" w:ascii="宋体" w:hAnsi="宋体"/>
          <w:color w:val="000000" w:themeColor="text1"/>
          <w:sz w:val="28"/>
          <w:szCs w:val="28"/>
        </w:rPr>
        <w:t>。</w:t>
      </w:r>
    </w:p>
    <w:bookmarkEnd w:id="453"/>
    <w:bookmarkEnd w:id="454"/>
    <w:p>
      <w:pPr>
        <w:pStyle w:val="19"/>
        <w:spacing w:afterLines="100" w:line="500" w:lineRule="exact"/>
        <w:jc w:val="center"/>
        <w:rPr>
          <w:rFonts w:ascii="楷体_GB2312" w:hAnsi="宋体" w:eastAsia="楷体_GB2312"/>
          <w:color w:val="000000" w:themeColor="text1"/>
          <w:kern w:val="3"/>
        </w:rPr>
      </w:pPr>
      <w:bookmarkStart w:id="658" w:name="_Toc27247"/>
      <w:bookmarkStart w:id="659" w:name="_Toc23103"/>
      <w:bookmarkStart w:id="660" w:name="_Toc27021"/>
      <w:bookmarkStart w:id="661" w:name="_Toc194389903"/>
      <w:bookmarkStart w:id="662" w:name="_Toc11772"/>
      <w:bookmarkStart w:id="663" w:name="_Toc21560"/>
      <w:bookmarkStart w:id="664" w:name="_Toc25998"/>
      <w:bookmarkStart w:id="665" w:name="_Toc14885"/>
      <w:bookmarkStart w:id="666" w:name="_Toc12432"/>
      <w:bookmarkStart w:id="667" w:name="_Toc19665"/>
      <w:bookmarkStart w:id="668" w:name="_Toc24813"/>
      <w:bookmarkStart w:id="669" w:name="_Toc217444187"/>
      <w:bookmarkStart w:id="670" w:name="_Toc191728139"/>
      <w:bookmarkStart w:id="671" w:name="_Toc17212"/>
      <w:bookmarkStart w:id="672" w:name="_Toc4821"/>
      <w:bookmarkStart w:id="673" w:name="_Toc15751_WPSOffice_Level2"/>
      <w:bookmarkStart w:id="674" w:name="_Toc26380"/>
      <w:bookmarkStart w:id="675" w:name="_Toc191729699"/>
      <w:bookmarkStart w:id="676" w:name="_Toc7745"/>
      <w:bookmarkStart w:id="677" w:name="_Toc191729995"/>
      <w:bookmarkStart w:id="678" w:name="_Toc8599"/>
      <w:bookmarkStart w:id="679" w:name="_Toc16208"/>
      <w:bookmarkStart w:id="680" w:name="_Toc60043407"/>
      <w:bookmarkStart w:id="681" w:name="_Toc152344943"/>
      <w:bookmarkStart w:id="682" w:name="_Toc60043728"/>
      <w:r>
        <w:rPr>
          <w:rFonts w:hint="eastAsia" w:ascii="楷体_GB2312" w:hAnsi="宋体" w:eastAsia="楷体_GB2312"/>
          <w:color w:val="000000" w:themeColor="text1"/>
          <w:kern w:val="3"/>
        </w:rPr>
        <w:t>2.9安全管理</w:t>
      </w:r>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p>
    <w:p>
      <w:pPr>
        <w:pStyle w:val="19"/>
        <w:spacing w:afterLines="100" w:line="500" w:lineRule="exact"/>
        <w:rPr>
          <w:rFonts w:ascii="黑体" w:hAnsi="宋体" w:eastAsia="黑体"/>
          <w:color w:val="000000" w:themeColor="text1"/>
          <w:kern w:val="3"/>
          <w:sz w:val="28"/>
          <w:szCs w:val="28"/>
        </w:rPr>
      </w:pPr>
      <w:bookmarkStart w:id="683" w:name="_Toc23931"/>
      <w:bookmarkStart w:id="684" w:name="_Toc217444188"/>
      <w:bookmarkStart w:id="685" w:name="_Toc28666"/>
      <w:bookmarkStart w:id="686" w:name="_Toc27934"/>
      <w:bookmarkStart w:id="687" w:name="_Toc8798"/>
      <w:bookmarkStart w:id="688" w:name="_Toc191729700"/>
      <w:bookmarkStart w:id="689" w:name="_Toc24286"/>
      <w:bookmarkStart w:id="690" w:name="_Toc27154"/>
      <w:bookmarkStart w:id="691" w:name="_Toc194389904"/>
      <w:bookmarkStart w:id="692" w:name="_Toc25244"/>
      <w:bookmarkStart w:id="693" w:name="_Toc31587"/>
      <w:bookmarkStart w:id="694" w:name="_Toc31252"/>
      <w:bookmarkStart w:id="695" w:name="_Toc191728140"/>
      <w:bookmarkStart w:id="696" w:name="_Toc191729996"/>
      <w:bookmarkStart w:id="697" w:name="_Toc2900"/>
      <w:bookmarkStart w:id="698" w:name="_Toc2249"/>
      <w:r>
        <w:rPr>
          <w:rFonts w:hint="eastAsia" w:ascii="黑体" w:hAnsi="宋体" w:eastAsia="黑体"/>
          <w:color w:val="000000" w:themeColor="text1"/>
          <w:kern w:val="3"/>
          <w:sz w:val="28"/>
          <w:szCs w:val="28"/>
        </w:rPr>
        <w:t>2.9.1安全管理组织机构</w:t>
      </w:r>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p>
    <w:p>
      <w:pPr>
        <w:tabs>
          <w:tab w:val="left" w:pos="3168"/>
        </w:tabs>
        <w:adjustRightInd w:val="0"/>
        <w:snapToGrid w:val="0"/>
        <w:spacing w:line="500" w:lineRule="exact"/>
        <w:ind w:firstLine="560" w:firstLineChars="200"/>
        <w:rPr>
          <w:rFonts w:hint="eastAsia" w:eastAsia="宋体"/>
          <w:color w:val="000000" w:themeColor="text1"/>
          <w:sz w:val="24"/>
          <w:szCs w:val="24"/>
          <w:lang w:eastAsia="zh-CN"/>
        </w:rPr>
      </w:pPr>
      <w:r>
        <w:rPr>
          <w:rFonts w:hint="eastAsia" w:ascii="宋体" w:hAnsi="宋体"/>
          <w:color w:val="000000" w:themeColor="text1"/>
          <w:sz w:val="28"/>
          <w:szCs w:val="28"/>
        </w:rPr>
        <w:t>昭通市耀晨甲醇醇油有限公司</w:t>
      </w:r>
      <w:r>
        <w:rPr>
          <w:color w:val="000000" w:themeColor="text1"/>
          <w:sz w:val="28"/>
          <w:szCs w:val="28"/>
        </w:rPr>
        <w:t>成立了安全领导小组，制定了安全领导小组职责。</w:t>
      </w:r>
      <w:r>
        <w:rPr>
          <w:rFonts w:hint="eastAsia"/>
          <w:color w:val="000000" w:themeColor="text1"/>
          <w:sz w:val="28"/>
          <w:szCs w:val="28"/>
          <w:lang w:val="en-US" w:eastAsia="zh-CN"/>
        </w:rPr>
        <w:t>公司</w:t>
      </w:r>
      <w:r>
        <w:rPr>
          <w:rFonts w:ascii="宋体" w:hAnsi="宋体"/>
          <w:color w:val="000000"/>
          <w:sz w:val="28"/>
          <w:szCs w:val="28"/>
        </w:rPr>
        <w:t>设立</w:t>
      </w:r>
      <w:r>
        <w:rPr>
          <w:rFonts w:hint="eastAsia" w:ascii="宋体" w:hAnsi="宋体"/>
          <w:color w:val="000000"/>
          <w:sz w:val="28"/>
          <w:szCs w:val="28"/>
        </w:rPr>
        <w:t>了由全体员工参加，站长负责的</w:t>
      </w:r>
      <w:r>
        <w:rPr>
          <w:rFonts w:ascii="宋体" w:hAnsi="宋体"/>
          <w:color w:val="000000"/>
          <w:sz w:val="28"/>
          <w:szCs w:val="28"/>
        </w:rPr>
        <w:t>安全领导小组</w:t>
      </w:r>
      <w:r>
        <w:rPr>
          <w:rFonts w:hint="eastAsia" w:ascii="宋体" w:hAnsi="宋体"/>
          <w:color w:val="000000"/>
          <w:sz w:val="28"/>
          <w:szCs w:val="28"/>
        </w:rPr>
        <w:t>和</w:t>
      </w:r>
      <w:r>
        <w:rPr>
          <w:rFonts w:ascii="宋体" w:hAnsi="宋体"/>
          <w:color w:val="000000"/>
          <w:sz w:val="28"/>
          <w:szCs w:val="28"/>
        </w:rPr>
        <w:t>义务消防队</w:t>
      </w:r>
      <w:r>
        <w:rPr>
          <w:rFonts w:hint="eastAsia" w:ascii="宋体" w:hAnsi="宋体"/>
          <w:color w:val="000000"/>
          <w:sz w:val="28"/>
          <w:szCs w:val="28"/>
        </w:rPr>
        <w:t>；</w:t>
      </w:r>
      <w:r>
        <w:rPr>
          <w:rFonts w:ascii="宋体" w:hAnsi="宋体"/>
          <w:color w:val="000000"/>
          <w:sz w:val="28"/>
          <w:szCs w:val="28"/>
        </w:rPr>
        <w:t>有比较完善的安全管理制度</w:t>
      </w:r>
      <w:r>
        <w:rPr>
          <w:rFonts w:hint="eastAsia" w:ascii="宋体" w:hAnsi="宋体"/>
          <w:color w:val="000000"/>
          <w:sz w:val="28"/>
          <w:szCs w:val="28"/>
        </w:rPr>
        <w:t>；站长及安全员</w:t>
      </w:r>
      <w:r>
        <w:rPr>
          <w:rFonts w:ascii="宋体" w:hAnsi="宋体"/>
          <w:color w:val="000000"/>
          <w:sz w:val="28"/>
          <w:szCs w:val="28"/>
        </w:rPr>
        <w:t>参加</w:t>
      </w:r>
      <w:r>
        <w:rPr>
          <w:rFonts w:hint="eastAsia" w:ascii="宋体" w:hAnsi="宋体"/>
          <w:color w:val="000000"/>
          <w:sz w:val="28"/>
          <w:szCs w:val="28"/>
        </w:rPr>
        <w:t>了</w:t>
      </w:r>
      <w:r>
        <w:rPr>
          <w:rFonts w:ascii="宋体" w:hAnsi="宋体"/>
          <w:color w:val="000000"/>
          <w:sz w:val="28"/>
          <w:szCs w:val="28"/>
        </w:rPr>
        <w:t>培训</w:t>
      </w:r>
      <w:r>
        <w:rPr>
          <w:rFonts w:hint="eastAsia" w:ascii="宋体" w:hAnsi="宋体"/>
          <w:color w:val="000000"/>
          <w:sz w:val="28"/>
          <w:szCs w:val="28"/>
        </w:rPr>
        <w:t>并取得安全管理资格证。</w:t>
      </w:r>
    </w:p>
    <w:p>
      <w:pPr>
        <w:pStyle w:val="19"/>
        <w:spacing w:afterLines="100" w:line="500" w:lineRule="exact"/>
        <w:rPr>
          <w:rFonts w:ascii="黑体" w:hAnsi="宋体" w:eastAsia="黑体"/>
          <w:color w:val="000000" w:themeColor="text1"/>
          <w:kern w:val="3"/>
          <w:sz w:val="28"/>
          <w:szCs w:val="28"/>
        </w:rPr>
      </w:pPr>
      <w:bookmarkStart w:id="699" w:name="_Toc31718"/>
      <w:bookmarkStart w:id="700" w:name="_Toc4096"/>
      <w:bookmarkStart w:id="701" w:name="_Toc28931"/>
      <w:bookmarkStart w:id="702" w:name="_Toc17123"/>
      <w:bookmarkStart w:id="703" w:name="_Toc16769"/>
      <w:bookmarkStart w:id="704" w:name="_Toc17288"/>
      <w:bookmarkStart w:id="705" w:name="_Toc30055"/>
      <w:bookmarkStart w:id="706" w:name="_Toc15314"/>
      <w:bookmarkStart w:id="707" w:name="_Toc21198"/>
      <w:bookmarkStart w:id="708" w:name="_Toc23085"/>
      <w:r>
        <w:rPr>
          <w:rFonts w:hint="eastAsia" w:ascii="黑体" w:hAnsi="宋体" w:eastAsia="黑体"/>
          <w:color w:val="000000" w:themeColor="text1"/>
          <w:kern w:val="3"/>
          <w:sz w:val="28"/>
          <w:szCs w:val="28"/>
        </w:rPr>
        <w:t>2.9.2劳动定员及工作制度</w:t>
      </w:r>
      <w:bookmarkEnd w:id="699"/>
      <w:bookmarkEnd w:id="700"/>
      <w:bookmarkEnd w:id="701"/>
      <w:bookmarkEnd w:id="702"/>
      <w:bookmarkEnd w:id="703"/>
      <w:bookmarkEnd w:id="704"/>
      <w:bookmarkEnd w:id="705"/>
      <w:bookmarkEnd w:id="706"/>
      <w:bookmarkEnd w:id="707"/>
      <w:bookmarkEnd w:id="708"/>
    </w:p>
    <w:p>
      <w:pPr>
        <w:tabs>
          <w:tab w:val="left" w:pos="3168"/>
        </w:tabs>
        <w:adjustRightInd w:val="0"/>
        <w:snapToGrid w:val="0"/>
        <w:spacing w:line="500" w:lineRule="exact"/>
        <w:ind w:firstLine="560" w:firstLineChars="200"/>
        <w:rPr>
          <w:color w:val="000000" w:themeColor="text1"/>
          <w:sz w:val="28"/>
          <w:szCs w:val="28"/>
        </w:rPr>
      </w:pPr>
      <w:r>
        <w:rPr>
          <w:color w:val="000000" w:themeColor="text1"/>
          <w:sz w:val="28"/>
          <w:szCs w:val="28"/>
        </w:rPr>
        <w:t>目前，该公司涉及从业人员共有</w:t>
      </w:r>
      <w:r>
        <w:rPr>
          <w:rFonts w:hint="eastAsia"/>
          <w:color w:val="000000" w:themeColor="text1"/>
          <w:sz w:val="28"/>
          <w:szCs w:val="28"/>
          <w:lang w:val="en-US" w:eastAsia="zh-CN"/>
        </w:rPr>
        <w:t>3</w:t>
      </w:r>
      <w:r>
        <w:rPr>
          <w:color w:val="000000" w:themeColor="text1"/>
          <w:sz w:val="28"/>
          <w:szCs w:val="28"/>
        </w:rPr>
        <w:t>人，其中法人1名，安全员1名。该公司实行长白班，夜间安排人员值班。</w:t>
      </w:r>
    </w:p>
    <w:p>
      <w:pPr>
        <w:pStyle w:val="19"/>
        <w:spacing w:afterLines="100" w:line="500" w:lineRule="exact"/>
        <w:rPr>
          <w:rFonts w:ascii="黑体" w:hAnsi="宋体" w:eastAsia="黑体"/>
          <w:color w:val="000000" w:themeColor="text1"/>
          <w:kern w:val="3"/>
          <w:sz w:val="28"/>
          <w:szCs w:val="28"/>
        </w:rPr>
      </w:pPr>
      <w:bookmarkStart w:id="709" w:name="_Toc14156"/>
      <w:bookmarkStart w:id="710" w:name="_Toc18604"/>
      <w:bookmarkStart w:id="711" w:name="_Toc29344"/>
      <w:bookmarkStart w:id="712" w:name="_Toc8311"/>
      <w:bookmarkStart w:id="713" w:name="_Toc22270"/>
      <w:bookmarkStart w:id="714" w:name="_Toc4838"/>
      <w:bookmarkStart w:id="715" w:name="_Toc4645"/>
      <w:bookmarkStart w:id="716" w:name="_Toc28038"/>
      <w:bookmarkStart w:id="717" w:name="_Toc6277"/>
      <w:bookmarkStart w:id="718" w:name="_Toc9435"/>
      <w:r>
        <w:rPr>
          <w:rFonts w:hint="eastAsia" w:ascii="黑体" w:hAnsi="宋体" w:eastAsia="黑体"/>
          <w:color w:val="000000" w:themeColor="text1"/>
          <w:kern w:val="3"/>
          <w:sz w:val="28"/>
          <w:szCs w:val="28"/>
        </w:rPr>
        <w:t>2.9.3人员持证情况</w:t>
      </w:r>
      <w:bookmarkEnd w:id="709"/>
      <w:bookmarkEnd w:id="710"/>
      <w:bookmarkEnd w:id="711"/>
      <w:bookmarkEnd w:id="712"/>
      <w:bookmarkEnd w:id="713"/>
      <w:bookmarkEnd w:id="714"/>
      <w:bookmarkEnd w:id="715"/>
      <w:bookmarkEnd w:id="716"/>
      <w:bookmarkEnd w:id="717"/>
      <w:bookmarkEnd w:id="718"/>
    </w:p>
    <w:p>
      <w:pPr>
        <w:spacing w:line="500" w:lineRule="exact"/>
        <w:ind w:firstLine="560" w:firstLineChars="200"/>
        <w:rPr>
          <w:rFonts w:eastAsiaTheme="minorEastAsia"/>
          <w:b/>
          <w:color w:val="000000" w:themeColor="text1"/>
          <w:sz w:val="28"/>
          <w:szCs w:val="28"/>
        </w:rPr>
      </w:pPr>
      <w:r>
        <w:rPr>
          <w:rFonts w:hint="eastAsia" w:ascii="宋体" w:hAnsi="宋体"/>
          <w:color w:val="000000"/>
          <w:sz w:val="28"/>
          <w:szCs w:val="28"/>
          <w:lang w:val="en-US" w:eastAsia="zh-CN"/>
        </w:rPr>
        <w:t>公司法定代表人、</w:t>
      </w:r>
      <w:r>
        <w:rPr>
          <w:rFonts w:hint="eastAsia" w:ascii="宋体" w:hAnsi="宋体"/>
          <w:color w:val="000000"/>
          <w:sz w:val="28"/>
          <w:szCs w:val="28"/>
        </w:rPr>
        <w:t>安全管理人员经培训考核合格，取得安全管理合格证。作业人员经</w:t>
      </w:r>
      <w:r>
        <w:rPr>
          <w:rFonts w:hint="eastAsia" w:ascii="宋体" w:hAnsi="宋体"/>
          <w:color w:val="000000"/>
          <w:sz w:val="28"/>
          <w:szCs w:val="28"/>
          <w:lang w:val="en-US" w:eastAsia="zh-CN"/>
        </w:rPr>
        <w:t>公司</w:t>
      </w:r>
      <w:r>
        <w:rPr>
          <w:rFonts w:hint="eastAsia" w:ascii="宋体" w:hAnsi="宋体"/>
          <w:color w:val="000000"/>
          <w:sz w:val="28"/>
          <w:szCs w:val="28"/>
        </w:rPr>
        <w:t>内部培训合格、上岗作业</w:t>
      </w:r>
      <w:r>
        <w:rPr>
          <w:rFonts w:eastAsiaTheme="minorEastAsia"/>
          <w:color w:val="000000" w:themeColor="text1"/>
          <w:sz w:val="28"/>
          <w:szCs w:val="28"/>
        </w:rPr>
        <w:t>，具体安全管理人员资质情况如下表所示：</w:t>
      </w:r>
    </w:p>
    <w:p>
      <w:pPr>
        <w:rPr>
          <w:rFonts w:eastAsiaTheme="minorEastAsia"/>
          <w:bCs/>
          <w:color w:val="000000" w:themeColor="text1"/>
          <w:sz w:val="24"/>
        </w:rPr>
      </w:pPr>
      <w:r>
        <w:rPr>
          <w:rFonts w:eastAsiaTheme="minorEastAsia"/>
          <w:bCs/>
          <w:color w:val="000000" w:themeColor="text1"/>
          <w:sz w:val="24"/>
        </w:rPr>
        <w:br w:type="page"/>
      </w:r>
    </w:p>
    <w:p>
      <w:pPr>
        <w:spacing w:beforeLines="50"/>
        <w:jc w:val="center"/>
        <w:rPr>
          <w:rFonts w:eastAsiaTheme="minorEastAsia"/>
          <w:bCs/>
          <w:color w:val="000000" w:themeColor="text1"/>
          <w:sz w:val="24"/>
        </w:rPr>
      </w:pPr>
      <w:r>
        <w:rPr>
          <w:rFonts w:eastAsiaTheme="minorEastAsia"/>
          <w:bCs/>
          <w:color w:val="000000" w:themeColor="text1"/>
          <w:sz w:val="24"/>
        </w:rPr>
        <w:t>表2-</w:t>
      </w:r>
      <w:r>
        <w:rPr>
          <w:rFonts w:hint="eastAsia" w:eastAsiaTheme="minorEastAsia"/>
          <w:bCs/>
          <w:color w:val="000000" w:themeColor="text1"/>
          <w:sz w:val="24"/>
        </w:rPr>
        <w:t>6</w:t>
      </w:r>
      <w:r>
        <w:rPr>
          <w:rFonts w:eastAsiaTheme="minorEastAsia"/>
          <w:bCs/>
          <w:color w:val="000000" w:themeColor="text1"/>
          <w:sz w:val="24"/>
        </w:rPr>
        <w:t>安全管理人员持证情况表</w:t>
      </w:r>
    </w:p>
    <w:tbl>
      <w:tblPr>
        <w:tblStyle w:val="52"/>
        <w:tblW w:w="84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0"/>
        <w:gridCol w:w="910"/>
        <w:gridCol w:w="911"/>
        <w:gridCol w:w="2106"/>
        <w:gridCol w:w="1825"/>
        <w:gridCol w:w="19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777" w:type="dxa"/>
            <w:noWrap w:val="0"/>
            <w:vAlign w:val="center"/>
          </w:tcPr>
          <w:p>
            <w:pPr>
              <w:spacing w:line="360" w:lineRule="auto"/>
              <w:jc w:val="center"/>
              <w:rPr>
                <w:rFonts w:ascii="宋体" w:hAnsi="宋体"/>
                <w:szCs w:val="21"/>
              </w:rPr>
            </w:pPr>
            <w:r>
              <w:rPr>
                <w:rFonts w:ascii="宋体" w:hAnsi="宋体"/>
                <w:szCs w:val="21"/>
              </w:rPr>
              <w:t>序号</w:t>
            </w:r>
          </w:p>
        </w:tc>
        <w:tc>
          <w:tcPr>
            <w:tcW w:w="920" w:type="dxa"/>
            <w:noWrap w:val="0"/>
            <w:vAlign w:val="center"/>
          </w:tcPr>
          <w:p>
            <w:pPr>
              <w:spacing w:line="360" w:lineRule="auto"/>
              <w:jc w:val="center"/>
              <w:rPr>
                <w:rFonts w:ascii="宋体" w:hAnsi="宋体"/>
                <w:szCs w:val="21"/>
              </w:rPr>
            </w:pPr>
            <w:r>
              <w:rPr>
                <w:rFonts w:ascii="宋体" w:hAnsi="宋体"/>
                <w:szCs w:val="21"/>
              </w:rPr>
              <w:t>姓名</w:t>
            </w:r>
          </w:p>
        </w:tc>
        <w:tc>
          <w:tcPr>
            <w:tcW w:w="921" w:type="dxa"/>
            <w:noWrap w:val="0"/>
            <w:vAlign w:val="center"/>
          </w:tcPr>
          <w:p>
            <w:pPr>
              <w:spacing w:line="360" w:lineRule="auto"/>
              <w:jc w:val="center"/>
              <w:rPr>
                <w:rFonts w:ascii="宋体" w:hAnsi="宋体"/>
                <w:szCs w:val="21"/>
              </w:rPr>
            </w:pPr>
            <w:r>
              <w:rPr>
                <w:rFonts w:ascii="宋体" w:hAnsi="宋体"/>
                <w:szCs w:val="21"/>
              </w:rPr>
              <w:t>职 务</w:t>
            </w:r>
          </w:p>
        </w:tc>
        <w:tc>
          <w:tcPr>
            <w:tcW w:w="2036" w:type="dxa"/>
            <w:noWrap w:val="0"/>
            <w:vAlign w:val="center"/>
          </w:tcPr>
          <w:p>
            <w:pPr>
              <w:spacing w:line="360" w:lineRule="auto"/>
              <w:jc w:val="center"/>
              <w:rPr>
                <w:rFonts w:ascii="宋体" w:hAnsi="宋体"/>
                <w:szCs w:val="21"/>
              </w:rPr>
            </w:pPr>
            <w:r>
              <w:rPr>
                <w:rFonts w:ascii="宋体" w:hAnsi="宋体"/>
                <w:szCs w:val="21"/>
              </w:rPr>
              <w:t>证书类别及</w:t>
            </w:r>
            <w:r>
              <w:rPr>
                <w:rFonts w:hint="eastAsia" w:ascii="宋体" w:hAnsi="宋体"/>
                <w:szCs w:val="21"/>
              </w:rPr>
              <w:t>编</w:t>
            </w:r>
            <w:r>
              <w:rPr>
                <w:rFonts w:ascii="宋体" w:hAnsi="宋体"/>
                <w:szCs w:val="21"/>
              </w:rPr>
              <w:t>号</w:t>
            </w:r>
          </w:p>
        </w:tc>
        <w:tc>
          <w:tcPr>
            <w:tcW w:w="1836" w:type="dxa"/>
            <w:noWrap w:val="0"/>
            <w:vAlign w:val="center"/>
          </w:tcPr>
          <w:p>
            <w:pPr>
              <w:spacing w:line="360" w:lineRule="auto"/>
              <w:jc w:val="center"/>
              <w:rPr>
                <w:rFonts w:ascii="宋体" w:hAnsi="宋体"/>
                <w:szCs w:val="21"/>
              </w:rPr>
            </w:pPr>
            <w:r>
              <w:rPr>
                <w:rFonts w:ascii="宋体" w:hAnsi="宋体"/>
                <w:szCs w:val="21"/>
              </w:rPr>
              <w:t>有效期</w:t>
            </w:r>
          </w:p>
        </w:tc>
        <w:tc>
          <w:tcPr>
            <w:tcW w:w="1991" w:type="dxa"/>
            <w:noWrap w:val="0"/>
            <w:vAlign w:val="center"/>
          </w:tcPr>
          <w:p>
            <w:pPr>
              <w:spacing w:line="360" w:lineRule="auto"/>
              <w:jc w:val="center"/>
              <w:rPr>
                <w:rFonts w:ascii="宋体" w:hAnsi="宋体"/>
                <w:szCs w:val="21"/>
              </w:rPr>
            </w:pPr>
            <w:r>
              <w:rPr>
                <w:rFonts w:ascii="宋体" w:hAnsi="宋体"/>
                <w:szCs w:val="21"/>
              </w:rPr>
              <w:t>发证单位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777" w:type="dxa"/>
            <w:noWrap w:val="0"/>
            <w:vAlign w:val="center"/>
          </w:tcPr>
          <w:p>
            <w:pPr>
              <w:spacing w:line="360" w:lineRule="auto"/>
              <w:jc w:val="center"/>
              <w:rPr>
                <w:rFonts w:ascii="宋体" w:hAnsi="宋体"/>
                <w:szCs w:val="21"/>
              </w:rPr>
            </w:pPr>
            <w:r>
              <w:rPr>
                <w:rFonts w:ascii="宋体" w:hAnsi="宋体"/>
                <w:szCs w:val="21"/>
              </w:rPr>
              <w:t>1</w:t>
            </w:r>
          </w:p>
        </w:tc>
        <w:tc>
          <w:tcPr>
            <w:tcW w:w="920" w:type="dxa"/>
            <w:noWrap w:val="0"/>
            <w:vAlign w:val="center"/>
          </w:tcPr>
          <w:p>
            <w:pPr>
              <w:spacing w:line="360" w:lineRule="auto"/>
              <w:jc w:val="center"/>
              <w:rPr>
                <w:rFonts w:hint="default" w:ascii="宋体" w:hAnsi="宋体" w:eastAsia="宋体"/>
                <w:szCs w:val="21"/>
                <w:lang w:val="en-US" w:eastAsia="zh-CN"/>
              </w:rPr>
            </w:pPr>
            <w:r>
              <w:rPr>
                <w:rFonts w:hint="eastAsia" w:ascii="宋体" w:hAnsi="宋体"/>
                <w:szCs w:val="21"/>
                <w:lang w:val="en-US" w:eastAsia="zh-CN"/>
              </w:rPr>
              <w:t>杨明书</w:t>
            </w:r>
          </w:p>
        </w:tc>
        <w:tc>
          <w:tcPr>
            <w:tcW w:w="921" w:type="dxa"/>
            <w:noWrap w:val="0"/>
            <w:vAlign w:val="center"/>
          </w:tcPr>
          <w:p>
            <w:pPr>
              <w:spacing w:line="360" w:lineRule="auto"/>
              <w:jc w:val="center"/>
              <w:rPr>
                <w:rFonts w:hint="default" w:ascii="宋体" w:hAnsi="宋体" w:eastAsia="宋体"/>
                <w:szCs w:val="21"/>
                <w:lang w:val="en-US" w:eastAsia="zh-CN"/>
              </w:rPr>
            </w:pPr>
            <w:r>
              <w:rPr>
                <w:rFonts w:hint="eastAsia" w:ascii="宋体" w:hAnsi="宋体"/>
                <w:szCs w:val="21"/>
                <w:lang w:val="en-US" w:eastAsia="zh-CN"/>
              </w:rPr>
              <w:t>主要负责人</w:t>
            </w:r>
          </w:p>
        </w:tc>
        <w:tc>
          <w:tcPr>
            <w:tcW w:w="2036" w:type="dxa"/>
            <w:noWrap w:val="0"/>
            <w:vAlign w:val="center"/>
          </w:tcPr>
          <w:p>
            <w:pPr>
              <w:spacing w:line="360" w:lineRule="auto"/>
              <w:jc w:val="center"/>
              <w:rPr>
                <w:rFonts w:hint="default" w:ascii="宋体" w:hAnsi="宋体" w:eastAsia="宋体"/>
                <w:szCs w:val="21"/>
                <w:lang w:val="en-US" w:eastAsia="zh-CN"/>
              </w:rPr>
            </w:pPr>
            <w:r>
              <w:rPr>
                <w:rFonts w:hint="eastAsia" w:ascii="宋体" w:hAnsi="宋体"/>
                <w:szCs w:val="21"/>
                <w:lang w:val="en-US" w:eastAsia="zh-CN"/>
              </w:rPr>
              <w:t>532130196812270054</w:t>
            </w:r>
          </w:p>
        </w:tc>
        <w:tc>
          <w:tcPr>
            <w:tcW w:w="1836" w:type="dxa"/>
            <w:noWrap w:val="0"/>
            <w:vAlign w:val="center"/>
          </w:tcPr>
          <w:p>
            <w:pPr>
              <w:spacing w:line="360" w:lineRule="auto"/>
              <w:jc w:val="center"/>
              <w:rPr>
                <w:rFonts w:hint="default" w:ascii="宋体" w:hAnsi="宋体" w:eastAsia="宋体"/>
                <w:szCs w:val="21"/>
                <w:lang w:val="en-US" w:eastAsia="zh-CN"/>
              </w:rPr>
            </w:pPr>
            <w:r>
              <w:rPr>
                <w:rFonts w:hint="eastAsia" w:ascii="宋体" w:hAnsi="宋体"/>
                <w:szCs w:val="21"/>
                <w:lang w:val="en-US" w:eastAsia="zh-CN"/>
              </w:rPr>
              <w:t>2028-07-08</w:t>
            </w:r>
          </w:p>
        </w:tc>
        <w:tc>
          <w:tcPr>
            <w:tcW w:w="1991" w:type="dxa"/>
            <w:noWrap w:val="0"/>
            <w:vAlign w:val="center"/>
          </w:tcPr>
          <w:p>
            <w:pPr>
              <w:spacing w:line="360" w:lineRule="auto"/>
              <w:jc w:val="center"/>
              <w:rPr>
                <w:rFonts w:ascii="宋体" w:hAnsi="宋体"/>
                <w:szCs w:val="21"/>
              </w:rPr>
            </w:pPr>
            <w:r>
              <w:rPr>
                <w:rFonts w:hint="eastAsia" w:ascii="宋体" w:hAnsi="宋体"/>
                <w:szCs w:val="21"/>
                <w:lang w:val="en-US" w:eastAsia="zh-CN"/>
              </w:rPr>
              <w:t>昭通市</w:t>
            </w:r>
            <w:r>
              <w:rPr>
                <w:rFonts w:hint="eastAsia" w:ascii="宋体" w:hAnsi="宋体"/>
                <w:szCs w:val="21"/>
              </w:rPr>
              <w:t>应急管理局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777" w:type="dxa"/>
            <w:noWrap w:val="0"/>
            <w:vAlign w:val="center"/>
          </w:tcPr>
          <w:p>
            <w:pPr>
              <w:spacing w:line="300" w:lineRule="exact"/>
              <w:jc w:val="center"/>
              <w:rPr>
                <w:rFonts w:ascii="宋体" w:hAnsi="宋体"/>
                <w:szCs w:val="21"/>
              </w:rPr>
            </w:pPr>
            <w:r>
              <w:rPr>
                <w:rFonts w:hint="eastAsia" w:ascii="宋体" w:hAnsi="宋体"/>
                <w:szCs w:val="21"/>
              </w:rPr>
              <w:t>2</w:t>
            </w:r>
          </w:p>
        </w:tc>
        <w:tc>
          <w:tcPr>
            <w:tcW w:w="920" w:type="dxa"/>
            <w:noWrap w:val="0"/>
            <w:vAlign w:val="center"/>
          </w:tcPr>
          <w:p>
            <w:pPr>
              <w:jc w:val="center"/>
              <w:rPr>
                <w:rFonts w:hint="default" w:ascii="Times New Roman" w:hAnsi="Times New Roman" w:eastAsia="宋体" w:cs="Times New Roman"/>
                <w:smallCaps/>
                <w:color w:val="000000" w:themeColor="text1"/>
                <w:kern w:val="2"/>
                <w:sz w:val="21"/>
                <w:szCs w:val="21"/>
                <w:lang w:val="en-US" w:eastAsia="zh-CN" w:bidi="ar-SA"/>
              </w:rPr>
            </w:pPr>
            <w:r>
              <w:rPr>
                <w:rFonts w:hint="eastAsia"/>
                <w:smallCaps/>
                <w:color w:val="000000" w:themeColor="text1"/>
                <w:szCs w:val="21"/>
                <w:lang w:val="en-US" w:eastAsia="zh-CN"/>
              </w:rPr>
              <w:t>马向琼</w:t>
            </w:r>
          </w:p>
        </w:tc>
        <w:tc>
          <w:tcPr>
            <w:tcW w:w="921" w:type="dxa"/>
            <w:noWrap w:val="0"/>
            <w:vAlign w:val="center"/>
          </w:tcPr>
          <w:p>
            <w:pPr>
              <w:jc w:val="center"/>
              <w:rPr>
                <w:rFonts w:hint="default" w:ascii="Times New Roman" w:hAnsi="Times New Roman" w:eastAsia="宋体" w:cs="Times New Roman"/>
                <w:smallCaps/>
                <w:color w:val="000000" w:themeColor="text1"/>
                <w:kern w:val="2"/>
                <w:sz w:val="21"/>
                <w:szCs w:val="21"/>
                <w:lang w:val="en-US" w:eastAsia="zh-CN" w:bidi="ar-SA"/>
              </w:rPr>
            </w:pPr>
            <w:r>
              <w:rPr>
                <w:rFonts w:hint="eastAsia"/>
                <w:smallCaps/>
                <w:color w:val="000000" w:themeColor="text1"/>
                <w:szCs w:val="21"/>
              </w:rPr>
              <w:t>安全管理人员</w:t>
            </w:r>
          </w:p>
        </w:tc>
        <w:tc>
          <w:tcPr>
            <w:tcW w:w="2036" w:type="dxa"/>
            <w:noWrap w:val="0"/>
            <w:vAlign w:val="center"/>
          </w:tcPr>
          <w:p>
            <w:pPr>
              <w:spacing w:line="360" w:lineRule="auto"/>
              <w:jc w:val="center"/>
              <w:rPr>
                <w:rFonts w:hint="default" w:ascii="宋体" w:hAnsi="宋体"/>
                <w:szCs w:val="21"/>
                <w:lang w:val="en-US" w:eastAsia="zh-CN"/>
              </w:rPr>
            </w:pPr>
            <w:r>
              <w:rPr>
                <w:rFonts w:hint="eastAsia" w:ascii="宋体" w:hAnsi="宋体"/>
                <w:szCs w:val="21"/>
                <w:lang w:val="en-US" w:eastAsia="zh-CN"/>
              </w:rPr>
              <w:t>510524197012244484</w:t>
            </w:r>
          </w:p>
        </w:tc>
        <w:tc>
          <w:tcPr>
            <w:tcW w:w="1836" w:type="dxa"/>
            <w:noWrap w:val="0"/>
            <w:vAlign w:val="center"/>
          </w:tcPr>
          <w:p>
            <w:pPr>
              <w:jc w:val="center"/>
              <w:rPr>
                <w:rFonts w:hint="default" w:ascii="Times New Roman" w:hAnsi="Times New Roman" w:eastAsia="宋体" w:cs="Times New Roman"/>
                <w:smallCaps/>
                <w:color w:val="000000" w:themeColor="text1"/>
                <w:kern w:val="2"/>
                <w:sz w:val="18"/>
                <w:szCs w:val="18"/>
                <w:lang w:val="en-US" w:eastAsia="zh-CN" w:bidi="ar-SA"/>
              </w:rPr>
            </w:pPr>
            <w:r>
              <w:rPr>
                <w:rFonts w:hint="eastAsia" w:ascii="宋体" w:hAnsi="宋体"/>
                <w:szCs w:val="21"/>
                <w:lang w:val="en-US" w:eastAsia="zh-CN"/>
              </w:rPr>
              <w:t>2028-04-07</w:t>
            </w:r>
          </w:p>
        </w:tc>
        <w:tc>
          <w:tcPr>
            <w:tcW w:w="1991" w:type="dxa"/>
            <w:noWrap w:val="0"/>
            <w:vAlign w:val="center"/>
          </w:tcPr>
          <w:p>
            <w:pPr>
              <w:spacing w:line="360" w:lineRule="auto"/>
              <w:jc w:val="center"/>
              <w:rPr>
                <w:rFonts w:hint="default" w:ascii="宋体" w:hAnsi="宋体" w:eastAsia="宋体" w:cs="Times New Roman"/>
                <w:kern w:val="2"/>
                <w:sz w:val="21"/>
                <w:szCs w:val="21"/>
                <w:lang w:val="en-US" w:eastAsia="zh-CN" w:bidi="ar-SA"/>
              </w:rPr>
            </w:pPr>
            <w:r>
              <w:rPr>
                <w:rFonts w:hint="eastAsia" w:ascii="宋体" w:hAnsi="宋体"/>
                <w:szCs w:val="21"/>
                <w:lang w:val="en-US" w:eastAsia="zh-CN"/>
              </w:rPr>
              <w:t>昭通市</w:t>
            </w:r>
            <w:r>
              <w:rPr>
                <w:rFonts w:hint="eastAsia" w:ascii="宋体" w:hAnsi="宋体"/>
                <w:szCs w:val="21"/>
              </w:rPr>
              <w:t>应急管理局</w:t>
            </w:r>
          </w:p>
        </w:tc>
      </w:tr>
    </w:tbl>
    <w:p>
      <w:pPr>
        <w:tabs>
          <w:tab w:val="left" w:pos="3168"/>
        </w:tabs>
        <w:adjustRightInd w:val="0"/>
        <w:snapToGrid w:val="0"/>
        <w:spacing w:line="500" w:lineRule="exact"/>
        <w:ind w:firstLine="560" w:firstLineChars="200"/>
        <w:rPr>
          <w:color w:val="000000" w:themeColor="text1"/>
          <w:kern w:val="0"/>
          <w:sz w:val="28"/>
          <w:szCs w:val="28"/>
        </w:rPr>
      </w:pPr>
      <w:r>
        <w:rPr>
          <w:rFonts w:hint="eastAsia"/>
          <w:color w:val="000000" w:themeColor="text1"/>
          <w:kern w:val="0"/>
          <w:sz w:val="28"/>
          <w:szCs w:val="28"/>
        </w:rPr>
        <w:t>公司</w:t>
      </w:r>
      <w:r>
        <w:rPr>
          <w:color w:val="000000" w:themeColor="text1"/>
          <w:kern w:val="0"/>
          <w:sz w:val="28"/>
          <w:szCs w:val="28"/>
        </w:rPr>
        <w:t>其它操作人员经公司安全教育培训合格后上岗，涉及的电工委托有资质的人或由当地供电部门作业。</w:t>
      </w:r>
    </w:p>
    <w:p>
      <w:pPr>
        <w:pStyle w:val="19"/>
        <w:spacing w:afterLines="100" w:line="500" w:lineRule="exact"/>
        <w:rPr>
          <w:rFonts w:hint="eastAsia" w:ascii="黑体" w:hAnsi="宋体" w:eastAsia="黑体"/>
          <w:color w:val="000000" w:themeColor="text1"/>
          <w:kern w:val="3"/>
          <w:sz w:val="28"/>
          <w:szCs w:val="28"/>
        </w:rPr>
      </w:pPr>
      <w:bookmarkStart w:id="719" w:name="_Toc191729997"/>
      <w:bookmarkStart w:id="720" w:name="_Toc191729701"/>
      <w:bookmarkStart w:id="721" w:name="_Toc191728141"/>
      <w:bookmarkStart w:id="722" w:name="_Toc217444189"/>
      <w:bookmarkStart w:id="723" w:name="_Toc15329"/>
      <w:bookmarkStart w:id="724" w:name="_Toc194389905"/>
      <w:bookmarkStart w:id="725" w:name="_Toc18645"/>
      <w:bookmarkStart w:id="726" w:name="_Toc11769"/>
      <w:bookmarkStart w:id="727" w:name="_Toc7881"/>
      <w:bookmarkStart w:id="728" w:name="_Toc14218"/>
      <w:bookmarkStart w:id="729" w:name="_Toc18652"/>
      <w:bookmarkStart w:id="730" w:name="_Toc11635"/>
      <w:bookmarkStart w:id="731" w:name="_Toc11239"/>
      <w:bookmarkStart w:id="732" w:name="_Toc1947"/>
      <w:bookmarkStart w:id="733" w:name="_Toc1840"/>
      <w:bookmarkStart w:id="734" w:name="_Toc7389"/>
      <w:bookmarkStart w:id="735" w:name="_Toc191728144"/>
      <w:bookmarkStart w:id="736" w:name="_Toc191729704"/>
      <w:bookmarkStart w:id="737" w:name="_Toc191730000"/>
      <w:r>
        <w:rPr>
          <w:rFonts w:hint="eastAsia" w:ascii="黑体" w:hAnsi="宋体" w:eastAsia="黑体"/>
          <w:color w:val="000000" w:themeColor="text1"/>
          <w:kern w:val="3"/>
          <w:sz w:val="28"/>
          <w:szCs w:val="28"/>
        </w:rPr>
        <w:t>2.9.4安全</w:t>
      </w:r>
      <w:bookmarkEnd w:id="719"/>
      <w:bookmarkEnd w:id="720"/>
      <w:bookmarkEnd w:id="721"/>
      <w:bookmarkEnd w:id="722"/>
      <w:bookmarkEnd w:id="723"/>
      <w:bookmarkEnd w:id="724"/>
      <w:r>
        <w:rPr>
          <w:rFonts w:hint="eastAsia" w:ascii="黑体" w:hAnsi="宋体" w:eastAsia="黑体"/>
          <w:color w:val="000000" w:themeColor="text1"/>
          <w:kern w:val="3"/>
          <w:sz w:val="28"/>
          <w:szCs w:val="28"/>
        </w:rPr>
        <w:t>管理规章制度</w:t>
      </w:r>
      <w:bookmarkEnd w:id="725"/>
      <w:bookmarkEnd w:id="726"/>
      <w:bookmarkEnd w:id="727"/>
      <w:bookmarkEnd w:id="728"/>
      <w:bookmarkEnd w:id="729"/>
      <w:bookmarkEnd w:id="730"/>
      <w:bookmarkEnd w:id="731"/>
      <w:bookmarkEnd w:id="732"/>
      <w:bookmarkEnd w:id="733"/>
      <w:bookmarkEnd w:id="734"/>
    </w:p>
    <w:p>
      <w:pPr>
        <w:ind w:firstLine="560" w:firstLineChars="200"/>
        <w:rPr>
          <w:rFonts w:hint="eastAsia" w:ascii="宋体" w:hAnsi="宋体"/>
          <w:color w:val="000000"/>
          <w:sz w:val="28"/>
          <w:szCs w:val="28"/>
          <w:lang w:eastAsia="zh-CN"/>
        </w:rPr>
      </w:pPr>
      <w:r>
        <w:rPr>
          <w:rFonts w:hint="eastAsia" w:ascii="宋体" w:hAnsi="宋体"/>
          <w:color w:val="000000"/>
          <w:sz w:val="28"/>
          <w:szCs w:val="28"/>
        </w:rPr>
        <w:t>为保障企业的安全生产，贯彻“安全第一、预防为主、综合治理”的方针，根据《安全生产法》的规定，结合自身实际情况，设立了以</w:t>
      </w:r>
      <w:r>
        <w:rPr>
          <w:rFonts w:hint="eastAsia" w:ascii="宋体" w:hAnsi="宋体"/>
          <w:color w:val="000000"/>
          <w:sz w:val="28"/>
          <w:szCs w:val="28"/>
          <w:lang w:val="en-US" w:eastAsia="zh-CN"/>
        </w:rPr>
        <w:t>公司法人</w:t>
      </w:r>
      <w:r>
        <w:rPr>
          <w:rFonts w:hint="eastAsia" w:ascii="宋体" w:hAnsi="宋体"/>
          <w:color w:val="000000"/>
          <w:sz w:val="28"/>
          <w:szCs w:val="28"/>
        </w:rPr>
        <w:t>及安全员组成的安全生产领导小组，并任命了专职安全员。同时，依据</w:t>
      </w:r>
      <w:r>
        <w:rPr>
          <w:rFonts w:hint="eastAsia" w:ascii="宋体" w:hAnsi="宋体"/>
          <w:color w:val="000000"/>
          <w:sz w:val="28"/>
          <w:szCs w:val="28"/>
          <w:lang w:val="en-US" w:eastAsia="zh-CN"/>
        </w:rPr>
        <w:t>公司的实际经营情况</w:t>
      </w:r>
      <w:r>
        <w:rPr>
          <w:rFonts w:hint="eastAsia" w:ascii="宋体" w:hAnsi="宋体"/>
          <w:color w:val="000000"/>
          <w:sz w:val="28"/>
          <w:szCs w:val="28"/>
        </w:rPr>
        <w:t>制定</w:t>
      </w:r>
      <w:r>
        <w:rPr>
          <w:rFonts w:hint="eastAsia" w:ascii="宋体" w:hAnsi="宋体"/>
          <w:color w:val="000000"/>
          <w:sz w:val="28"/>
          <w:szCs w:val="28"/>
          <w:lang w:eastAsia="zh-CN"/>
        </w:rPr>
        <w:t>了</w:t>
      </w:r>
      <w:r>
        <w:rPr>
          <w:rFonts w:hint="eastAsia" w:ascii="宋体" w:hAnsi="宋体"/>
          <w:color w:val="000000"/>
          <w:sz w:val="28"/>
          <w:szCs w:val="28"/>
        </w:rPr>
        <w:t>安全生产管理制度、操作规程等，</w:t>
      </w:r>
      <w:r>
        <w:rPr>
          <w:rFonts w:hint="eastAsia" w:ascii="宋体" w:hAnsi="宋体"/>
          <w:color w:val="000000"/>
          <w:sz w:val="28"/>
          <w:szCs w:val="28"/>
          <w:lang w:val="en-US" w:eastAsia="zh-CN"/>
        </w:rPr>
        <w:t>公司</w:t>
      </w:r>
      <w:r>
        <w:rPr>
          <w:rFonts w:hint="eastAsia" w:ascii="宋体" w:hAnsi="宋体"/>
          <w:color w:val="000000"/>
          <w:sz w:val="28"/>
          <w:szCs w:val="28"/>
        </w:rPr>
        <w:t>在生产过程中严格执行规章制度，保障生产安全</w:t>
      </w:r>
      <w:r>
        <w:rPr>
          <w:rFonts w:hint="eastAsia" w:ascii="宋体" w:hAnsi="宋体"/>
          <w:color w:val="000000"/>
          <w:sz w:val="28"/>
          <w:szCs w:val="28"/>
          <w:lang w:eastAsia="zh-CN"/>
        </w:rPr>
        <w:t>。</w:t>
      </w:r>
    </w:p>
    <w:p>
      <w:pPr>
        <w:spacing w:line="500" w:lineRule="exact"/>
        <w:rPr>
          <w:rFonts w:ascii="宋体" w:hAnsi="宋体"/>
          <w:b/>
          <w:color w:val="000000"/>
          <w:sz w:val="28"/>
        </w:rPr>
      </w:pPr>
      <w:r>
        <w:rPr>
          <w:rFonts w:hint="eastAsia" w:ascii="宋体" w:hAnsi="宋体"/>
          <w:b/>
          <w:color w:val="000000"/>
          <w:sz w:val="28"/>
        </w:rPr>
        <w:t>1.</w:t>
      </w:r>
      <w:r>
        <w:rPr>
          <w:rFonts w:ascii="宋体" w:hAnsi="宋体"/>
          <w:b/>
          <w:color w:val="000000"/>
          <w:sz w:val="28"/>
        </w:rPr>
        <w:t>安全管理网络图</w:t>
      </w:r>
    </w:p>
    <w:p>
      <w:pPr>
        <w:ind w:firstLine="420" w:firstLineChars="200"/>
        <w:rPr>
          <w:rFonts w:hint="eastAsia" w:ascii="宋体" w:hAnsi="宋体"/>
          <w:color w:val="000000"/>
        </w:rPr>
      </w:pPr>
    </w:p>
    <w:p>
      <w:pPr>
        <w:ind w:firstLine="420" w:firstLineChars="200"/>
        <w:rPr>
          <w:rFonts w:hint="eastAsia" w:ascii="宋体" w:hAnsi="宋体"/>
          <w:color w:val="000000"/>
        </w:rPr>
      </w:pPr>
      <w:r>
        <w:rPr>
          <w:rFonts w:hint="eastAsia" w:ascii="宋体" w:hAnsi="宋体"/>
          <w:color w:val="000000"/>
        </w:rPr>
        <w:pict>
          <v:rect id="_x0000_s2058" o:spid="_x0000_s2058" o:spt="1" style="position:absolute;left:0pt;margin-left:135pt;margin-top:0.75pt;height:22.65pt;width:162pt;z-index:251666432;mso-width-relative:page;mso-height-relative:page;" coordsize="21600,21600">
            <v:path/>
            <v:fill focussize="0,0"/>
            <v:stroke/>
            <v:imagedata o:title=""/>
            <o:lock v:ext="edit"/>
            <v:textbox>
              <w:txbxContent>
                <w:p>
                  <w:pPr>
                    <w:pStyle w:val="120"/>
                    <w:keepNext w:val="0"/>
                    <w:widowControl w:val="0"/>
                    <w:overflowPunct/>
                    <w:adjustRightInd/>
                    <w:snapToGrid/>
                    <w:spacing w:before="0" w:after="0" w:line="240" w:lineRule="auto"/>
                    <w:textAlignment w:val="auto"/>
                    <w:rPr>
                      <w:rFonts w:hint="default" w:ascii="宋体" w:hAnsi="宋体" w:eastAsia="宋体"/>
                      <w:kern w:val="2"/>
                      <w:szCs w:val="24"/>
                      <w:lang w:val="en-US" w:eastAsia="zh-CN"/>
                    </w:rPr>
                  </w:pPr>
                  <w:r>
                    <w:rPr>
                      <w:rFonts w:hint="eastAsia" w:ascii="宋体" w:hAnsi="宋体" w:eastAsia="宋体"/>
                      <w:kern w:val="2"/>
                      <w:szCs w:val="24"/>
                      <w:lang w:val="en-US" w:eastAsia="zh-CN"/>
                    </w:rPr>
                    <w:t>负责人：杨明书</w:t>
                  </w:r>
                </w:p>
              </w:txbxContent>
            </v:textbox>
          </v:rect>
        </w:pict>
      </w:r>
    </w:p>
    <w:p>
      <w:pPr>
        <w:ind w:firstLine="420" w:firstLineChars="200"/>
        <w:rPr>
          <w:rFonts w:hint="eastAsia" w:ascii="宋体" w:hAnsi="宋体"/>
          <w:color w:val="000000"/>
        </w:rPr>
      </w:pPr>
      <w:r>
        <w:rPr>
          <w:rFonts w:hint="eastAsia" w:ascii="宋体" w:hAnsi="宋体"/>
          <w:color w:val="000000"/>
        </w:rPr>
        <w:pict>
          <v:line id="_x0000_s2059" o:spid="_x0000_s2059" o:spt="20" style="position:absolute;left:0pt;margin-left:216pt;margin-top:7.8pt;height:23.4pt;width:0pt;z-index:251668480;mso-width-relative:page;mso-height-relative:page;" filled="f" coordsize="21600,21600">
            <v:path arrowok="t"/>
            <v:fill on="f" focussize="0,0"/>
            <v:stroke endarrow="block"/>
            <v:imagedata o:title=""/>
            <o:lock v:ext="edit"/>
          </v:line>
        </w:pict>
      </w:r>
    </w:p>
    <w:p>
      <w:pPr>
        <w:ind w:firstLine="420" w:firstLineChars="200"/>
        <w:rPr>
          <w:rFonts w:hint="eastAsia" w:ascii="宋体" w:hAnsi="宋体"/>
          <w:color w:val="000000"/>
        </w:rPr>
      </w:pPr>
    </w:p>
    <w:p>
      <w:pPr>
        <w:ind w:firstLine="420" w:firstLineChars="200"/>
        <w:rPr>
          <w:rFonts w:hint="eastAsia" w:ascii="宋体" w:hAnsi="宋体"/>
          <w:color w:val="000000"/>
        </w:rPr>
      </w:pPr>
      <w:r>
        <w:rPr>
          <w:rFonts w:hint="eastAsia" w:ascii="宋体" w:hAnsi="宋体"/>
          <w:color w:val="000000"/>
        </w:rPr>
        <w:pict>
          <v:rect id="_x0000_s2060" o:spid="_x0000_s2060" o:spt="1" style="position:absolute;left:0pt;margin-left:138.55pt;margin-top:0.75pt;height:22.65pt;width:157.75pt;z-index:251667456;mso-width-relative:page;mso-height-relative:page;" fillcolor="#FFFFFF" filled="t" stroked="t" coordsize="21600,21600">
            <v:path/>
            <v:fill on="t" color2="#FFFFFF" focussize="0,0"/>
            <v:stroke joinstyle="miter"/>
            <v:imagedata o:title=""/>
            <o:lock v:ext="edit" aspectratio="f"/>
            <v:textbox>
              <w:txbxContent>
                <w:p>
                  <w:pPr>
                    <w:pStyle w:val="120"/>
                    <w:keepNext w:val="0"/>
                    <w:widowControl w:val="0"/>
                    <w:overflowPunct/>
                    <w:adjustRightInd/>
                    <w:snapToGrid/>
                    <w:spacing w:before="0" w:after="0" w:line="240" w:lineRule="auto"/>
                    <w:textAlignment w:val="auto"/>
                    <w:rPr>
                      <w:rFonts w:hint="default" w:ascii="宋体" w:hAnsi="宋体" w:eastAsia="宋体"/>
                      <w:kern w:val="2"/>
                      <w:szCs w:val="24"/>
                      <w:lang w:val="en-US" w:eastAsia="zh-CN"/>
                    </w:rPr>
                  </w:pPr>
                  <w:r>
                    <w:rPr>
                      <w:rFonts w:hint="eastAsia" w:ascii="宋体" w:hAnsi="宋体" w:eastAsia="宋体"/>
                      <w:kern w:val="2"/>
                      <w:szCs w:val="24"/>
                      <w:lang w:val="en-US" w:eastAsia="zh-CN"/>
                    </w:rPr>
                    <w:t>安全员：马向琼</w:t>
                  </w:r>
                </w:p>
              </w:txbxContent>
            </v:textbox>
          </v:rect>
        </w:pict>
      </w:r>
    </w:p>
    <w:p>
      <w:pPr>
        <w:ind w:firstLine="420" w:firstLineChars="200"/>
        <w:rPr>
          <w:rFonts w:hint="eastAsia" w:ascii="宋体" w:hAnsi="宋体"/>
          <w:color w:val="000000"/>
        </w:rPr>
      </w:pPr>
      <w:r>
        <w:rPr>
          <w:rFonts w:hint="eastAsia" w:ascii="宋体" w:hAnsi="宋体"/>
          <w:color w:val="000000"/>
        </w:rPr>
        <w:pict>
          <v:line id="_x0000_s2061" o:spid="_x0000_s2061" o:spt="20" style="position:absolute;left:0pt;margin-left:216pt;margin-top:7.8pt;height:23.4pt;width:0pt;z-index:251670528;mso-width-relative:page;mso-height-relative:page;" filled="f" coordsize="21600,21600">
            <v:path arrowok="t"/>
            <v:fill on="f" focussize="0,0"/>
            <v:stroke endarrow="block"/>
            <v:imagedata o:title=""/>
            <o:lock v:ext="edit"/>
          </v:line>
        </w:pict>
      </w:r>
    </w:p>
    <w:p>
      <w:pPr>
        <w:ind w:firstLine="420" w:firstLineChars="200"/>
        <w:rPr>
          <w:rFonts w:hint="eastAsia" w:ascii="宋体" w:hAnsi="宋体"/>
          <w:color w:val="000000"/>
        </w:rPr>
      </w:pPr>
    </w:p>
    <w:p>
      <w:pPr>
        <w:rPr>
          <w:rFonts w:hint="eastAsia" w:ascii="宋体" w:hAnsi="宋体"/>
          <w:color w:val="000000"/>
        </w:rPr>
      </w:pPr>
      <w:r>
        <w:rPr>
          <w:rFonts w:hint="eastAsia" w:ascii="宋体" w:hAnsi="宋体"/>
          <w:color w:val="000000"/>
        </w:rPr>
        <w:pict>
          <v:rect id="_x0000_s2062" o:spid="_x0000_s2062" o:spt="1" style="position:absolute;left:0pt;margin-left:135pt;margin-top:3pt;height:22.65pt;width:162pt;z-index:251669504;mso-width-relative:page;mso-height-relative:page;" coordsize="21600,21600">
            <v:path/>
            <v:fill focussize="0,0"/>
            <v:stroke/>
            <v:imagedata o:title=""/>
            <o:lock v:ext="edit"/>
            <v:textbox>
              <w:txbxContent>
                <w:p>
                  <w:pPr>
                    <w:pStyle w:val="120"/>
                    <w:keepNext w:val="0"/>
                    <w:widowControl w:val="0"/>
                    <w:overflowPunct/>
                    <w:adjustRightInd/>
                    <w:snapToGrid/>
                    <w:spacing w:before="0" w:after="0" w:line="240" w:lineRule="auto"/>
                    <w:textAlignment w:val="auto"/>
                    <w:rPr>
                      <w:rFonts w:ascii="宋体" w:hAnsi="宋体" w:eastAsia="宋体"/>
                      <w:kern w:val="2"/>
                      <w:szCs w:val="24"/>
                      <w:lang w:val="en-US" w:eastAsia="zh-CN"/>
                    </w:rPr>
                  </w:pPr>
                  <w:r>
                    <w:rPr>
                      <w:rFonts w:hint="eastAsia" w:ascii="宋体" w:hAnsi="宋体" w:eastAsia="宋体"/>
                      <w:kern w:val="2"/>
                      <w:szCs w:val="24"/>
                      <w:lang w:val="en-US" w:eastAsia="zh-CN"/>
                    </w:rPr>
                    <w:t>全体工作人员</w:t>
                  </w:r>
                </w:p>
              </w:txbxContent>
            </v:textbox>
          </v:rect>
        </w:pict>
      </w:r>
    </w:p>
    <w:p>
      <w:pPr>
        <w:rPr>
          <w:rFonts w:hint="eastAsia" w:ascii="宋体" w:hAnsi="宋体"/>
          <w:color w:val="000000"/>
        </w:rPr>
      </w:pPr>
    </w:p>
    <w:p>
      <w:pPr>
        <w:spacing w:line="500" w:lineRule="exact"/>
        <w:rPr>
          <w:rFonts w:hint="eastAsia" w:ascii="宋体" w:hAnsi="宋体"/>
          <w:b/>
          <w:color w:val="000000"/>
          <w:sz w:val="28"/>
        </w:rPr>
      </w:pPr>
      <w:r>
        <w:rPr>
          <w:rFonts w:hint="eastAsia" w:ascii="宋体" w:hAnsi="宋体"/>
          <w:b/>
          <w:color w:val="000000"/>
          <w:sz w:val="28"/>
        </w:rPr>
        <w:t>2.</w:t>
      </w:r>
      <w:r>
        <w:rPr>
          <w:rFonts w:ascii="宋体" w:hAnsi="宋体"/>
          <w:b/>
          <w:color w:val="000000"/>
          <w:sz w:val="28"/>
        </w:rPr>
        <w:t xml:space="preserve"> 安全管理职责分工</w:t>
      </w:r>
    </w:p>
    <w:p>
      <w:pPr>
        <w:spacing w:line="500" w:lineRule="exact"/>
        <w:ind w:firstLine="537" w:firstLineChars="192"/>
        <w:rPr>
          <w:rFonts w:hint="eastAsia" w:ascii="宋体" w:hAnsi="宋体"/>
          <w:color w:val="000000"/>
          <w:sz w:val="28"/>
          <w:szCs w:val="28"/>
          <w:lang w:eastAsia="zh-CN"/>
        </w:rPr>
      </w:pPr>
      <w:r>
        <w:rPr>
          <w:rFonts w:hint="eastAsia" w:ascii="宋体" w:hAnsi="宋体"/>
          <w:color w:val="000000"/>
          <w:sz w:val="28"/>
          <w:szCs w:val="28"/>
        </w:rPr>
        <w:t>（</w:t>
      </w:r>
      <w:r>
        <w:rPr>
          <w:rFonts w:ascii="宋体" w:hAnsi="宋体"/>
          <w:color w:val="000000"/>
          <w:sz w:val="28"/>
          <w:szCs w:val="28"/>
        </w:rPr>
        <w:t>1）</w:t>
      </w:r>
      <w:r>
        <w:rPr>
          <w:rFonts w:hint="eastAsia" w:ascii="宋体" w:hAnsi="宋体"/>
          <w:color w:val="000000"/>
          <w:sz w:val="28"/>
          <w:szCs w:val="28"/>
          <w:lang w:eastAsia="zh-CN"/>
        </w:rPr>
        <w:t>昭通市耀晨甲醇醇油有限公司</w:t>
      </w:r>
      <w:r>
        <w:rPr>
          <w:rFonts w:hint="eastAsia" w:ascii="宋体" w:hAnsi="宋体"/>
          <w:color w:val="000000"/>
          <w:sz w:val="28"/>
          <w:szCs w:val="28"/>
          <w:lang w:val="en-US" w:eastAsia="zh-CN"/>
        </w:rPr>
        <w:t>负责人</w:t>
      </w:r>
      <w:r>
        <w:rPr>
          <w:rFonts w:hint="eastAsia" w:ascii="宋体" w:hAnsi="宋体"/>
          <w:color w:val="000000"/>
          <w:sz w:val="28"/>
          <w:szCs w:val="28"/>
          <w:lang w:eastAsia="zh-CN"/>
        </w:rPr>
        <w:t>：负责昭通市耀晨甲醇醇油有限公司的全面安全工作。</w:t>
      </w:r>
    </w:p>
    <w:p>
      <w:pPr>
        <w:spacing w:line="500" w:lineRule="exact"/>
        <w:ind w:firstLine="537" w:firstLineChars="192"/>
        <w:rPr>
          <w:rFonts w:ascii="宋体" w:hAnsi="宋体"/>
          <w:color w:val="000000"/>
          <w:sz w:val="28"/>
          <w:szCs w:val="28"/>
        </w:rPr>
      </w:pPr>
      <w:r>
        <w:rPr>
          <w:rFonts w:hint="eastAsia" w:ascii="宋体" w:hAnsi="宋体"/>
          <w:color w:val="000000"/>
          <w:sz w:val="28"/>
          <w:szCs w:val="28"/>
        </w:rPr>
        <w:t>（2）</w:t>
      </w:r>
      <w:r>
        <w:rPr>
          <w:rFonts w:hint="eastAsia" w:ascii="宋体" w:hAnsi="宋体"/>
          <w:color w:val="000000"/>
          <w:sz w:val="28"/>
          <w:szCs w:val="28"/>
          <w:lang w:eastAsia="zh-CN"/>
        </w:rPr>
        <w:t>昭通市耀晨甲醇醇油有限公司</w:t>
      </w:r>
      <w:r>
        <w:rPr>
          <w:rFonts w:ascii="宋体" w:hAnsi="宋体"/>
          <w:color w:val="000000"/>
          <w:sz w:val="28"/>
          <w:szCs w:val="28"/>
        </w:rPr>
        <w:t>安全员：负责抓好</w:t>
      </w:r>
      <w:r>
        <w:rPr>
          <w:rFonts w:hint="eastAsia" w:ascii="宋体" w:hAnsi="宋体"/>
          <w:color w:val="000000"/>
          <w:sz w:val="28"/>
          <w:szCs w:val="28"/>
          <w:lang w:val="en-US" w:eastAsia="zh-CN"/>
        </w:rPr>
        <w:t>公司</w:t>
      </w:r>
      <w:r>
        <w:rPr>
          <w:rFonts w:ascii="宋体" w:hAnsi="宋体"/>
          <w:color w:val="000000"/>
          <w:sz w:val="28"/>
          <w:szCs w:val="28"/>
        </w:rPr>
        <w:t>各岗位人员的教育、组织、培训</w:t>
      </w:r>
      <w:r>
        <w:rPr>
          <w:rFonts w:hint="eastAsia" w:ascii="宋体" w:hAnsi="宋体"/>
          <w:color w:val="000000"/>
          <w:sz w:val="28"/>
          <w:szCs w:val="28"/>
        </w:rPr>
        <w:t>及协助</w:t>
      </w:r>
      <w:r>
        <w:rPr>
          <w:rFonts w:hint="eastAsia" w:ascii="宋体" w:hAnsi="宋体"/>
          <w:color w:val="000000"/>
          <w:sz w:val="28"/>
          <w:szCs w:val="28"/>
          <w:lang w:val="en-US" w:eastAsia="zh-CN"/>
        </w:rPr>
        <w:t>负责人</w:t>
      </w:r>
      <w:r>
        <w:rPr>
          <w:rFonts w:hint="eastAsia" w:ascii="宋体" w:hAnsi="宋体"/>
          <w:color w:val="000000"/>
          <w:sz w:val="28"/>
          <w:szCs w:val="28"/>
        </w:rPr>
        <w:t>安全管理工作。</w:t>
      </w:r>
    </w:p>
    <w:p>
      <w:pPr>
        <w:spacing w:line="500" w:lineRule="exact"/>
        <w:ind w:firstLine="537" w:firstLineChars="192"/>
        <w:rPr>
          <w:rFonts w:ascii="宋体" w:hAnsi="宋体"/>
          <w:color w:val="000000"/>
          <w:sz w:val="28"/>
          <w:szCs w:val="28"/>
        </w:rPr>
      </w:pPr>
      <w:r>
        <w:rPr>
          <w:rFonts w:hint="eastAsia" w:ascii="宋体" w:hAnsi="宋体"/>
          <w:color w:val="000000"/>
          <w:sz w:val="28"/>
          <w:szCs w:val="28"/>
        </w:rPr>
        <w:t>（3）</w:t>
      </w:r>
      <w:r>
        <w:rPr>
          <w:rFonts w:hint="eastAsia" w:ascii="宋体" w:hAnsi="宋体"/>
          <w:color w:val="000000"/>
          <w:sz w:val="28"/>
          <w:szCs w:val="28"/>
          <w:lang w:eastAsia="zh-CN"/>
        </w:rPr>
        <w:t>昭通市耀晨甲醇醇油有限公司</w:t>
      </w:r>
      <w:r>
        <w:rPr>
          <w:rFonts w:ascii="宋体" w:hAnsi="宋体"/>
          <w:color w:val="000000"/>
          <w:sz w:val="28"/>
          <w:szCs w:val="28"/>
        </w:rPr>
        <w:t>具体操作人员</w:t>
      </w:r>
      <w:r>
        <w:rPr>
          <w:rFonts w:hint="eastAsia" w:ascii="宋体" w:hAnsi="宋体"/>
          <w:color w:val="000000"/>
          <w:sz w:val="28"/>
          <w:szCs w:val="28"/>
        </w:rPr>
        <w:t>：</w:t>
      </w:r>
      <w:r>
        <w:rPr>
          <w:rFonts w:ascii="宋体" w:hAnsi="宋体"/>
          <w:color w:val="000000"/>
          <w:sz w:val="28"/>
          <w:szCs w:val="28"/>
        </w:rPr>
        <w:t>负责日常</w:t>
      </w:r>
      <w:r>
        <w:rPr>
          <w:rFonts w:hint="eastAsia" w:ascii="宋体" w:hAnsi="宋体"/>
          <w:color w:val="000000"/>
          <w:sz w:val="28"/>
          <w:szCs w:val="28"/>
          <w:lang w:val="en-US" w:eastAsia="zh-CN"/>
        </w:rPr>
        <w:t>本职</w:t>
      </w:r>
      <w:r>
        <w:rPr>
          <w:rFonts w:ascii="宋体" w:hAnsi="宋体"/>
          <w:color w:val="000000"/>
          <w:sz w:val="28"/>
          <w:szCs w:val="28"/>
        </w:rPr>
        <w:t>工作。</w:t>
      </w:r>
    </w:p>
    <w:p>
      <w:pPr>
        <w:spacing w:line="500" w:lineRule="exact"/>
        <w:rPr>
          <w:rFonts w:hint="eastAsia" w:ascii="宋体" w:hAnsi="宋体"/>
          <w:b/>
          <w:color w:val="000000"/>
          <w:sz w:val="28"/>
        </w:rPr>
      </w:pPr>
      <w:bookmarkStart w:id="738" w:name="_Toc424306004"/>
      <w:bookmarkStart w:id="739" w:name="_Toc420403873"/>
      <w:bookmarkStart w:id="740" w:name="_Toc489629024"/>
      <w:bookmarkStart w:id="741" w:name="_Toc438040909"/>
      <w:bookmarkStart w:id="742" w:name="_Toc424306255"/>
      <w:bookmarkStart w:id="743" w:name="_Toc433992356"/>
      <w:r>
        <w:rPr>
          <w:rFonts w:hint="eastAsia" w:ascii="宋体" w:hAnsi="宋体"/>
          <w:b/>
          <w:color w:val="000000"/>
          <w:sz w:val="28"/>
        </w:rPr>
        <w:t>3.安全管理制度、职责及操作规程</w:t>
      </w:r>
      <w:bookmarkEnd w:id="738"/>
      <w:bookmarkEnd w:id="739"/>
      <w:bookmarkEnd w:id="740"/>
      <w:bookmarkEnd w:id="741"/>
      <w:bookmarkEnd w:id="742"/>
      <w:bookmarkEnd w:id="743"/>
    </w:p>
    <w:p>
      <w:pPr>
        <w:pStyle w:val="2"/>
        <w:ind w:firstLine="560" w:firstLineChars="200"/>
        <w:rPr>
          <w:rFonts w:hint="eastAsia"/>
          <w:lang w:eastAsia="zh-CN"/>
        </w:rPr>
      </w:pPr>
      <w:r>
        <w:rPr>
          <w:rFonts w:hint="eastAsia" w:ascii="宋体" w:hAnsi="宋体"/>
          <w:color w:val="000000"/>
          <w:sz w:val="28"/>
        </w:rPr>
        <w:t>根据有关法律法规要求</w:t>
      </w:r>
      <w:r>
        <w:rPr>
          <w:rFonts w:hint="eastAsia"/>
          <w:color w:val="000000"/>
          <w:sz w:val="28"/>
          <w:szCs w:val="28"/>
          <w:lang w:eastAsia="zh-CN"/>
        </w:rPr>
        <w:t>昭通市耀晨甲醇醇油有限公司</w:t>
      </w:r>
      <w:r>
        <w:rPr>
          <w:rFonts w:hint="eastAsia" w:ascii="宋体" w:hAnsi="宋体"/>
          <w:color w:val="000000"/>
          <w:sz w:val="28"/>
          <w:szCs w:val="28"/>
        </w:rPr>
        <w:t>制定了相应的职责、安全生产管理制度、操作规程等。（见附件）</w:t>
      </w:r>
    </w:p>
    <w:p>
      <w:pPr>
        <w:pStyle w:val="19"/>
        <w:spacing w:afterLines="100" w:line="500" w:lineRule="exact"/>
        <w:rPr>
          <w:rFonts w:ascii="黑体" w:hAnsi="宋体" w:eastAsia="黑体"/>
          <w:color w:val="000000" w:themeColor="text1"/>
          <w:kern w:val="3"/>
          <w:sz w:val="28"/>
          <w:szCs w:val="28"/>
        </w:rPr>
      </w:pPr>
      <w:bookmarkStart w:id="744" w:name="_Toc217444193"/>
      <w:bookmarkStart w:id="745" w:name="_Toc15971"/>
      <w:bookmarkStart w:id="746" w:name="_Toc194389908"/>
      <w:bookmarkStart w:id="747" w:name="_Toc16141"/>
      <w:bookmarkStart w:id="748" w:name="_Toc7639"/>
      <w:bookmarkStart w:id="749" w:name="_Toc31138"/>
      <w:bookmarkStart w:id="750" w:name="_Toc10364"/>
      <w:bookmarkStart w:id="751" w:name="_Toc26557"/>
      <w:bookmarkStart w:id="752" w:name="_Toc2622"/>
      <w:bookmarkStart w:id="753" w:name="_Toc12901"/>
      <w:bookmarkStart w:id="754" w:name="_Toc13989"/>
      <w:bookmarkStart w:id="755" w:name="_Toc1138"/>
      <w:bookmarkStart w:id="756" w:name="_Toc20360"/>
      <w:r>
        <w:rPr>
          <w:rFonts w:hint="eastAsia" w:ascii="黑体" w:hAnsi="宋体" w:eastAsia="黑体"/>
          <w:color w:val="000000" w:themeColor="text1"/>
          <w:kern w:val="3"/>
          <w:sz w:val="28"/>
          <w:szCs w:val="28"/>
        </w:rPr>
        <w:t>2.9.</w:t>
      </w:r>
      <w:r>
        <w:rPr>
          <w:rFonts w:hint="eastAsia" w:ascii="黑体" w:hAnsi="宋体" w:eastAsia="黑体"/>
          <w:color w:val="000000" w:themeColor="text1"/>
          <w:kern w:val="3"/>
          <w:sz w:val="28"/>
          <w:szCs w:val="28"/>
          <w:lang w:val="en-US" w:eastAsia="zh-CN"/>
        </w:rPr>
        <w:t>5</w:t>
      </w:r>
      <w:r>
        <w:rPr>
          <w:rFonts w:hint="eastAsia" w:ascii="黑体" w:hAnsi="宋体" w:eastAsia="黑体"/>
          <w:color w:val="000000" w:themeColor="text1"/>
          <w:kern w:val="3"/>
          <w:sz w:val="28"/>
          <w:szCs w:val="28"/>
        </w:rPr>
        <w:t>安全事故应急</w:t>
      </w:r>
      <w:bookmarkEnd w:id="735"/>
      <w:bookmarkEnd w:id="736"/>
      <w:bookmarkEnd w:id="737"/>
      <w:bookmarkEnd w:id="744"/>
      <w:bookmarkEnd w:id="745"/>
      <w:bookmarkEnd w:id="746"/>
      <w:r>
        <w:rPr>
          <w:rFonts w:hint="eastAsia" w:ascii="黑体" w:hAnsi="宋体" w:eastAsia="黑体"/>
          <w:color w:val="000000" w:themeColor="text1"/>
          <w:kern w:val="3"/>
          <w:sz w:val="28"/>
          <w:szCs w:val="28"/>
        </w:rPr>
        <w:t>管理</w:t>
      </w:r>
      <w:bookmarkEnd w:id="747"/>
      <w:bookmarkEnd w:id="748"/>
      <w:bookmarkEnd w:id="749"/>
      <w:bookmarkEnd w:id="750"/>
      <w:bookmarkEnd w:id="751"/>
      <w:bookmarkEnd w:id="752"/>
      <w:bookmarkEnd w:id="753"/>
      <w:bookmarkEnd w:id="754"/>
      <w:bookmarkEnd w:id="755"/>
      <w:bookmarkEnd w:id="756"/>
    </w:p>
    <w:bookmarkEnd w:id="680"/>
    <w:bookmarkEnd w:id="681"/>
    <w:bookmarkEnd w:id="682"/>
    <w:p>
      <w:pPr>
        <w:spacing w:line="500" w:lineRule="exact"/>
        <w:ind w:right="-145" w:rightChars="-69" w:firstLine="562" w:firstLineChars="200"/>
        <w:rPr>
          <w:b/>
          <w:snapToGrid w:val="0"/>
          <w:color w:val="000000" w:themeColor="text1"/>
          <w:kern w:val="0"/>
          <w:sz w:val="28"/>
          <w:szCs w:val="28"/>
        </w:rPr>
      </w:pPr>
      <w:bookmarkStart w:id="757" w:name="_Toc18144"/>
      <w:bookmarkStart w:id="758" w:name="_Toc191730001"/>
      <w:bookmarkStart w:id="759" w:name="_Toc191729705"/>
      <w:bookmarkStart w:id="760" w:name="_Toc191728145"/>
      <w:bookmarkStart w:id="761" w:name="_Toc194389909"/>
      <w:r>
        <w:rPr>
          <w:b/>
          <w:snapToGrid w:val="0"/>
          <w:color w:val="000000" w:themeColor="text1"/>
          <w:kern w:val="0"/>
          <w:sz w:val="28"/>
          <w:szCs w:val="28"/>
        </w:rPr>
        <w:t>1、安全事故应急预案编制、备案情况</w:t>
      </w:r>
      <w:bookmarkEnd w:id="757"/>
    </w:p>
    <w:p>
      <w:pPr>
        <w:spacing w:line="500" w:lineRule="exact"/>
        <w:ind w:right="-145" w:rightChars="-69" w:firstLine="560" w:firstLineChars="200"/>
        <w:rPr>
          <w:color w:val="000000" w:themeColor="text1"/>
        </w:rPr>
      </w:pPr>
      <w:r>
        <w:rPr>
          <w:rFonts w:hint="eastAsia"/>
          <w:snapToGrid w:val="0"/>
          <w:color w:val="000000" w:themeColor="text1"/>
          <w:kern w:val="0"/>
          <w:sz w:val="28"/>
          <w:szCs w:val="28"/>
        </w:rPr>
        <w:t>该公司</w:t>
      </w:r>
      <w:r>
        <w:rPr>
          <w:snapToGrid w:val="0"/>
          <w:color w:val="000000" w:themeColor="text1"/>
          <w:kern w:val="0"/>
          <w:sz w:val="28"/>
          <w:szCs w:val="28"/>
        </w:rPr>
        <w:t>根据甲醇储存情</w:t>
      </w:r>
      <w:r>
        <w:rPr>
          <w:rFonts w:hint="eastAsia"/>
          <w:snapToGrid w:val="0"/>
          <w:color w:val="000000" w:themeColor="text1"/>
          <w:kern w:val="0"/>
          <w:sz w:val="28"/>
          <w:szCs w:val="28"/>
        </w:rPr>
        <w:t>况编制了《昭通市耀晨甲醇醇油有限公司生</w:t>
      </w:r>
      <w:r>
        <w:rPr>
          <w:snapToGrid w:val="0"/>
          <w:color w:val="000000" w:themeColor="text1"/>
          <w:kern w:val="0"/>
          <w:sz w:val="28"/>
          <w:szCs w:val="28"/>
        </w:rPr>
        <w:t>产安全事故应急预案》，</w:t>
      </w:r>
      <w:r>
        <w:rPr>
          <w:snapToGrid w:val="0"/>
          <w:color w:val="0000FF"/>
          <w:kern w:val="0"/>
          <w:sz w:val="28"/>
          <w:szCs w:val="28"/>
        </w:rPr>
        <w:t>在</w:t>
      </w:r>
      <w:r>
        <w:rPr>
          <w:rFonts w:hint="eastAsia"/>
          <w:snapToGrid w:val="0"/>
          <w:color w:val="0000FF"/>
          <w:kern w:val="0"/>
          <w:sz w:val="28"/>
          <w:szCs w:val="28"/>
          <w:lang w:val="en-US" w:eastAsia="zh-CN"/>
        </w:rPr>
        <w:t>2025</w:t>
      </w:r>
      <w:r>
        <w:rPr>
          <w:snapToGrid w:val="0"/>
          <w:color w:val="0000FF"/>
          <w:kern w:val="0"/>
          <w:sz w:val="28"/>
          <w:szCs w:val="28"/>
        </w:rPr>
        <w:t>年</w:t>
      </w:r>
      <w:r>
        <w:rPr>
          <w:rFonts w:hint="eastAsia"/>
          <w:snapToGrid w:val="0"/>
          <w:color w:val="0000FF"/>
          <w:kern w:val="0"/>
          <w:sz w:val="28"/>
          <w:szCs w:val="28"/>
          <w:lang w:val="en-US" w:eastAsia="zh-CN"/>
        </w:rPr>
        <w:t>7</w:t>
      </w:r>
      <w:r>
        <w:rPr>
          <w:snapToGrid w:val="0"/>
          <w:color w:val="0000FF"/>
          <w:kern w:val="0"/>
          <w:sz w:val="28"/>
          <w:szCs w:val="28"/>
        </w:rPr>
        <w:t>月</w:t>
      </w:r>
      <w:r>
        <w:rPr>
          <w:rFonts w:hint="eastAsia"/>
          <w:snapToGrid w:val="0"/>
          <w:color w:val="0000FF"/>
          <w:kern w:val="0"/>
          <w:sz w:val="28"/>
          <w:szCs w:val="28"/>
          <w:lang w:val="en-US" w:eastAsia="zh-CN"/>
        </w:rPr>
        <w:t>21</w:t>
      </w:r>
      <w:r>
        <w:rPr>
          <w:snapToGrid w:val="0"/>
          <w:color w:val="0000FF"/>
          <w:kern w:val="0"/>
          <w:sz w:val="28"/>
          <w:szCs w:val="28"/>
        </w:rPr>
        <w:t>日在</w:t>
      </w:r>
      <w:r>
        <w:rPr>
          <w:rFonts w:hint="eastAsia"/>
          <w:snapToGrid w:val="0"/>
          <w:color w:val="0000FF"/>
          <w:kern w:val="0"/>
          <w:sz w:val="28"/>
          <w:szCs w:val="28"/>
        </w:rPr>
        <w:t>昭阳区应急管理局</w:t>
      </w:r>
      <w:r>
        <w:rPr>
          <w:snapToGrid w:val="0"/>
          <w:color w:val="0000FF"/>
          <w:kern w:val="0"/>
          <w:sz w:val="28"/>
          <w:szCs w:val="28"/>
        </w:rPr>
        <w:t>进行了备案登记</w:t>
      </w:r>
      <w:r>
        <w:rPr>
          <w:rFonts w:hint="eastAsia"/>
          <w:snapToGrid w:val="0"/>
          <w:color w:val="0000FF"/>
          <w:kern w:val="0"/>
          <w:sz w:val="28"/>
          <w:szCs w:val="28"/>
        </w:rPr>
        <w:t>（备案编号530602【</w:t>
      </w:r>
      <w:r>
        <w:rPr>
          <w:rFonts w:hint="eastAsia"/>
          <w:snapToGrid w:val="0"/>
          <w:color w:val="0000FF"/>
          <w:kern w:val="0"/>
          <w:sz w:val="28"/>
          <w:szCs w:val="28"/>
          <w:lang w:val="en-US" w:eastAsia="zh-CN"/>
        </w:rPr>
        <w:t>2025</w:t>
      </w:r>
      <w:r>
        <w:rPr>
          <w:rFonts w:hint="eastAsia"/>
          <w:snapToGrid w:val="0"/>
          <w:color w:val="0000FF"/>
          <w:kern w:val="0"/>
          <w:sz w:val="28"/>
          <w:szCs w:val="28"/>
        </w:rPr>
        <w:t>】</w:t>
      </w:r>
      <w:r>
        <w:rPr>
          <w:rFonts w:hint="eastAsia"/>
          <w:snapToGrid w:val="0"/>
          <w:color w:val="0000FF"/>
          <w:kern w:val="0"/>
          <w:sz w:val="28"/>
          <w:szCs w:val="28"/>
          <w:lang w:val="en-US" w:eastAsia="zh-CN"/>
        </w:rPr>
        <w:t>2023</w:t>
      </w:r>
      <w:r>
        <w:rPr>
          <w:rFonts w:hint="eastAsia"/>
          <w:snapToGrid w:val="0"/>
          <w:color w:val="0000FF"/>
          <w:kern w:val="0"/>
          <w:sz w:val="28"/>
          <w:szCs w:val="28"/>
        </w:rPr>
        <w:t>）</w:t>
      </w:r>
      <w:r>
        <w:rPr>
          <w:snapToGrid w:val="0"/>
          <w:color w:val="000000" w:themeColor="text1"/>
          <w:kern w:val="0"/>
          <w:sz w:val="28"/>
          <w:szCs w:val="28"/>
        </w:rPr>
        <w:t>。</w:t>
      </w:r>
      <w:r>
        <w:rPr>
          <w:rFonts w:hint="eastAsia"/>
          <w:snapToGrid w:val="0"/>
          <w:color w:val="000000" w:themeColor="text1"/>
          <w:kern w:val="0"/>
          <w:sz w:val="28"/>
          <w:szCs w:val="28"/>
        </w:rPr>
        <w:t>该公司</w:t>
      </w:r>
      <w:r>
        <w:rPr>
          <w:snapToGrid w:val="0"/>
          <w:color w:val="000000" w:themeColor="text1"/>
          <w:kern w:val="0"/>
          <w:sz w:val="28"/>
          <w:szCs w:val="28"/>
        </w:rPr>
        <w:t>在</w:t>
      </w:r>
      <w:r>
        <w:rPr>
          <w:rFonts w:hint="eastAsia"/>
          <w:snapToGrid w:val="0"/>
          <w:color w:val="000000" w:themeColor="text1"/>
          <w:kern w:val="0"/>
          <w:sz w:val="28"/>
          <w:szCs w:val="28"/>
        </w:rPr>
        <w:t>经营</w:t>
      </w:r>
      <w:r>
        <w:rPr>
          <w:snapToGrid w:val="0"/>
          <w:color w:val="000000" w:themeColor="text1"/>
          <w:kern w:val="0"/>
          <w:sz w:val="28"/>
          <w:szCs w:val="28"/>
        </w:rPr>
        <w:t>过程中定期进行应急预案演练及记录。</w:t>
      </w:r>
    </w:p>
    <w:p>
      <w:pPr>
        <w:spacing w:line="500" w:lineRule="exact"/>
        <w:ind w:right="-145" w:rightChars="-69" w:firstLine="562" w:firstLineChars="200"/>
        <w:rPr>
          <w:b/>
          <w:snapToGrid w:val="0"/>
          <w:color w:val="000000" w:themeColor="text1"/>
          <w:kern w:val="0"/>
          <w:sz w:val="28"/>
          <w:szCs w:val="28"/>
        </w:rPr>
      </w:pPr>
      <w:bookmarkStart w:id="762" w:name="_Toc460"/>
      <w:r>
        <w:rPr>
          <w:b/>
          <w:snapToGrid w:val="0"/>
          <w:color w:val="000000" w:themeColor="text1"/>
          <w:kern w:val="0"/>
          <w:sz w:val="28"/>
          <w:szCs w:val="28"/>
        </w:rPr>
        <w:t>2、应急物资配备情况</w:t>
      </w:r>
      <w:bookmarkEnd w:id="762"/>
    </w:p>
    <w:p>
      <w:pPr>
        <w:pStyle w:val="51"/>
        <w:ind w:left="420" w:leftChars="200" w:firstLine="0" w:firstLineChars="0"/>
        <w:rPr>
          <w:rFonts w:ascii="Times New Roman" w:hAnsi="Times New Roman"/>
          <w:color w:val="000000" w:themeColor="text1"/>
        </w:rPr>
      </w:pPr>
      <w:r>
        <w:rPr>
          <w:rFonts w:hint="eastAsia" w:ascii="Times New Roman" w:hAnsi="Times New Roman"/>
          <w:color w:val="000000" w:themeColor="text1"/>
        </w:rPr>
        <w:t>现场检查该公司配置了消防器材及应急救援箱</w:t>
      </w:r>
      <w:r>
        <w:rPr>
          <w:rFonts w:ascii="Times New Roman" w:hAnsi="Times New Roman"/>
          <w:color w:val="000000" w:themeColor="text1"/>
        </w:rPr>
        <w:t>。</w:t>
      </w:r>
    </w:p>
    <w:p>
      <w:pPr>
        <w:pStyle w:val="19"/>
        <w:spacing w:after="312" w:afterLines="100" w:line="500" w:lineRule="exact"/>
        <w:rPr>
          <w:rFonts w:hint="eastAsia" w:ascii="黑体" w:hAnsi="宋体"/>
          <w:color w:val="000000"/>
          <w:kern w:val="3"/>
          <w:sz w:val="28"/>
          <w:szCs w:val="28"/>
        </w:rPr>
      </w:pPr>
      <w:bookmarkStart w:id="763" w:name="_Toc8247"/>
      <w:r>
        <w:rPr>
          <w:rFonts w:hint="eastAsia" w:ascii="黑体" w:hAnsi="宋体" w:eastAsia="黑体"/>
          <w:color w:val="000000" w:themeColor="text1"/>
          <w:kern w:val="3"/>
          <w:sz w:val="28"/>
          <w:szCs w:val="28"/>
        </w:rPr>
        <w:t>2.9.</w:t>
      </w:r>
      <w:r>
        <w:rPr>
          <w:rFonts w:hint="eastAsia" w:ascii="黑体" w:hAnsi="宋体" w:eastAsia="黑体"/>
          <w:color w:val="000000" w:themeColor="text1"/>
          <w:kern w:val="3"/>
          <w:sz w:val="28"/>
          <w:szCs w:val="28"/>
          <w:lang w:val="en-US" w:eastAsia="zh-CN"/>
        </w:rPr>
        <w:t>6</w:t>
      </w:r>
      <w:r>
        <w:rPr>
          <w:rFonts w:hint="eastAsia" w:ascii="黑体" w:hAnsi="宋体"/>
          <w:color w:val="000000"/>
          <w:kern w:val="3"/>
          <w:sz w:val="28"/>
          <w:szCs w:val="28"/>
        </w:rPr>
        <w:t>特殊作业情况</w:t>
      </w:r>
      <w:bookmarkEnd w:id="763"/>
    </w:p>
    <w:p>
      <w:pPr>
        <w:pStyle w:val="51"/>
        <w:rPr>
          <w:rFonts w:hint="eastAsia"/>
          <w:color w:val="000000"/>
          <w:sz w:val="28"/>
          <w:szCs w:val="28"/>
          <w:lang w:eastAsia="zh-CN"/>
        </w:rPr>
      </w:pPr>
      <w:r>
        <w:rPr>
          <w:rFonts w:hint="eastAsia" w:ascii="宋体" w:hAnsi="宋体"/>
          <w:color w:val="000000"/>
          <w:sz w:val="28"/>
          <w:szCs w:val="28"/>
        </w:rPr>
        <w:t>根据《危险化学品企业特殊作业安全规范》（</w:t>
      </w:r>
      <w:r>
        <w:rPr>
          <w:rFonts w:ascii="宋体" w:hAnsi="宋体"/>
          <w:color w:val="000000"/>
          <w:sz w:val="28"/>
          <w:szCs w:val="28"/>
        </w:rPr>
        <w:t>GB</w:t>
      </w:r>
      <w:r>
        <w:rPr>
          <w:rFonts w:hint="eastAsia" w:ascii="宋体" w:hAnsi="宋体"/>
          <w:color w:val="000000"/>
          <w:sz w:val="28"/>
          <w:szCs w:val="28"/>
        </w:rPr>
        <w:t>30871-20</w:t>
      </w:r>
      <w:r>
        <w:rPr>
          <w:rFonts w:ascii="宋体" w:hAnsi="宋体"/>
          <w:color w:val="000000"/>
          <w:sz w:val="28"/>
          <w:szCs w:val="28"/>
        </w:rPr>
        <w:t>22</w:t>
      </w:r>
      <w:r>
        <w:rPr>
          <w:rFonts w:hint="eastAsia" w:ascii="宋体" w:hAnsi="宋体"/>
          <w:color w:val="000000"/>
          <w:sz w:val="28"/>
          <w:szCs w:val="28"/>
        </w:rPr>
        <w:t>）</w:t>
      </w:r>
      <w:r>
        <w:rPr>
          <w:rFonts w:hint="eastAsia" w:ascii="宋体" w:hAnsi="宋体"/>
          <w:color w:val="000000"/>
          <w:sz w:val="28"/>
          <w:szCs w:val="28"/>
          <w:lang w:eastAsia="zh-CN"/>
        </w:rPr>
        <w:t>昭通市耀晨甲醇醇油有限公司</w:t>
      </w:r>
      <w:r>
        <w:rPr>
          <w:rFonts w:hint="eastAsia" w:ascii="宋体" w:hAnsi="宋体"/>
          <w:color w:val="000000"/>
          <w:sz w:val="28"/>
          <w:szCs w:val="28"/>
        </w:rPr>
        <w:t>属于易燃易爆场所</w:t>
      </w:r>
      <w:r>
        <w:rPr>
          <w:rFonts w:hint="eastAsia" w:ascii="宋体" w:hAnsi="宋体"/>
          <w:color w:val="000000"/>
          <w:sz w:val="28"/>
          <w:szCs w:val="28"/>
          <w:lang w:eastAsia="zh-CN"/>
        </w:rPr>
        <w:t>昭通市耀晨甲醇醇油有限公司</w:t>
      </w:r>
      <w:r>
        <w:rPr>
          <w:rFonts w:hint="eastAsia" w:ascii="宋体" w:hAnsi="宋体"/>
          <w:color w:val="000000"/>
          <w:sz w:val="28"/>
          <w:szCs w:val="28"/>
        </w:rPr>
        <w:t>所涉及的特殊作业有：动火作业、进入受限空间作业、高处作业、临时用电作业等</w:t>
      </w:r>
      <w:r>
        <w:rPr>
          <w:rFonts w:hint="eastAsia"/>
          <w:color w:val="000000"/>
          <w:sz w:val="28"/>
          <w:szCs w:val="28"/>
          <w:lang w:eastAsia="zh-CN"/>
        </w:rPr>
        <w:t>。</w:t>
      </w:r>
    </w:p>
    <w:p>
      <w:pPr>
        <w:pStyle w:val="19"/>
        <w:spacing w:after="312" w:afterLines="100" w:line="500" w:lineRule="exact"/>
        <w:rPr>
          <w:rFonts w:hint="eastAsia" w:ascii="黑体" w:hAnsi="宋体"/>
          <w:color w:val="000000"/>
          <w:kern w:val="3"/>
          <w:sz w:val="28"/>
          <w:szCs w:val="28"/>
        </w:rPr>
      </w:pPr>
      <w:bookmarkStart w:id="764" w:name="_Toc6841"/>
      <w:r>
        <w:rPr>
          <w:rFonts w:hint="eastAsia" w:ascii="黑体" w:hAnsi="宋体"/>
          <w:color w:val="000000"/>
          <w:kern w:val="3"/>
          <w:sz w:val="28"/>
          <w:szCs w:val="28"/>
          <w:lang w:val="en-US" w:eastAsia="zh-CN"/>
        </w:rPr>
        <w:t>2.9.7</w:t>
      </w:r>
      <w:r>
        <w:rPr>
          <w:rFonts w:ascii="黑体" w:hAnsi="宋体"/>
          <w:color w:val="000000"/>
          <w:kern w:val="3"/>
          <w:sz w:val="28"/>
          <w:szCs w:val="28"/>
        </w:rPr>
        <w:t>从业人员保险及劳动保护</w:t>
      </w:r>
      <w:bookmarkEnd w:id="764"/>
    </w:p>
    <w:p>
      <w:pPr>
        <w:spacing w:line="500" w:lineRule="exact"/>
        <w:ind w:firstLine="560" w:firstLineChars="200"/>
        <w:rPr>
          <w:rFonts w:ascii="宋体" w:hAnsi="宋体"/>
          <w:color w:val="000000"/>
          <w:sz w:val="28"/>
          <w:szCs w:val="28"/>
        </w:rPr>
      </w:pPr>
      <w:r>
        <w:rPr>
          <w:rFonts w:ascii="宋体" w:hAnsi="宋体"/>
          <w:color w:val="000000"/>
          <w:sz w:val="28"/>
          <w:szCs w:val="28"/>
        </w:rPr>
        <w:t>1．保险：</w:t>
      </w:r>
      <w:r>
        <w:rPr>
          <w:rFonts w:hint="eastAsia" w:ascii="宋体" w:hAnsi="宋体"/>
          <w:color w:val="000000"/>
          <w:sz w:val="28"/>
          <w:szCs w:val="28"/>
        </w:rPr>
        <w:t>由</w:t>
      </w:r>
      <w:r>
        <w:rPr>
          <w:rFonts w:hint="eastAsia" w:ascii="宋体" w:hAnsi="宋体"/>
          <w:color w:val="000000"/>
          <w:sz w:val="28"/>
          <w:szCs w:val="28"/>
          <w:lang w:eastAsia="zh-CN"/>
        </w:rPr>
        <w:t>昭通市耀晨甲醇醇油有限公司</w:t>
      </w:r>
      <w:r>
        <w:rPr>
          <w:rFonts w:hint="eastAsia" w:ascii="宋体" w:hAnsi="宋体"/>
          <w:color w:val="000000"/>
          <w:sz w:val="28"/>
          <w:szCs w:val="28"/>
        </w:rPr>
        <w:t>统一购买了</w:t>
      </w:r>
      <w:r>
        <w:rPr>
          <w:rFonts w:hint="eastAsia" w:ascii="宋体" w:hAnsi="宋体"/>
          <w:color w:val="000000"/>
          <w:sz w:val="28"/>
          <w:szCs w:val="28"/>
          <w:lang w:val="en-US" w:eastAsia="zh-CN"/>
        </w:rPr>
        <w:t>工伤</w:t>
      </w:r>
      <w:r>
        <w:rPr>
          <w:rFonts w:hint="eastAsia" w:ascii="宋体" w:hAnsi="宋体"/>
          <w:color w:val="000000"/>
          <w:sz w:val="28"/>
          <w:szCs w:val="28"/>
        </w:rPr>
        <w:t>保险及安全责任保险</w:t>
      </w:r>
      <w:r>
        <w:rPr>
          <w:rFonts w:ascii="宋体" w:hAnsi="宋体"/>
          <w:color w:val="000000"/>
          <w:sz w:val="28"/>
          <w:szCs w:val="28"/>
        </w:rPr>
        <w:t>。</w:t>
      </w:r>
    </w:p>
    <w:p>
      <w:pPr>
        <w:spacing w:line="500" w:lineRule="exact"/>
        <w:ind w:firstLine="560" w:firstLineChars="200"/>
        <w:rPr>
          <w:rFonts w:ascii="宋体" w:hAnsi="宋体"/>
          <w:color w:val="000000"/>
          <w:sz w:val="28"/>
          <w:szCs w:val="28"/>
        </w:rPr>
      </w:pPr>
      <w:r>
        <w:rPr>
          <w:rFonts w:ascii="宋体" w:hAnsi="宋体"/>
          <w:color w:val="000000"/>
          <w:sz w:val="28"/>
          <w:szCs w:val="28"/>
        </w:rPr>
        <w:t>2．劳保用品：公司为从业人员发放的劳保用品有：防静电工作服</w:t>
      </w:r>
      <w:r>
        <w:rPr>
          <w:rFonts w:hint="eastAsia" w:ascii="宋体" w:hAnsi="宋体"/>
          <w:color w:val="000000"/>
          <w:sz w:val="28"/>
          <w:szCs w:val="28"/>
        </w:rPr>
        <w:t>、绝缘手套等物品</w:t>
      </w:r>
      <w:r>
        <w:rPr>
          <w:rFonts w:ascii="宋体" w:hAnsi="宋体"/>
          <w:color w:val="000000"/>
          <w:sz w:val="28"/>
          <w:szCs w:val="28"/>
        </w:rPr>
        <w:t>。</w:t>
      </w:r>
    </w:p>
    <w:bookmarkEnd w:id="758"/>
    <w:bookmarkEnd w:id="759"/>
    <w:bookmarkEnd w:id="760"/>
    <w:bookmarkEnd w:id="761"/>
    <w:p>
      <w:pPr>
        <w:pStyle w:val="19"/>
        <w:spacing w:afterLines="100" w:line="500" w:lineRule="exact"/>
        <w:jc w:val="center"/>
        <w:rPr>
          <w:rFonts w:ascii="楷体_GB2312" w:hAnsi="宋体" w:eastAsia="楷体_GB2312"/>
          <w:color w:val="000000" w:themeColor="text1"/>
          <w:kern w:val="3"/>
        </w:rPr>
      </w:pPr>
      <w:bookmarkStart w:id="765" w:name="_Toc18142"/>
      <w:bookmarkStart w:id="766" w:name="_Toc17928"/>
      <w:bookmarkStart w:id="767" w:name="_Toc11181"/>
      <w:bookmarkStart w:id="768" w:name="_Toc10949"/>
      <w:bookmarkStart w:id="769" w:name="_Toc3659"/>
      <w:bookmarkStart w:id="770" w:name="_Toc12280"/>
      <w:bookmarkStart w:id="771" w:name="_Toc29833_WPSOffice_Level2"/>
      <w:bookmarkStart w:id="772" w:name="_Toc20840"/>
      <w:bookmarkStart w:id="773" w:name="_Toc5057"/>
      <w:bookmarkStart w:id="774" w:name="_Toc28577"/>
      <w:bookmarkStart w:id="775" w:name="_Toc6642"/>
      <w:bookmarkStart w:id="776" w:name="_Toc23355"/>
      <w:bookmarkStart w:id="777" w:name="_Toc30222"/>
      <w:bookmarkStart w:id="778" w:name="_Toc14490"/>
      <w:r>
        <w:rPr>
          <w:rFonts w:hint="eastAsia" w:ascii="楷体_GB2312" w:hAnsi="宋体" w:eastAsia="楷体_GB2312"/>
          <w:color w:val="000000" w:themeColor="text1"/>
          <w:kern w:val="3"/>
        </w:rPr>
        <w:t>2.10取证以来安全经营条件变化情况</w:t>
      </w:r>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p>
    <w:p>
      <w:pPr>
        <w:adjustRightInd w:val="0"/>
        <w:snapToGrid w:val="0"/>
        <w:spacing w:line="360" w:lineRule="auto"/>
        <w:ind w:firstLine="560" w:firstLineChars="200"/>
        <w:rPr>
          <w:rFonts w:ascii="宋体" w:hAnsi="宋体"/>
          <w:color w:val="000000" w:themeColor="text1"/>
          <w:sz w:val="28"/>
          <w:szCs w:val="28"/>
        </w:rPr>
      </w:pPr>
      <w:bookmarkStart w:id="779" w:name="_Toc2769"/>
      <w:bookmarkStart w:id="780" w:name="_Toc18837"/>
      <w:bookmarkStart w:id="781" w:name="_Toc26300"/>
      <w:bookmarkStart w:id="782" w:name="_Toc3453"/>
      <w:r>
        <w:rPr>
          <w:rFonts w:hint="eastAsia" w:ascii="宋体" w:hAnsi="宋体"/>
          <w:color w:val="000000" w:themeColor="text1"/>
          <w:sz w:val="28"/>
          <w:szCs w:val="28"/>
        </w:rPr>
        <w:t>根据公司法人杨明书介绍：项目于</w:t>
      </w:r>
      <w:r>
        <w:rPr>
          <w:rFonts w:hint="eastAsia" w:ascii="宋体" w:hAnsi="宋体"/>
          <w:color w:val="000000" w:themeColor="text1"/>
          <w:sz w:val="28"/>
          <w:szCs w:val="28"/>
          <w:lang w:val="en-US" w:eastAsia="zh-CN"/>
        </w:rPr>
        <w:t>2022</w:t>
      </w:r>
      <w:r>
        <w:rPr>
          <w:rFonts w:hint="eastAsia" w:ascii="宋体" w:hAnsi="宋体"/>
          <w:color w:val="000000" w:themeColor="text1"/>
          <w:sz w:val="28"/>
          <w:szCs w:val="28"/>
        </w:rPr>
        <w:t>年6月</w:t>
      </w:r>
      <w:r>
        <w:rPr>
          <w:rFonts w:hint="eastAsia" w:ascii="宋体" w:hAnsi="宋体"/>
          <w:color w:val="000000" w:themeColor="text1"/>
          <w:sz w:val="28"/>
          <w:szCs w:val="28"/>
          <w:lang w:val="en-US" w:eastAsia="zh-CN"/>
        </w:rPr>
        <w:t>1</w:t>
      </w:r>
      <w:r>
        <w:rPr>
          <w:rFonts w:hint="eastAsia" w:ascii="宋体" w:hAnsi="宋体"/>
          <w:color w:val="000000" w:themeColor="text1"/>
          <w:sz w:val="28"/>
          <w:szCs w:val="28"/>
        </w:rPr>
        <w:t>7日取得危险化学品经营许可证（昭应经字【</w:t>
      </w:r>
      <w:r>
        <w:rPr>
          <w:rFonts w:hint="eastAsia" w:ascii="宋体" w:hAnsi="宋体"/>
          <w:color w:val="000000" w:themeColor="text1"/>
          <w:sz w:val="28"/>
          <w:szCs w:val="28"/>
          <w:lang w:val="en-US" w:eastAsia="zh-CN"/>
        </w:rPr>
        <w:t>2022</w:t>
      </w:r>
      <w:r>
        <w:rPr>
          <w:rFonts w:hint="eastAsia" w:ascii="宋体" w:hAnsi="宋体"/>
          <w:color w:val="000000" w:themeColor="text1"/>
          <w:sz w:val="28"/>
          <w:szCs w:val="28"/>
        </w:rPr>
        <w:t>】04</w:t>
      </w:r>
      <w:r>
        <w:rPr>
          <w:rFonts w:hint="eastAsia" w:ascii="宋体" w:hAnsi="宋体"/>
          <w:color w:val="000000" w:themeColor="text1"/>
          <w:sz w:val="28"/>
          <w:szCs w:val="28"/>
          <w:lang w:val="en-US" w:eastAsia="zh-CN"/>
        </w:rPr>
        <w:t>9</w:t>
      </w:r>
      <w:r>
        <w:rPr>
          <w:rFonts w:hint="eastAsia" w:ascii="宋体" w:hAnsi="宋体"/>
          <w:color w:val="000000" w:themeColor="text1"/>
          <w:sz w:val="28"/>
          <w:szCs w:val="28"/>
        </w:rPr>
        <w:t>号），有效期至202</w:t>
      </w:r>
      <w:r>
        <w:rPr>
          <w:rFonts w:hint="eastAsia" w:ascii="宋体" w:hAnsi="宋体"/>
          <w:color w:val="000000" w:themeColor="text1"/>
          <w:sz w:val="28"/>
          <w:szCs w:val="28"/>
          <w:lang w:val="en-US" w:eastAsia="zh-CN"/>
        </w:rPr>
        <w:t>5</w:t>
      </w:r>
      <w:r>
        <w:rPr>
          <w:rFonts w:hint="eastAsia" w:ascii="宋体" w:hAnsi="宋体"/>
          <w:color w:val="000000" w:themeColor="text1"/>
          <w:sz w:val="28"/>
          <w:szCs w:val="28"/>
        </w:rPr>
        <w:t>年6月</w:t>
      </w:r>
      <w:r>
        <w:rPr>
          <w:rFonts w:hint="eastAsia" w:ascii="宋体" w:hAnsi="宋体"/>
          <w:color w:val="000000" w:themeColor="text1"/>
          <w:sz w:val="28"/>
          <w:szCs w:val="28"/>
          <w:lang w:val="en-US" w:eastAsia="zh-CN"/>
        </w:rPr>
        <w:t>1</w:t>
      </w:r>
      <w:r>
        <w:rPr>
          <w:rFonts w:hint="eastAsia" w:ascii="宋体" w:hAnsi="宋体"/>
          <w:color w:val="000000" w:themeColor="text1"/>
          <w:sz w:val="28"/>
          <w:szCs w:val="28"/>
        </w:rPr>
        <w:t>6日。至今未发生安全生产事故。</w:t>
      </w:r>
      <w:bookmarkEnd w:id="779"/>
      <w:bookmarkEnd w:id="780"/>
      <w:bookmarkEnd w:id="781"/>
      <w:bookmarkEnd w:id="782"/>
      <w:r>
        <w:rPr>
          <w:rFonts w:hint="eastAsia" w:ascii="宋体" w:hAnsi="宋体"/>
          <w:color w:val="000000" w:themeColor="text1"/>
          <w:sz w:val="28"/>
          <w:szCs w:val="28"/>
        </w:rPr>
        <w:t>根据现场调查，企业现经营流程未发生改变。生产工艺及周边环境未发生改变。</w:t>
      </w:r>
    </w:p>
    <w:p>
      <w:pPr>
        <w:adjustRightInd w:val="0"/>
        <w:snapToGrid w:val="0"/>
        <w:spacing w:line="360" w:lineRule="auto"/>
        <w:ind w:firstLine="560" w:firstLineChars="200"/>
        <w:rPr>
          <w:rFonts w:ascii="宋体" w:hAnsi="宋体"/>
          <w:snapToGrid w:val="0"/>
          <w:color w:val="000000" w:themeColor="text1"/>
          <w:kern w:val="0"/>
          <w:sz w:val="28"/>
          <w:szCs w:val="28"/>
        </w:rPr>
      </w:pPr>
      <w:r>
        <w:rPr>
          <w:rFonts w:hint="eastAsia" w:ascii="宋体" w:hAnsi="宋体"/>
          <w:snapToGrid w:val="0"/>
          <w:color w:val="000000" w:themeColor="text1"/>
          <w:kern w:val="0"/>
          <w:sz w:val="28"/>
          <w:szCs w:val="28"/>
        </w:rPr>
        <w:t>其他</w:t>
      </w:r>
      <w:r>
        <w:rPr>
          <w:rFonts w:ascii="宋体" w:hAnsi="宋体"/>
          <w:snapToGrid w:val="0"/>
          <w:color w:val="000000" w:themeColor="text1"/>
          <w:kern w:val="0"/>
          <w:sz w:val="28"/>
          <w:szCs w:val="28"/>
        </w:rPr>
        <w:t>变化情况</w:t>
      </w:r>
      <w:r>
        <w:rPr>
          <w:rFonts w:hint="eastAsia" w:ascii="宋体" w:hAnsi="宋体"/>
          <w:snapToGrid w:val="0"/>
          <w:color w:val="000000" w:themeColor="text1"/>
          <w:kern w:val="0"/>
          <w:sz w:val="28"/>
          <w:szCs w:val="28"/>
        </w:rPr>
        <w:t>如下：</w:t>
      </w:r>
    </w:p>
    <w:p>
      <w:pPr>
        <w:tabs>
          <w:tab w:val="left" w:pos="420"/>
          <w:tab w:val="left" w:pos="540"/>
        </w:tabs>
        <w:adjustRightInd w:val="0"/>
        <w:snapToGrid w:val="0"/>
        <w:spacing w:line="360" w:lineRule="auto"/>
        <w:ind w:firstLine="560" w:firstLineChars="200"/>
        <w:rPr>
          <w:rFonts w:ascii="宋体" w:hAnsi="宋体"/>
          <w:color w:val="000000" w:themeColor="text1"/>
          <w:sz w:val="28"/>
          <w:szCs w:val="28"/>
        </w:rPr>
      </w:pPr>
      <w:r>
        <w:rPr>
          <w:rFonts w:hint="eastAsia" w:ascii="宋体" w:hAnsi="宋体"/>
          <w:snapToGrid w:val="0"/>
          <w:color w:val="000000" w:themeColor="text1"/>
          <w:kern w:val="0"/>
          <w:sz w:val="28"/>
          <w:szCs w:val="28"/>
        </w:rPr>
        <w:t>1.</w:t>
      </w:r>
      <w:r>
        <w:rPr>
          <w:rFonts w:ascii="宋体" w:hAnsi="宋体"/>
          <w:color w:val="000000" w:themeColor="text1"/>
          <w:sz w:val="28"/>
          <w:szCs w:val="28"/>
        </w:rPr>
        <w:t>取证以来该</w:t>
      </w:r>
      <w:r>
        <w:rPr>
          <w:rFonts w:hint="eastAsia" w:ascii="宋体" w:hAnsi="宋体"/>
          <w:color w:val="000000" w:themeColor="text1"/>
          <w:sz w:val="28"/>
          <w:szCs w:val="28"/>
        </w:rPr>
        <w:t>公司根据经营需求</w:t>
      </w:r>
      <w:r>
        <w:rPr>
          <w:rFonts w:ascii="宋体" w:hAnsi="宋体"/>
          <w:color w:val="000000" w:themeColor="text1"/>
          <w:sz w:val="28"/>
          <w:szCs w:val="28"/>
        </w:rPr>
        <w:t>对安全规章管理制度、安全生产责任制、事故应急救援预案及安全操作规程等进行了修改、完善</w:t>
      </w:r>
      <w:r>
        <w:rPr>
          <w:rFonts w:hint="eastAsia" w:ascii="宋体" w:hAnsi="宋体"/>
          <w:color w:val="000000" w:themeColor="text1"/>
          <w:sz w:val="28"/>
          <w:szCs w:val="28"/>
        </w:rPr>
        <w:t>。</w:t>
      </w:r>
    </w:p>
    <w:p>
      <w:pPr>
        <w:tabs>
          <w:tab w:val="left" w:pos="420"/>
          <w:tab w:val="left" w:pos="540"/>
        </w:tabs>
        <w:adjustRightInd w:val="0"/>
        <w:snapToGrid w:val="0"/>
        <w:spacing w:line="360" w:lineRule="auto"/>
        <w:ind w:firstLine="560" w:firstLineChars="200"/>
        <w:rPr>
          <w:rFonts w:ascii="宋体" w:hAnsi="宋体"/>
          <w:color w:val="000000" w:themeColor="text1"/>
          <w:sz w:val="28"/>
          <w:szCs w:val="28"/>
        </w:rPr>
      </w:pPr>
      <w:r>
        <w:rPr>
          <w:rFonts w:hint="eastAsia" w:ascii="宋体" w:hAnsi="宋体"/>
          <w:color w:val="000000" w:themeColor="text1"/>
          <w:sz w:val="28"/>
          <w:szCs w:val="28"/>
        </w:rPr>
        <w:t>2.取证以来公司安全管理人员及部分工作人员发生变动。</w:t>
      </w:r>
    </w:p>
    <w:p>
      <w:pPr>
        <w:tabs>
          <w:tab w:val="left" w:pos="420"/>
          <w:tab w:val="left" w:pos="540"/>
        </w:tabs>
        <w:adjustRightInd w:val="0"/>
        <w:snapToGrid w:val="0"/>
        <w:spacing w:line="360" w:lineRule="auto"/>
        <w:ind w:firstLine="560" w:firstLineChars="200"/>
        <w:rPr>
          <w:rFonts w:ascii="宋体" w:hAnsi="宋体"/>
          <w:color w:val="000000" w:themeColor="text1"/>
          <w:sz w:val="28"/>
          <w:szCs w:val="28"/>
        </w:rPr>
      </w:pPr>
      <w:r>
        <w:rPr>
          <w:rFonts w:hint="eastAsia" w:ascii="宋体" w:hAnsi="宋体"/>
          <w:color w:val="000000" w:themeColor="text1"/>
          <w:sz w:val="28"/>
          <w:szCs w:val="28"/>
        </w:rPr>
        <w:t>3.</w:t>
      </w:r>
      <w:r>
        <w:rPr>
          <w:rFonts w:ascii="宋体" w:hAnsi="宋体"/>
          <w:color w:val="000000" w:themeColor="text1"/>
          <w:sz w:val="28"/>
          <w:szCs w:val="28"/>
        </w:rPr>
        <w:t>取证以来</w:t>
      </w:r>
      <w:r>
        <w:rPr>
          <w:rFonts w:hint="eastAsia" w:ascii="宋体" w:hAnsi="宋体"/>
          <w:color w:val="000000" w:themeColor="text1"/>
          <w:sz w:val="28"/>
          <w:szCs w:val="28"/>
        </w:rPr>
        <w:t>对各级部门提出的不足之处进行整改：例如及时更换失效的灭火器材及油罐区的消防沙、更换加油区老化褪色的安全警示标志等，定期对公司设备设施进行检查，并结合各级部门检查后提出的不足之处进行整改。</w:t>
      </w:r>
    </w:p>
    <w:p>
      <w:pPr>
        <w:rPr>
          <w:rFonts w:hint="eastAsia" w:ascii="楷体_GB2312" w:hAnsi="宋体" w:eastAsia="楷体_GB2312"/>
          <w:color w:val="000000" w:themeColor="text1"/>
          <w:kern w:val="3"/>
        </w:rPr>
      </w:pPr>
      <w:bookmarkStart w:id="783" w:name="_Toc14279"/>
      <w:bookmarkStart w:id="784" w:name="_Toc3155"/>
      <w:bookmarkStart w:id="785" w:name="_Toc32599"/>
      <w:bookmarkStart w:id="786" w:name="_Toc21089"/>
      <w:bookmarkStart w:id="787" w:name="_Toc2863"/>
      <w:bookmarkStart w:id="788" w:name="_Toc15467"/>
      <w:bookmarkStart w:id="789" w:name="_Toc29014"/>
      <w:bookmarkStart w:id="790" w:name="_Toc15268"/>
      <w:bookmarkStart w:id="791" w:name="_Toc9226"/>
      <w:bookmarkStart w:id="792" w:name="_Toc21003_WPSOffice_Level1"/>
      <w:bookmarkStart w:id="793" w:name="_Toc217444195"/>
      <w:bookmarkStart w:id="794" w:name="_Toc25527"/>
      <w:bookmarkStart w:id="795" w:name="_Toc30489"/>
      <w:bookmarkStart w:id="796" w:name="_Toc7717"/>
      <w:bookmarkStart w:id="797" w:name="_Toc12884"/>
      <w:bookmarkStart w:id="798" w:name="_Toc16861"/>
      <w:bookmarkStart w:id="799" w:name="_Toc21336"/>
      <w:bookmarkStart w:id="800" w:name="_Toc16802"/>
      <w:r>
        <w:rPr>
          <w:rFonts w:hint="eastAsia" w:ascii="楷体_GB2312" w:hAnsi="宋体" w:eastAsia="楷体_GB2312"/>
          <w:color w:val="000000" w:themeColor="text1"/>
          <w:kern w:val="3"/>
        </w:rPr>
        <w:br w:type="page"/>
      </w:r>
    </w:p>
    <w:p>
      <w:pPr>
        <w:pStyle w:val="19"/>
        <w:spacing w:afterLines="100" w:line="500" w:lineRule="exact"/>
        <w:jc w:val="center"/>
        <w:rPr>
          <w:rFonts w:hint="eastAsia" w:ascii="楷体_GB2312" w:hAnsi="宋体" w:eastAsia="楷体_GB2312"/>
          <w:color w:val="000000" w:themeColor="text1"/>
          <w:kern w:val="3"/>
        </w:rPr>
      </w:pPr>
      <w:r>
        <w:rPr>
          <w:rFonts w:hint="eastAsia" w:ascii="楷体_GB2312" w:hAnsi="宋体" w:eastAsia="楷体_GB2312"/>
          <w:color w:val="000000" w:themeColor="text1"/>
          <w:kern w:val="3"/>
        </w:rPr>
        <w:t>第3章 主要危险、有害因素辨识与分析</w:t>
      </w:r>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p>
    <w:p>
      <w:pPr>
        <w:pStyle w:val="19"/>
        <w:spacing w:afterLines="100" w:line="500" w:lineRule="exact"/>
        <w:jc w:val="center"/>
        <w:rPr>
          <w:rFonts w:ascii="楷体_GB2312" w:hAnsi="宋体" w:eastAsia="楷体_GB2312"/>
          <w:color w:val="000000" w:themeColor="text1"/>
          <w:kern w:val="3"/>
        </w:rPr>
      </w:pPr>
      <w:bookmarkStart w:id="801" w:name="_Toc3349_WPSOffice_Level2"/>
      <w:bookmarkStart w:id="802" w:name="_Toc17667"/>
      <w:bookmarkStart w:id="803" w:name="_Toc26359"/>
      <w:bookmarkStart w:id="804" w:name="_Toc71798357"/>
      <w:bookmarkStart w:id="805" w:name="_Toc16044"/>
      <w:bookmarkStart w:id="806" w:name="_Toc88254465"/>
      <w:bookmarkStart w:id="807" w:name="_Toc20503"/>
      <w:bookmarkStart w:id="808" w:name="_Toc20472"/>
      <w:bookmarkStart w:id="809" w:name="_Toc20068"/>
      <w:bookmarkStart w:id="810" w:name="_Toc23497"/>
      <w:bookmarkStart w:id="811" w:name="_Toc10664"/>
      <w:bookmarkStart w:id="812" w:name="_Toc27434"/>
      <w:bookmarkStart w:id="813" w:name="_Toc3683"/>
      <w:bookmarkStart w:id="814" w:name="_Toc31505"/>
      <w:bookmarkStart w:id="815" w:name="_Toc27628"/>
      <w:bookmarkStart w:id="816" w:name="_Toc25025"/>
      <w:bookmarkStart w:id="817" w:name="_Toc86561258"/>
      <w:bookmarkStart w:id="818" w:name="_Toc27494"/>
      <w:bookmarkStart w:id="819" w:name="_Toc208674938"/>
      <w:bookmarkStart w:id="820" w:name="_Toc18332"/>
      <w:bookmarkStart w:id="821" w:name="_Toc88254724"/>
      <w:bookmarkStart w:id="822" w:name="_Toc208674350"/>
      <w:bookmarkStart w:id="823" w:name="_Toc244667383"/>
      <w:bookmarkStart w:id="824" w:name="_Toc82405066"/>
      <w:bookmarkStart w:id="825" w:name="_Toc86648100"/>
      <w:bookmarkStart w:id="826" w:name="_Toc31087"/>
      <w:r>
        <w:rPr>
          <w:rFonts w:hint="eastAsia" w:ascii="楷体_GB2312" w:hAnsi="宋体" w:eastAsia="楷体_GB2312"/>
          <w:color w:val="000000" w:themeColor="text1"/>
          <w:kern w:val="3"/>
        </w:rPr>
        <w:t>3.1辨识与分析的目的</w:t>
      </w:r>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p>
    <w:p>
      <w:pPr>
        <w:adjustRightInd w:val="0"/>
        <w:snapToGrid w:val="0"/>
        <w:spacing w:line="500" w:lineRule="exact"/>
        <w:ind w:firstLine="560" w:firstLineChars="200"/>
        <w:rPr>
          <w:snapToGrid w:val="0"/>
          <w:color w:val="000000" w:themeColor="text1"/>
          <w:kern w:val="0"/>
          <w:sz w:val="28"/>
          <w:szCs w:val="28"/>
        </w:rPr>
      </w:pPr>
      <w:r>
        <w:rPr>
          <w:snapToGrid w:val="0"/>
          <w:color w:val="000000" w:themeColor="text1"/>
          <w:kern w:val="0"/>
          <w:sz w:val="28"/>
          <w:szCs w:val="28"/>
        </w:rPr>
        <w:t>危险、有害因素辨识与分析是安全评价的基础。</w:t>
      </w:r>
    </w:p>
    <w:p>
      <w:pPr>
        <w:adjustRightInd w:val="0"/>
        <w:snapToGrid w:val="0"/>
        <w:spacing w:line="500" w:lineRule="exact"/>
        <w:ind w:firstLine="560" w:firstLineChars="200"/>
        <w:rPr>
          <w:snapToGrid w:val="0"/>
          <w:color w:val="000000" w:themeColor="text1"/>
          <w:kern w:val="0"/>
          <w:sz w:val="28"/>
          <w:szCs w:val="28"/>
        </w:rPr>
      </w:pPr>
      <w:r>
        <w:rPr>
          <w:snapToGrid w:val="0"/>
          <w:color w:val="000000" w:themeColor="text1"/>
          <w:kern w:val="0"/>
          <w:sz w:val="28"/>
          <w:szCs w:val="28"/>
        </w:rPr>
        <w:t>危险因素是指系统（人、机械、材料、设施、工艺、环境）中存在的，能对人造成伤亡，对物造成突发性损害的因素；有害因素是指影响人的身体健康，导致疾病，或对物造成慢性损害的因素。</w:t>
      </w:r>
    </w:p>
    <w:p>
      <w:pPr>
        <w:adjustRightInd w:val="0"/>
        <w:snapToGrid w:val="0"/>
        <w:spacing w:line="500" w:lineRule="exact"/>
        <w:ind w:firstLine="560" w:firstLineChars="200"/>
        <w:rPr>
          <w:snapToGrid w:val="0"/>
          <w:color w:val="000000" w:themeColor="text1"/>
          <w:kern w:val="0"/>
          <w:sz w:val="28"/>
          <w:szCs w:val="28"/>
        </w:rPr>
      </w:pPr>
      <w:r>
        <w:rPr>
          <w:snapToGrid w:val="0"/>
          <w:color w:val="000000" w:themeColor="text1"/>
          <w:kern w:val="0"/>
          <w:sz w:val="28"/>
          <w:szCs w:val="28"/>
        </w:rPr>
        <w:t>主要危险、有害因素的识别，就是找出生产系统中最有可能引发重大事故，导致不良后果的材、物、工艺过程、设施和环境特征等，识别可能发生的事故、后果和条件，以便采取预防和控制措施。</w:t>
      </w:r>
    </w:p>
    <w:p>
      <w:pPr>
        <w:pStyle w:val="19"/>
        <w:spacing w:afterLines="100" w:line="500" w:lineRule="exact"/>
        <w:jc w:val="center"/>
        <w:rPr>
          <w:rFonts w:ascii="楷体_GB2312" w:hAnsi="宋体" w:eastAsia="楷体_GB2312"/>
          <w:color w:val="000000" w:themeColor="text1"/>
          <w:kern w:val="3"/>
        </w:rPr>
      </w:pPr>
      <w:bookmarkStart w:id="827" w:name="_Toc244667384"/>
      <w:bookmarkStart w:id="828" w:name="_Toc208674939"/>
      <w:bookmarkStart w:id="829" w:name="_Toc23"/>
      <w:bookmarkStart w:id="830" w:name="_Toc13845"/>
      <w:bookmarkStart w:id="831" w:name="_Toc1275"/>
      <w:bookmarkStart w:id="832" w:name="_Toc26038"/>
      <w:bookmarkStart w:id="833" w:name="_Toc28210"/>
      <w:bookmarkStart w:id="834" w:name="_Toc9125"/>
      <w:bookmarkStart w:id="835" w:name="_Toc3019"/>
      <w:bookmarkStart w:id="836" w:name="_Toc208674351"/>
      <w:bookmarkStart w:id="837" w:name="_Toc10474_WPSOffice_Level2"/>
      <w:bookmarkStart w:id="838" w:name="_Toc4065"/>
      <w:bookmarkStart w:id="839" w:name="_Toc20495"/>
      <w:bookmarkStart w:id="840" w:name="_Toc6492"/>
      <w:bookmarkStart w:id="841" w:name="_Toc3761"/>
      <w:bookmarkStart w:id="842" w:name="_Toc21984"/>
      <w:bookmarkStart w:id="843" w:name="_Toc12688"/>
      <w:bookmarkStart w:id="844" w:name="_Toc20500"/>
      <w:bookmarkStart w:id="845" w:name="_Toc1072"/>
      <w:bookmarkStart w:id="846" w:name="_Toc20365"/>
      <w:r>
        <w:rPr>
          <w:rFonts w:hint="eastAsia" w:ascii="楷体_GB2312" w:hAnsi="宋体" w:eastAsia="楷体_GB2312"/>
          <w:color w:val="000000" w:themeColor="text1"/>
          <w:kern w:val="3"/>
        </w:rPr>
        <w:t>3.2辨识与分析的方法</w:t>
      </w:r>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p>
    <w:p>
      <w:pPr>
        <w:adjustRightInd w:val="0"/>
        <w:snapToGrid w:val="0"/>
        <w:spacing w:line="500" w:lineRule="exact"/>
        <w:ind w:firstLine="560" w:firstLineChars="200"/>
        <w:rPr>
          <w:snapToGrid w:val="0"/>
          <w:color w:val="000000" w:themeColor="text1"/>
          <w:kern w:val="0"/>
          <w:sz w:val="28"/>
          <w:szCs w:val="28"/>
        </w:rPr>
      </w:pPr>
      <w:r>
        <w:rPr>
          <w:snapToGrid w:val="0"/>
          <w:color w:val="000000" w:themeColor="text1"/>
          <w:kern w:val="0"/>
          <w:sz w:val="28"/>
          <w:szCs w:val="28"/>
        </w:rPr>
        <w:t>按照《企业职工伤亡事故分类》（GB6441-1986），综合考虑起因物、引起事故的诱导性原因、致害物、伤害方式等，将危险因素分为20类，分别为物体打击、车辆伤害、机械伤害、起重伤害、触电、淹溺、灼烫、火灾、高处坠落、坍塌、冒顶片帮、透水、放炮、瓦斯爆炸、火药爆炸、锅炉爆炸、容器爆炸、其他爆炸、中毒和窒息及其他伤害等。</w:t>
      </w:r>
    </w:p>
    <w:p>
      <w:pPr>
        <w:adjustRightInd w:val="0"/>
        <w:snapToGrid w:val="0"/>
        <w:spacing w:line="500" w:lineRule="exact"/>
        <w:ind w:firstLine="560" w:firstLineChars="200"/>
        <w:rPr>
          <w:snapToGrid w:val="0"/>
          <w:color w:val="000000" w:themeColor="text1"/>
          <w:kern w:val="0"/>
          <w:sz w:val="28"/>
          <w:szCs w:val="28"/>
        </w:rPr>
      </w:pPr>
      <w:r>
        <w:rPr>
          <w:snapToGrid w:val="0"/>
          <w:color w:val="000000" w:themeColor="text1"/>
          <w:kern w:val="0"/>
          <w:sz w:val="28"/>
          <w:szCs w:val="28"/>
        </w:rPr>
        <w:t>按照《生产过程危险和有害因素分类与代码》（</w:t>
      </w:r>
      <w:r>
        <w:rPr>
          <w:rFonts w:hint="eastAsia"/>
          <w:snapToGrid w:val="0"/>
          <w:color w:val="000000" w:themeColor="text1"/>
          <w:kern w:val="0"/>
          <w:sz w:val="28"/>
          <w:szCs w:val="28"/>
          <w:lang w:eastAsia="zh-CN"/>
        </w:rPr>
        <w:t>GB/T13861-2022</w:t>
      </w:r>
      <w:r>
        <w:rPr>
          <w:snapToGrid w:val="0"/>
          <w:color w:val="000000" w:themeColor="text1"/>
          <w:kern w:val="0"/>
          <w:sz w:val="28"/>
          <w:szCs w:val="28"/>
        </w:rPr>
        <w:t>）的规定，将生产过程中的危险、有害因素分为以下4类：</w:t>
      </w:r>
    </w:p>
    <w:p>
      <w:pPr>
        <w:adjustRightInd w:val="0"/>
        <w:snapToGrid w:val="0"/>
        <w:spacing w:line="500" w:lineRule="exact"/>
        <w:ind w:firstLine="560" w:firstLineChars="200"/>
        <w:rPr>
          <w:snapToGrid w:val="0"/>
          <w:color w:val="000000" w:themeColor="text1"/>
          <w:kern w:val="0"/>
          <w:sz w:val="28"/>
          <w:szCs w:val="28"/>
        </w:rPr>
      </w:pPr>
      <w:bookmarkStart w:id="847" w:name="_Toc32715"/>
      <w:bookmarkStart w:id="848" w:name="_Toc1693"/>
      <w:bookmarkStart w:id="849" w:name="_Toc13397"/>
      <w:bookmarkStart w:id="850" w:name="_Toc18252"/>
      <w:bookmarkStart w:id="851" w:name="_Toc21932"/>
      <w:r>
        <w:rPr>
          <w:snapToGrid w:val="0"/>
          <w:color w:val="000000" w:themeColor="text1"/>
          <w:kern w:val="0"/>
          <w:sz w:val="28"/>
          <w:szCs w:val="28"/>
        </w:rPr>
        <w:t>1、人的因素</w:t>
      </w:r>
      <w:bookmarkEnd w:id="847"/>
      <w:bookmarkEnd w:id="848"/>
      <w:bookmarkEnd w:id="849"/>
      <w:bookmarkEnd w:id="850"/>
      <w:bookmarkEnd w:id="851"/>
    </w:p>
    <w:p>
      <w:pPr>
        <w:tabs>
          <w:tab w:val="left" w:pos="1050"/>
          <w:tab w:val="left" w:pos="1400"/>
        </w:tabs>
        <w:adjustRightInd w:val="0"/>
        <w:snapToGrid w:val="0"/>
        <w:spacing w:line="500" w:lineRule="exact"/>
        <w:ind w:firstLine="560" w:firstLineChars="200"/>
        <w:rPr>
          <w:snapToGrid w:val="0"/>
          <w:color w:val="000000" w:themeColor="text1"/>
          <w:kern w:val="0"/>
          <w:sz w:val="28"/>
          <w:szCs w:val="28"/>
        </w:rPr>
      </w:pPr>
      <w:r>
        <w:rPr>
          <w:snapToGrid w:val="0"/>
          <w:color w:val="000000" w:themeColor="text1"/>
          <w:kern w:val="0"/>
          <w:sz w:val="28"/>
          <w:szCs w:val="28"/>
        </w:rPr>
        <w:t>1）心理、生理性危险和有害因素；</w:t>
      </w:r>
    </w:p>
    <w:p>
      <w:pPr>
        <w:tabs>
          <w:tab w:val="left" w:pos="1050"/>
          <w:tab w:val="left" w:pos="1400"/>
        </w:tabs>
        <w:adjustRightInd w:val="0"/>
        <w:snapToGrid w:val="0"/>
        <w:spacing w:line="500" w:lineRule="exact"/>
        <w:ind w:firstLine="560" w:firstLineChars="200"/>
        <w:rPr>
          <w:snapToGrid w:val="0"/>
          <w:color w:val="000000" w:themeColor="text1"/>
          <w:kern w:val="0"/>
          <w:sz w:val="28"/>
          <w:szCs w:val="28"/>
        </w:rPr>
      </w:pPr>
      <w:r>
        <w:rPr>
          <w:snapToGrid w:val="0"/>
          <w:color w:val="000000" w:themeColor="text1"/>
          <w:kern w:val="0"/>
          <w:sz w:val="28"/>
          <w:szCs w:val="28"/>
        </w:rPr>
        <w:t>2）行为性危险和有害因素。</w:t>
      </w:r>
    </w:p>
    <w:p>
      <w:pPr>
        <w:adjustRightInd w:val="0"/>
        <w:snapToGrid w:val="0"/>
        <w:spacing w:line="500" w:lineRule="exact"/>
        <w:ind w:firstLine="560" w:firstLineChars="200"/>
        <w:rPr>
          <w:snapToGrid w:val="0"/>
          <w:color w:val="000000" w:themeColor="text1"/>
          <w:kern w:val="0"/>
          <w:sz w:val="28"/>
          <w:szCs w:val="28"/>
        </w:rPr>
      </w:pPr>
      <w:bookmarkStart w:id="852" w:name="_Toc26230"/>
      <w:bookmarkStart w:id="853" w:name="_Toc29906"/>
      <w:bookmarkStart w:id="854" w:name="_Toc25387"/>
      <w:bookmarkStart w:id="855" w:name="_Toc20338"/>
      <w:bookmarkStart w:id="856" w:name="_Toc5642"/>
      <w:r>
        <w:rPr>
          <w:snapToGrid w:val="0"/>
          <w:color w:val="000000" w:themeColor="text1"/>
          <w:kern w:val="0"/>
          <w:sz w:val="28"/>
          <w:szCs w:val="28"/>
        </w:rPr>
        <w:t>2、物的因素</w:t>
      </w:r>
      <w:bookmarkEnd w:id="852"/>
      <w:bookmarkEnd w:id="853"/>
      <w:bookmarkEnd w:id="854"/>
      <w:bookmarkEnd w:id="855"/>
      <w:bookmarkEnd w:id="856"/>
    </w:p>
    <w:p>
      <w:pPr>
        <w:tabs>
          <w:tab w:val="left" w:pos="1050"/>
          <w:tab w:val="left" w:pos="1400"/>
        </w:tabs>
        <w:adjustRightInd w:val="0"/>
        <w:snapToGrid w:val="0"/>
        <w:spacing w:line="500" w:lineRule="exact"/>
        <w:ind w:firstLine="560" w:firstLineChars="200"/>
        <w:rPr>
          <w:snapToGrid w:val="0"/>
          <w:color w:val="000000" w:themeColor="text1"/>
          <w:kern w:val="0"/>
          <w:sz w:val="28"/>
          <w:szCs w:val="28"/>
        </w:rPr>
      </w:pPr>
      <w:r>
        <w:rPr>
          <w:snapToGrid w:val="0"/>
          <w:color w:val="000000" w:themeColor="text1"/>
          <w:kern w:val="0"/>
          <w:sz w:val="28"/>
          <w:szCs w:val="28"/>
        </w:rPr>
        <w:t>1）物理性危险和有害因素；</w:t>
      </w:r>
    </w:p>
    <w:p>
      <w:pPr>
        <w:tabs>
          <w:tab w:val="left" w:pos="1050"/>
          <w:tab w:val="left" w:pos="1400"/>
        </w:tabs>
        <w:adjustRightInd w:val="0"/>
        <w:snapToGrid w:val="0"/>
        <w:spacing w:line="500" w:lineRule="exact"/>
        <w:ind w:firstLine="560" w:firstLineChars="200"/>
        <w:rPr>
          <w:snapToGrid w:val="0"/>
          <w:color w:val="000000" w:themeColor="text1"/>
          <w:kern w:val="0"/>
          <w:sz w:val="28"/>
          <w:szCs w:val="28"/>
        </w:rPr>
      </w:pPr>
      <w:r>
        <w:rPr>
          <w:snapToGrid w:val="0"/>
          <w:color w:val="000000" w:themeColor="text1"/>
          <w:kern w:val="0"/>
          <w:sz w:val="28"/>
          <w:szCs w:val="28"/>
        </w:rPr>
        <w:t>2）化学性危险和有害因素；</w:t>
      </w:r>
    </w:p>
    <w:p>
      <w:pPr>
        <w:tabs>
          <w:tab w:val="left" w:pos="1050"/>
          <w:tab w:val="left" w:pos="1400"/>
        </w:tabs>
        <w:adjustRightInd w:val="0"/>
        <w:snapToGrid w:val="0"/>
        <w:spacing w:line="500" w:lineRule="exact"/>
        <w:ind w:firstLine="560" w:firstLineChars="200"/>
        <w:rPr>
          <w:snapToGrid w:val="0"/>
          <w:color w:val="000000" w:themeColor="text1"/>
          <w:kern w:val="0"/>
          <w:sz w:val="28"/>
          <w:szCs w:val="28"/>
        </w:rPr>
      </w:pPr>
      <w:r>
        <w:rPr>
          <w:snapToGrid w:val="0"/>
          <w:color w:val="000000" w:themeColor="text1"/>
          <w:kern w:val="0"/>
          <w:sz w:val="28"/>
          <w:szCs w:val="28"/>
        </w:rPr>
        <w:t>3）生物性危险和有害因素。</w:t>
      </w:r>
    </w:p>
    <w:p>
      <w:pPr>
        <w:adjustRightInd w:val="0"/>
        <w:snapToGrid w:val="0"/>
        <w:spacing w:line="500" w:lineRule="exact"/>
        <w:ind w:firstLine="560" w:firstLineChars="200"/>
        <w:rPr>
          <w:snapToGrid w:val="0"/>
          <w:color w:val="000000" w:themeColor="text1"/>
          <w:kern w:val="0"/>
          <w:sz w:val="28"/>
          <w:szCs w:val="28"/>
        </w:rPr>
      </w:pPr>
      <w:bookmarkStart w:id="857" w:name="_Toc23941"/>
      <w:bookmarkStart w:id="858" w:name="_Toc7189"/>
      <w:bookmarkStart w:id="859" w:name="_Toc9643"/>
      <w:bookmarkStart w:id="860" w:name="_Toc27286"/>
      <w:bookmarkStart w:id="861" w:name="_Toc29181"/>
      <w:r>
        <w:rPr>
          <w:snapToGrid w:val="0"/>
          <w:color w:val="000000" w:themeColor="text1"/>
          <w:kern w:val="0"/>
          <w:sz w:val="28"/>
          <w:szCs w:val="28"/>
        </w:rPr>
        <w:t>3、环境因素</w:t>
      </w:r>
      <w:bookmarkEnd w:id="857"/>
      <w:bookmarkEnd w:id="858"/>
      <w:bookmarkEnd w:id="859"/>
      <w:bookmarkEnd w:id="860"/>
      <w:bookmarkEnd w:id="861"/>
    </w:p>
    <w:p>
      <w:pPr>
        <w:tabs>
          <w:tab w:val="left" w:pos="1050"/>
          <w:tab w:val="left" w:pos="1400"/>
        </w:tabs>
        <w:adjustRightInd w:val="0"/>
        <w:snapToGrid w:val="0"/>
        <w:spacing w:line="500" w:lineRule="exact"/>
        <w:ind w:firstLine="560" w:firstLineChars="200"/>
        <w:rPr>
          <w:snapToGrid w:val="0"/>
          <w:color w:val="000000" w:themeColor="text1"/>
          <w:kern w:val="0"/>
          <w:sz w:val="28"/>
          <w:szCs w:val="28"/>
        </w:rPr>
      </w:pPr>
      <w:r>
        <w:rPr>
          <w:snapToGrid w:val="0"/>
          <w:color w:val="000000" w:themeColor="text1"/>
          <w:kern w:val="0"/>
          <w:sz w:val="28"/>
          <w:szCs w:val="28"/>
        </w:rPr>
        <w:t>1）室内、外作业场所环境不良；</w:t>
      </w:r>
    </w:p>
    <w:p>
      <w:pPr>
        <w:tabs>
          <w:tab w:val="left" w:pos="1050"/>
          <w:tab w:val="left" w:pos="1400"/>
        </w:tabs>
        <w:adjustRightInd w:val="0"/>
        <w:snapToGrid w:val="0"/>
        <w:spacing w:line="500" w:lineRule="exact"/>
        <w:ind w:firstLine="560" w:firstLineChars="200"/>
        <w:rPr>
          <w:snapToGrid w:val="0"/>
          <w:color w:val="000000" w:themeColor="text1"/>
          <w:kern w:val="0"/>
          <w:sz w:val="28"/>
          <w:szCs w:val="28"/>
        </w:rPr>
      </w:pPr>
      <w:r>
        <w:rPr>
          <w:snapToGrid w:val="0"/>
          <w:color w:val="000000" w:themeColor="text1"/>
          <w:kern w:val="0"/>
          <w:sz w:val="28"/>
          <w:szCs w:val="28"/>
        </w:rPr>
        <w:t>2）地下（含水下）作业环境不良；</w:t>
      </w:r>
    </w:p>
    <w:p>
      <w:pPr>
        <w:tabs>
          <w:tab w:val="left" w:pos="1050"/>
          <w:tab w:val="left" w:pos="1400"/>
        </w:tabs>
        <w:adjustRightInd w:val="0"/>
        <w:snapToGrid w:val="0"/>
        <w:spacing w:line="500" w:lineRule="exact"/>
        <w:ind w:firstLine="560" w:firstLineChars="200"/>
        <w:rPr>
          <w:snapToGrid w:val="0"/>
          <w:color w:val="000000" w:themeColor="text1"/>
          <w:kern w:val="0"/>
          <w:sz w:val="28"/>
          <w:szCs w:val="28"/>
        </w:rPr>
      </w:pPr>
      <w:r>
        <w:rPr>
          <w:snapToGrid w:val="0"/>
          <w:color w:val="000000" w:themeColor="text1"/>
          <w:kern w:val="0"/>
          <w:sz w:val="28"/>
          <w:szCs w:val="28"/>
        </w:rPr>
        <w:t>3）其他作业环境不良。</w:t>
      </w:r>
    </w:p>
    <w:p>
      <w:pPr>
        <w:adjustRightInd w:val="0"/>
        <w:snapToGrid w:val="0"/>
        <w:spacing w:line="500" w:lineRule="exact"/>
        <w:ind w:firstLine="560" w:firstLineChars="200"/>
        <w:rPr>
          <w:snapToGrid w:val="0"/>
          <w:color w:val="000000" w:themeColor="text1"/>
          <w:kern w:val="0"/>
          <w:sz w:val="28"/>
          <w:szCs w:val="28"/>
        </w:rPr>
      </w:pPr>
      <w:bookmarkStart w:id="862" w:name="_Toc30476"/>
      <w:bookmarkStart w:id="863" w:name="_Toc25368"/>
      <w:bookmarkStart w:id="864" w:name="_Toc21465"/>
      <w:bookmarkStart w:id="865" w:name="_Toc3393"/>
      <w:bookmarkStart w:id="866" w:name="_Toc22002"/>
      <w:r>
        <w:rPr>
          <w:snapToGrid w:val="0"/>
          <w:color w:val="000000" w:themeColor="text1"/>
          <w:kern w:val="0"/>
          <w:sz w:val="28"/>
          <w:szCs w:val="28"/>
        </w:rPr>
        <w:t>4、管理因素</w:t>
      </w:r>
      <w:bookmarkEnd w:id="862"/>
      <w:bookmarkEnd w:id="863"/>
      <w:bookmarkEnd w:id="864"/>
      <w:bookmarkEnd w:id="865"/>
      <w:bookmarkEnd w:id="866"/>
    </w:p>
    <w:p>
      <w:pPr>
        <w:tabs>
          <w:tab w:val="left" w:pos="1050"/>
          <w:tab w:val="left" w:pos="1400"/>
        </w:tabs>
        <w:adjustRightInd w:val="0"/>
        <w:snapToGrid w:val="0"/>
        <w:spacing w:line="500" w:lineRule="exact"/>
        <w:ind w:firstLine="560" w:firstLineChars="200"/>
        <w:rPr>
          <w:snapToGrid w:val="0"/>
          <w:color w:val="FF0000"/>
          <w:kern w:val="0"/>
          <w:sz w:val="28"/>
          <w:szCs w:val="28"/>
        </w:rPr>
      </w:pPr>
      <w:r>
        <w:rPr>
          <w:snapToGrid w:val="0"/>
          <w:color w:val="FF0000"/>
          <w:kern w:val="0"/>
          <w:sz w:val="28"/>
          <w:szCs w:val="28"/>
        </w:rPr>
        <w:t>1）职业安全卫生组织机构不健全</w:t>
      </w:r>
      <w:r>
        <w:rPr>
          <w:rFonts w:hint="eastAsia"/>
          <w:snapToGrid w:val="0"/>
          <w:color w:val="FF0000"/>
          <w:kern w:val="0"/>
          <w:sz w:val="28"/>
          <w:szCs w:val="28"/>
          <w:lang w:eastAsia="zh-CN"/>
        </w:rPr>
        <w:t>（</w:t>
      </w:r>
      <w:r>
        <w:rPr>
          <w:rFonts w:hint="eastAsia"/>
          <w:snapToGrid w:val="0"/>
          <w:color w:val="FF0000"/>
          <w:kern w:val="0"/>
          <w:sz w:val="28"/>
          <w:szCs w:val="28"/>
          <w:lang w:val="en-US" w:eastAsia="zh-CN"/>
        </w:rPr>
        <w:t>未建立</w:t>
      </w:r>
      <w:r>
        <w:rPr>
          <w:rFonts w:hint="eastAsia"/>
          <w:snapToGrid w:val="0"/>
          <w:color w:val="FF0000"/>
          <w:kern w:val="0"/>
          <w:sz w:val="28"/>
          <w:szCs w:val="28"/>
          <w:lang w:eastAsia="zh-CN"/>
        </w:rPr>
        <w:t>）</w:t>
      </w:r>
      <w:r>
        <w:rPr>
          <w:snapToGrid w:val="0"/>
          <w:color w:val="FF0000"/>
          <w:kern w:val="0"/>
          <w:sz w:val="28"/>
          <w:szCs w:val="28"/>
        </w:rPr>
        <w:t>；</w:t>
      </w:r>
    </w:p>
    <w:p>
      <w:pPr>
        <w:tabs>
          <w:tab w:val="left" w:pos="1050"/>
          <w:tab w:val="left" w:pos="1400"/>
        </w:tabs>
        <w:adjustRightInd w:val="0"/>
        <w:snapToGrid w:val="0"/>
        <w:spacing w:line="500" w:lineRule="exact"/>
        <w:ind w:firstLine="560" w:firstLineChars="200"/>
        <w:rPr>
          <w:snapToGrid w:val="0"/>
          <w:color w:val="FF0000"/>
          <w:kern w:val="0"/>
          <w:sz w:val="28"/>
          <w:szCs w:val="28"/>
        </w:rPr>
      </w:pPr>
      <w:r>
        <w:rPr>
          <w:snapToGrid w:val="0"/>
          <w:color w:val="FF0000"/>
          <w:kern w:val="0"/>
          <w:sz w:val="28"/>
          <w:szCs w:val="28"/>
        </w:rPr>
        <w:t>2）职业安全卫生责任制未落实</w:t>
      </w:r>
      <w:r>
        <w:rPr>
          <w:rFonts w:hint="eastAsia"/>
          <w:snapToGrid w:val="0"/>
          <w:color w:val="FF0000"/>
          <w:kern w:val="0"/>
          <w:sz w:val="28"/>
          <w:szCs w:val="28"/>
          <w:lang w:eastAsia="zh-CN"/>
        </w:rPr>
        <w:t>（</w:t>
      </w:r>
      <w:r>
        <w:rPr>
          <w:rFonts w:hint="eastAsia"/>
          <w:snapToGrid w:val="0"/>
          <w:color w:val="FF0000"/>
          <w:kern w:val="0"/>
          <w:sz w:val="28"/>
          <w:szCs w:val="28"/>
          <w:lang w:val="en-US" w:eastAsia="zh-CN"/>
        </w:rPr>
        <w:t>不健全</w:t>
      </w:r>
      <w:r>
        <w:rPr>
          <w:rFonts w:hint="eastAsia"/>
          <w:snapToGrid w:val="0"/>
          <w:color w:val="FF0000"/>
          <w:kern w:val="0"/>
          <w:sz w:val="28"/>
          <w:szCs w:val="28"/>
          <w:lang w:eastAsia="zh-CN"/>
        </w:rPr>
        <w:t>）</w:t>
      </w:r>
      <w:r>
        <w:rPr>
          <w:snapToGrid w:val="0"/>
          <w:color w:val="FF0000"/>
          <w:kern w:val="0"/>
          <w:sz w:val="28"/>
          <w:szCs w:val="28"/>
        </w:rPr>
        <w:t>；</w:t>
      </w:r>
    </w:p>
    <w:p>
      <w:pPr>
        <w:tabs>
          <w:tab w:val="left" w:pos="1050"/>
          <w:tab w:val="left" w:pos="1400"/>
        </w:tabs>
        <w:adjustRightInd w:val="0"/>
        <w:snapToGrid w:val="0"/>
        <w:spacing w:line="500" w:lineRule="exact"/>
        <w:ind w:firstLine="560" w:firstLineChars="200"/>
        <w:rPr>
          <w:snapToGrid w:val="0"/>
          <w:color w:val="FF0000"/>
          <w:kern w:val="0"/>
          <w:sz w:val="28"/>
          <w:szCs w:val="28"/>
        </w:rPr>
      </w:pPr>
      <w:r>
        <w:rPr>
          <w:snapToGrid w:val="0"/>
          <w:color w:val="FF0000"/>
          <w:kern w:val="0"/>
          <w:sz w:val="28"/>
          <w:szCs w:val="28"/>
        </w:rPr>
        <w:t>3）职业安全卫生管理规章制度不完善</w:t>
      </w:r>
      <w:r>
        <w:rPr>
          <w:rFonts w:hint="eastAsia"/>
          <w:snapToGrid w:val="0"/>
          <w:color w:val="FF0000"/>
          <w:kern w:val="0"/>
          <w:sz w:val="28"/>
          <w:szCs w:val="28"/>
          <w:lang w:eastAsia="zh-CN"/>
        </w:rPr>
        <w:t>（</w:t>
      </w:r>
      <w:r>
        <w:rPr>
          <w:rFonts w:hint="eastAsia"/>
          <w:snapToGrid w:val="0"/>
          <w:color w:val="FF0000"/>
          <w:kern w:val="0"/>
          <w:sz w:val="28"/>
          <w:szCs w:val="28"/>
          <w:lang w:val="en-US" w:eastAsia="zh-CN"/>
        </w:rPr>
        <w:t>不健全</w:t>
      </w:r>
      <w:r>
        <w:rPr>
          <w:rFonts w:hint="eastAsia"/>
          <w:snapToGrid w:val="0"/>
          <w:color w:val="FF0000"/>
          <w:kern w:val="0"/>
          <w:sz w:val="28"/>
          <w:szCs w:val="28"/>
          <w:lang w:eastAsia="zh-CN"/>
        </w:rPr>
        <w:t>）</w:t>
      </w:r>
      <w:r>
        <w:rPr>
          <w:snapToGrid w:val="0"/>
          <w:color w:val="FF0000"/>
          <w:kern w:val="0"/>
          <w:sz w:val="28"/>
          <w:szCs w:val="28"/>
        </w:rPr>
        <w:t>；</w:t>
      </w:r>
    </w:p>
    <w:p>
      <w:pPr>
        <w:tabs>
          <w:tab w:val="left" w:pos="1050"/>
          <w:tab w:val="left" w:pos="1400"/>
        </w:tabs>
        <w:adjustRightInd w:val="0"/>
        <w:snapToGrid w:val="0"/>
        <w:spacing w:line="500" w:lineRule="exact"/>
        <w:ind w:firstLine="560" w:firstLineChars="200"/>
        <w:rPr>
          <w:snapToGrid w:val="0"/>
          <w:color w:val="FF0000"/>
          <w:kern w:val="0"/>
          <w:sz w:val="28"/>
          <w:szCs w:val="28"/>
        </w:rPr>
      </w:pPr>
      <w:r>
        <w:rPr>
          <w:snapToGrid w:val="0"/>
          <w:color w:val="FF0000"/>
          <w:kern w:val="0"/>
          <w:sz w:val="28"/>
          <w:szCs w:val="28"/>
        </w:rPr>
        <w:t>4）</w:t>
      </w:r>
      <w:r>
        <w:rPr>
          <w:rFonts w:hint="eastAsia"/>
          <w:snapToGrid w:val="0"/>
          <w:color w:val="FF0000"/>
          <w:kern w:val="0"/>
          <w:sz w:val="28"/>
          <w:szCs w:val="28"/>
          <w:lang w:val="en-US" w:eastAsia="zh-CN"/>
        </w:rPr>
        <w:t>建设项目“三同时”制度未落实</w:t>
      </w:r>
      <w:r>
        <w:rPr>
          <w:snapToGrid w:val="0"/>
          <w:color w:val="FF0000"/>
          <w:kern w:val="0"/>
          <w:sz w:val="28"/>
          <w:szCs w:val="28"/>
        </w:rPr>
        <w:t>；</w:t>
      </w:r>
    </w:p>
    <w:p>
      <w:pPr>
        <w:tabs>
          <w:tab w:val="left" w:pos="1050"/>
          <w:tab w:val="left" w:pos="1400"/>
        </w:tabs>
        <w:adjustRightInd w:val="0"/>
        <w:snapToGrid w:val="0"/>
        <w:spacing w:line="500" w:lineRule="exact"/>
        <w:ind w:firstLine="560" w:firstLineChars="200"/>
        <w:rPr>
          <w:snapToGrid w:val="0"/>
          <w:color w:val="FF0000"/>
          <w:kern w:val="0"/>
          <w:sz w:val="28"/>
          <w:szCs w:val="28"/>
        </w:rPr>
      </w:pPr>
      <w:r>
        <w:rPr>
          <w:snapToGrid w:val="0"/>
          <w:color w:val="FF0000"/>
          <w:kern w:val="0"/>
          <w:sz w:val="28"/>
          <w:szCs w:val="28"/>
        </w:rPr>
        <w:t>5）</w:t>
      </w:r>
      <w:r>
        <w:rPr>
          <w:rFonts w:hint="eastAsia"/>
          <w:snapToGrid w:val="0"/>
          <w:color w:val="FF0000"/>
          <w:kern w:val="0"/>
          <w:sz w:val="28"/>
          <w:szCs w:val="28"/>
          <w:lang w:val="en-US" w:eastAsia="zh-CN"/>
        </w:rPr>
        <w:t>操作规程不规范</w:t>
      </w:r>
      <w:r>
        <w:rPr>
          <w:snapToGrid w:val="0"/>
          <w:color w:val="FF0000"/>
          <w:kern w:val="0"/>
          <w:sz w:val="28"/>
          <w:szCs w:val="28"/>
        </w:rPr>
        <w:t>；</w:t>
      </w:r>
    </w:p>
    <w:p>
      <w:pPr>
        <w:tabs>
          <w:tab w:val="left" w:pos="1050"/>
          <w:tab w:val="left" w:pos="1400"/>
        </w:tabs>
        <w:adjustRightInd w:val="0"/>
        <w:snapToGrid w:val="0"/>
        <w:spacing w:line="500" w:lineRule="exact"/>
        <w:ind w:firstLine="560" w:firstLineChars="200"/>
        <w:rPr>
          <w:rFonts w:hint="eastAsia"/>
          <w:snapToGrid w:val="0"/>
          <w:color w:val="FF0000"/>
          <w:kern w:val="0"/>
          <w:sz w:val="28"/>
          <w:szCs w:val="28"/>
          <w:lang w:val="en-US" w:eastAsia="zh-CN"/>
        </w:rPr>
      </w:pPr>
      <w:r>
        <w:rPr>
          <w:snapToGrid w:val="0"/>
          <w:color w:val="FF0000"/>
          <w:kern w:val="0"/>
          <w:sz w:val="28"/>
          <w:szCs w:val="28"/>
        </w:rPr>
        <w:t>6）</w:t>
      </w:r>
      <w:r>
        <w:rPr>
          <w:rFonts w:hint="eastAsia"/>
          <w:snapToGrid w:val="0"/>
          <w:color w:val="FF0000"/>
          <w:kern w:val="0"/>
          <w:sz w:val="28"/>
          <w:szCs w:val="28"/>
          <w:lang w:val="en-US" w:eastAsia="zh-CN"/>
        </w:rPr>
        <w:t>事故应急预案及响应缺陷；</w:t>
      </w:r>
    </w:p>
    <w:p>
      <w:pPr>
        <w:tabs>
          <w:tab w:val="left" w:pos="1050"/>
          <w:tab w:val="left" w:pos="1400"/>
        </w:tabs>
        <w:adjustRightInd w:val="0"/>
        <w:snapToGrid w:val="0"/>
        <w:spacing w:line="500" w:lineRule="exact"/>
        <w:ind w:firstLine="560" w:firstLineChars="200"/>
        <w:rPr>
          <w:rFonts w:hint="eastAsia"/>
          <w:snapToGrid w:val="0"/>
          <w:color w:val="FF0000"/>
          <w:kern w:val="0"/>
          <w:sz w:val="28"/>
          <w:szCs w:val="28"/>
          <w:lang w:val="en-US" w:eastAsia="zh-CN"/>
        </w:rPr>
      </w:pPr>
      <w:r>
        <w:rPr>
          <w:rFonts w:hint="eastAsia"/>
          <w:snapToGrid w:val="0"/>
          <w:color w:val="FF0000"/>
          <w:kern w:val="0"/>
          <w:sz w:val="28"/>
          <w:szCs w:val="28"/>
          <w:lang w:val="en-US" w:eastAsia="zh-CN"/>
        </w:rPr>
        <w:t>7）培训（教育）制度不完善；</w:t>
      </w:r>
    </w:p>
    <w:p>
      <w:pPr>
        <w:tabs>
          <w:tab w:val="left" w:pos="1050"/>
          <w:tab w:val="left" w:pos="1400"/>
        </w:tabs>
        <w:adjustRightInd w:val="0"/>
        <w:snapToGrid w:val="0"/>
        <w:spacing w:line="500" w:lineRule="exact"/>
        <w:ind w:firstLine="560" w:firstLineChars="200"/>
        <w:rPr>
          <w:rFonts w:hint="eastAsia"/>
          <w:snapToGrid w:val="0"/>
          <w:color w:val="FF0000"/>
          <w:kern w:val="0"/>
          <w:sz w:val="28"/>
          <w:szCs w:val="28"/>
          <w:lang w:val="en-US" w:eastAsia="zh-CN"/>
        </w:rPr>
      </w:pPr>
      <w:r>
        <w:rPr>
          <w:rFonts w:hint="eastAsia"/>
          <w:snapToGrid w:val="0"/>
          <w:color w:val="FF0000"/>
          <w:kern w:val="0"/>
          <w:sz w:val="28"/>
          <w:szCs w:val="28"/>
          <w:lang w:val="en-US" w:eastAsia="zh-CN"/>
        </w:rPr>
        <w:t>8）其他职业安全卫士管理规章制度不健全；</w:t>
      </w:r>
    </w:p>
    <w:p>
      <w:pPr>
        <w:tabs>
          <w:tab w:val="left" w:pos="1050"/>
          <w:tab w:val="left" w:pos="1400"/>
        </w:tabs>
        <w:adjustRightInd w:val="0"/>
        <w:snapToGrid w:val="0"/>
        <w:spacing w:line="500" w:lineRule="exact"/>
        <w:ind w:firstLine="560" w:firstLineChars="200"/>
        <w:rPr>
          <w:rFonts w:hint="eastAsia"/>
          <w:snapToGrid w:val="0"/>
          <w:color w:val="FF0000"/>
          <w:kern w:val="0"/>
          <w:sz w:val="28"/>
          <w:szCs w:val="28"/>
          <w:lang w:val="en-US" w:eastAsia="zh-CN"/>
        </w:rPr>
      </w:pPr>
      <w:r>
        <w:rPr>
          <w:rFonts w:hint="eastAsia"/>
          <w:snapToGrid w:val="0"/>
          <w:color w:val="FF0000"/>
          <w:kern w:val="0"/>
          <w:sz w:val="28"/>
          <w:szCs w:val="28"/>
          <w:lang w:val="en-US" w:eastAsia="zh-CN"/>
        </w:rPr>
        <w:t>9）职业安全卫士投入不足；</w:t>
      </w:r>
    </w:p>
    <w:p>
      <w:pPr>
        <w:tabs>
          <w:tab w:val="left" w:pos="1050"/>
          <w:tab w:val="left" w:pos="1400"/>
        </w:tabs>
        <w:adjustRightInd w:val="0"/>
        <w:snapToGrid w:val="0"/>
        <w:spacing w:line="500" w:lineRule="exact"/>
        <w:ind w:firstLine="560" w:firstLineChars="200"/>
        <w:rPr>
          <w:rFonts w:hint="eastAsia"/>
          <w:snapToGrid w:val="0"/>
          <w:color w:val="FF0000"/>
          <w:kern w:val="0"/>
          <w:sz w:val="28"/>
          <w:szCs w:val="28"/>
          <w:lang w:val="en-US" w:eastAsia="zh-CN"/>
        </w:rPr>
      </w:pPr>
      <w:r>
        <w:rPr>
          <w:rFonts w:hint="eastAsia"/>
          <w:snapToGrid w:val="0"/>
          <w:color w:val="FF0000"/>
          <w:kern w:val="0"/>
          <w:sz w:val="28"/>
          <w:szCs w:val="28"/>
          <w:lang w:val="en-US" w:eastAsia="zh-CN"/>
        </w:rPr>
        <w:t>10）职业健康管理不完善；</w:t>
      </w:r>
    </w:p>
    <w:p>
      <w:pPr>
        <w:tabs>
          <w:tab w:val="left" w:pos="1050"/>
          <w:tab w:val="left" w:pos="1400"/>
        </w:tabs>
        <w:adjustRightInd w:val="0"/>
        <w:snapToGrid w:val="0"/>
        <w:spacing w:line="500" w:lineRule="exact"/>
        <w:ind w:firstLine="560" w:firstLineChars="200"/>
        <w:rPr>
          <w:snapToGrid w:val="0"/>
          <w:color w:val="000000" w:themeColor="text1"/>
          <w:kern w:val="0"/>
          <w:sz w:val="28"/>
          <w:szCs w:val="28"/>
        </w:rPr>
      </w:pPr>
      <w:r>
        <w:rPr>
          <w:rFonts w:hint="eastAsia"/>
          <w:snapToGrid w:val="0"/>
          <w:color w:val="FF0000"/>
          <w:kern w:val="0"/>
          <w:sz w:val="28"/>
          <w:szCs w:val="28"/>
          <w:lang w:val="en-US" w:eastAsia="zh-CN"/>
        </w:rPr>
        <w:t>11）其他管理因素缺陷</w:t>
      </w:r>
      <w:r>
        <w:rPr>
          <w:snapToGrid w:val="0"/>
          <w:color w:val="000000" w:themeColor="text1"/>
          <w:kern w:val="0"/>
          <w:sz w:val="28"/>
          <w:szCs w:val="28"/>
        </w:rPr>
        <w:t>。</w:t>
      </w:r>
    </w:p>
    <w:p>
      <w:pPr>
        <w:widowControl/>
        <w:suppressAutoHyphens/>
        <w:adjustRightInd w:val="0"/>
        <w:snapToGrid w:val="0"/>
        <w:spacing w:line="500" w:lineRule="exact"/>
        <w:ind w:firstLine="560" w:firstLineChars="200"/>
        <w:rPr>
          <w:color w:val="000000" w:themeColor="text1"/>
          <w:sz w:val="28"/>
        </w:rPr>
      </w:pPr>
      <w:r>
        <w:rPr>
          <w:snapToGrid w:val="0"/>
          <w:color w:val="000000" w:themeColor="text1"/>
          <w:kern w:val="0"/>
          <w:sz w:val="28"/>
          <w:szCs w:val="28"/>
        </w:rPr>
        <w:t>综上所述，本报告对危险、有害因素的辨识方法，是根据</w:t>
      </w:r>
      <w:r>
        <w:rPr>
          <w:rFonts w:hint="eastAsia"/>
          <w:snapToGrid w:val="0"/>
          <w:color w:val="000000" w:themeColor="text1"/>
          <w:kern w:val="0"/>
          <w:sz w:val="28"/>
          <w:szCs w:val="28"/>
        </w:rPr>
        <w:t>昭通市耀晨甲醇醇油有限公司</w:t>
      </w:r>
      <w:r>
        <w:rPr>
          <w:snapToGrid w:val="0"/>
          <w:color w:val="000000" w:themeColor="text1"/>
          <w:kern w:val="0"/>
          <w:sz w:val="28"/>
          <w:szCs w:val="28"/>
        </w:rPr>
        <w:t>在经营甲醇的特点，按照甲醇的物理、化学性质，辨识该厂</w:t>
      </w:r>
      <w:r>
        <w:rPr>
          <w:color w:val="000000" w:themeColor="text1"/>
          <w:sz w:val="28"/>
        </w:rPr>
        <w:t>在经营过程中潜在的主要危险、有害因素。</w:t>
      </w:r>
    </w:p>
    <w:p>
      <w:pPr>
        <w:pStyle w:val="19"/>
        <w:spacing w:afterLines="100" w:line="500" w:lineRule="exact"/>
        <w:jc w:val="center"/>
        <w:rPr>
          <w:rFonts w:ascii="楷体_GB2312" w:hAnsi="宋体" w:eastAsia="楷体_GB2312"/>
          <w:color w:val="000000" w:themeColor="text1"/>
          <w:kern w:val="3"/>
        </w:rPr>
      </w:pPr>
      <w:bookmarkStart w:id="867" w:name="_Toc29177"/>
      <w:bookmarkStart w:id="868" w:name="_Toc18514"/>
      <w:bookmarkStart w:id="869" w:name="_Toc18813"/>
      <w:bookmarkStart w:id="870" w:name="_Toc2119"/>
      <w:bookmarkStart w:id="871" w:name="_Toc13273_WPSOffice_Level2"/>
      <w:bookmarkStart w:id="872" w:name="_Toc7238"/>
      <w:bookmarkStart w:id="873" w:name="_Toc26332"/>
      <w:bookmarkStart w:id="874" w:name="_Toc22551"/>
      <w:bookmarkStart w:id="875" w:name="_Toc18546"/>
      <w:bookmarkStart w:id="876" w:name="_Toc27345"/>
      <w:bookmarkStart w:id="877" w:name="_Toc1191"/>
      <w:bookmarkStart w:id="878" w:name="_Toc28892"/>
      <w:bookmarkStart w:id="879" w:name="_Toc30478"/>
      <w:bookmarkStart w:id="880" w:name="_Toc208674352"/>
      <w:bookmarkStart w:id="881" w:name="_Toc18616"/>
      <w:bookmarkStart w:id="882" w:name="_Toc208674940"/>
      <w:bookmarkStart w:id="883" w:name="_Toc172174239"/>
      <w:bookmarkStart w:id="884" w:name="_Toc244667385"/>
      <w:bookmarkStart w:id="885" w:name="_Toc12539"/>
      <w:bookmarkStart w:id="886" w:name="_Toc152"/>
      <w:bookmarkStart w:id="887" w:name="_Toc5081"/>
      <w:r>
        <w:rPr>
          <w:rFonts w:hint="eastAsia" w:ascii="楷体_GB2312" w:hAnsi="宋体" w:eastAsia="楷体_GB2312"/>
          <w:color w:val="000000" w:themeColor="text1"/>
          <w:kern w:val="3"/>
        </w:rPr>
        <w:t>3.3危险、有害因素产生的原因</w:t>
      </w:r>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p>
    <w:p>
      <w:pPr>
        <w:pStyle w:val="19"/>
        <w:spacing w:afterLines="100" w:line="500" w:lineRule="exact"/>
        <w:rPr>
          <w:rFonts w:ascii="黑体" w:hAnsi="宋体" w:eastAsia="黑体"/>
          <w:color w:val="000000" w:themeColor="text1"/>
          <w:kern w:val="3"/>
          <w:sz w:val="28"/>
          <w:szCs w:val="28"/>
        </w:rPr>
      </w:pPr>
      <w:bookmarkStart w:id="888" w:name="_Toc19033"/>
      <w:bookmarkStart w:id="889" w:name="_Toc28272"/>
      <w:bookmarkStart w:id="890" w:name="_Toc20634"/>
      <w:bookmarkStart w:id="891" w:name="_Toc26330"/>
      <w:bookmarkStart w:id="892" w:name="_Toc32164"/>
      <w:bookmarkStart w:id="893" w:name="_Toc208674353"/>
      <w:bookmarkStart w:id="894" w:name="_Toc18986"/>
      <w:bookmarkStart w:id="895" w:name="_Toc16122"/>
      <w:bookmarkStart w:id="896" w:name="_Toc244667386"/>
      <w:bookmarkStart w:id="897" w:name="_Toc172174240"/>
      <w:bookmarkStart w:id="898" w:name="_Toc7037"/>
      <w:bookmarkStart w:id="899" w:name="_Toc23990"/>
      <w:bookmarkStart w:id="900" w:name="_Toc208674941"/>
      <w:bookmarkStart w:id="901" w:name="_Toc26171"/>
      <w:bookmarkStart w:id="902" w:name="_Toc10425"/>
      <w:r>
        <w:rPr>
          <w:rFonts w:hint="eastAsia" w:ascii="黑体" w:hAnsi="宋体" w:eastAsia="黑体"/>
          <w:color w:val="000000" w:themeColor="text1"/>
          <w:kern w:val="3"/>
          <w:sz w:val="28"/>
          <w:szCs w:val="28"/>
        </w:rPr>
        <w:t>3.3.1运行失控与设备故障</w:t>
      </w:r>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p>
    <w:p>
      <w:pPr>
        <w:widowControl/>
        <w:suppressAutoHyphens/>
        <w:adjustRightInd w:val="0"/>
        <w:snapToGrid w:val="0"/>
        <w:spacing w:line="500" w:lineRule="exact"/>
        <w:ind w:firstLine="560" w:firstLineChars="200"/>
        <w:rPr>
          <w:snapToGrid w:val="0"/>
          <w:color w:val="000000" w:themeColor="text1"/>
          <w:kern w:val="0"/>
          <w:sz w:val="28"/>
          <w:szCs w:val="28"/>
        </w:rPr>
      </w:pPr>
      <w:r>
        <w:rPr>
          <w:snapToGrid w:val="0"/>
          <w:color w:val="000000" w:themeColor="text1"/>
          <w:kern w:val="0"/>
          <w:sz w:val="28"/>
          <w:szCs w:val="28"/>
        </w:rPr>
        <w:t>运行失控是指装置、容器运行过程中偏离或超过了正常的工艺技术条件,出现危险状态。故障是指设备、元件等在运行过程中由于性能低下而不能实现预期功能的现象。在生产过程中运行失控故障的发生是可能的，故障具有随机性和突发性，故障的发生一般是随机事件。造成故障发生的原因很复杂（如设计、制造、安装、腐蚀、疲劳、检查和检修保养、人员失误、环境及其它系统的影响等），但故障发生的规律是可知的，通过定期检查、维修、保养可使故障在预定期间内得到控制、避免、减少。</w:t>
      </w:r>
    </w:p>
    <w:p>
      <w:pPr>
        <w:pStyle w:val="19"/>
        <w:spacing w:afterLines="100" w:line="500" w:lineRule="exact"/>
        <w:rPr>
          <w:rFonts w:ascii="黑体" w:hAnsi="宋体" w:eastAsia="黑体"/>
          <w:color w:val="000000" w:themeColor="text1"/>
          <w:kern w:val="3"/>
          <w:sz w:val="28"/>
          <w:szCs w:val="28"/>
        </w:rPr>
      </w:pPr>
      <w:bookmarkStart w:id="903" w:name="_Toc3619"/>
      <w:bookmarkStart w:id="904" w:name="_Toc172174241"/>
      <w:bookmarkStart w:id="905" w:name="_Toc28340"/>
      <w:bookmarkStart w:id="906" w:name="_Toc208674942"/>
      <w:bookmarkStart w:id="907" w:name="_Toc4371"/>
      <w:bookmarkStart w:id="908" w:name="_Toc3039"/>
      <w:bookmarkStart w:id="909" w:name="_Toc3484"/>
      <w:bookmarkStart w:id="910" w:name="_Toc30984"/>
      <w:bookmarkStart w:id="911" w:name="_Toc32395"/>
      <w:bookmarkStart w:id="912" w:name="_Toc244667387"/>
      <w:bookmarkStart w:id="913" w:name="_Toc208674354"/>
      <w:bookmarkStart w:id="914" w:name="_Toc22112"/>
      <w:bookmarkStart w:id="915" w:name="_Toc20809"/>
      <w:bookmarkStart w:id="916" w:name="_Toc14883"/>
      <w:bookmarkStart w:id="917" w:name="_Toc18582"/>
      <w:r>
        <w:rPr>
          <w:rFonts w:hint="eastAsia" w:ascii="黑体" w:hAnsi="宋体" w:eastAsia="黑体"/>
          <w:color w:val="000000" w:themeColor="text1"/>
          <w:kern w:val="3"/>
          <w:sz w:val="28"/>
          <w:szCs w:val="28"/>
        </w:rPr>
        <w:t>3.3.2人员失误</w:t>
      </w:r>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p>
    <w:p>
      <w:pPr>
        <w:widowControl/>
        <w:suppressAutoHyphens/>
        <w:adjustRightInd w:val="0"/>
        <w:snapToGrid w:val="0"/>
        <w:spacing w:line="500" w:lineRule="exact"/>
        <w:ind w:firstLine="560" w:firstLineChars="200"/>
        <w:rPr>
          <w:snapToGrid w:val="0"/>
          <w:color w:val="000000" w:themeColor="text1"/>
          <w:kern w:val="0"/>
          <w:sz w:val="28"/>
          <w:szCs w:val="28"/>
        </w:rPr>
      </w:pPr>
      <w:r>
        <w:rPr>
          <w:snapToGrid w:val="0"/>
          <w:color w:val="000000" w:themeColor="text1"/>
          <w:kern w:val="0"/>
          <w:sz w:val="28"/>
          <w:szCs w:val="28"/>
        </w:rPr>
        <w:t>人员失误是指不安全行为（指职工在劳动过程中违反劳动纪律、操作程序、方法等具有危险性的作法）产生不良后果的行为。人员失误在生产过程中是不可避免的，它具有随机性和偶然性，往往是不可预测的意外行为。影响人员失误的因素很多，但发生人员失误的规律和失误率通过大量的观测、统计分析是可以预测的。</w:t>
      </w:r>
    </w:p>
    <w:p>
      <w:pPr>
        <w:pStyle w:val="19"/>
        <w:spacing w:afterLines="100" w:line="500" w:lineRule="exact"/>
        <w:rPr>
          <w:rFonts w:ascii="黑体" w:hAnsi="宋体" w:eastAsia="黑体"/>
          <w:color w:val="000000" w:themeColor="text1"/>
          <w:kern w:val="3"/>
          <w:sz w:val="28"/>
          <w:szCs w:val="28"/>
        </w:rPr>
      </w:pPr>
      <w:bookmarkStart w:id="918" w:name="_Toc8494"/>
      <w:bookmarkStart w:id="919" w:name="_Toc12453"/>
      <w:bookmarkStart w:id="920" w:name="_Toc208674355"/>
      <w:bookmarkStart w:id="921" w:name="_Toc208674943"/>
      <w:bookmarkStart w:id="922" w:name="_Toc212"/>
      <w:bookmarkStart w:id="923" w:name="_Toc244667388"/>
      <w:bookmarkStart w:id="924" w:name="_Toc16794"/>
      <w:bookmarkStart w:id="925" w:name="_Toc21091"/>
      <w:bookmarkStart w:id="926" w:name="_Toc13113"/>
      <w:bookmarkStart w:id="927" w:name="_Toc18402"/>
      <w:bookmarkStart w:id="928" w:name="_Toc24871"/>
      <w:bookmarkStart w:id="929" w:name="_Toc172174242"/>
      <w:bookmarkStart w:id="930" w:name="_Toc29371"/>
      <w:bookmarkStart w:id="931" w:name="_Toc6941"/>
      <w:bookmarkStart w:id="932" w:name="_Toc6033"/>
      <w:r>
        <w:rPr>
          <w:rFonts w:hint="eastAsia" w:ascii="黑体" w:hAnsi="宋体" w:eastAsia="黑体"/>
          <w:color w:val="000000" w:themeColor="text1"/>
          <w:kern w:val="3"/>
          <w:sz w:val="28"/>
          <w:szCs w:val="28"/>
        </w:rPr>
        <w:t>3.3.3管理缺陷</w:t>
      </w:r>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p>
    <w:p>
      <w:pPr>
        <w:widowControl/>
        <w:suppressAutoHyphens/>
        <w:adjustRightInd w:val="0"/>
        <w:snapToGrid w:val="0"/>
        <w:spacing w:line="500" w:lineRule="exact"/>
        <w:ind w:firstLine="560" w:firstLineChars="200"/>
        <w:rPr>
          <w:snapToGrid w:val="0"/>
          <w:color w:val="000000" w:themeColor="text1"/>
          <w:kern w:val="0"/>
          <w:sz w:val="28"/>
          <w:szCs w:val="28"/>
        </w:rPr>
      </w:pPr>
      <w:r>
        <w:rPr>
          <w:snapToGrid w:val="0"/>
          <w:color w:val="000000" w:themeColor="text1"/>
          <w:kern w:val="0"/>
          <w:sz w:val="28"/>
          <w:szCs w:val="28"/>
        </w:rPr>
        <w:t>安全管理是为保证及时、有效地实现既定的安全目标，是在预测、分析的基础上进行的计划、组织、协调、检查等工作，是预防故障和人员失误发生的有效手段，因此，管理缺陷是影响运行失控发生的重要因素。</w:t>
      </w:r>
    </w:p>
    <w:p>
      <w:pPr>
        <w:pStyle w:val="19"/>
        <w:spacing w:afterLines="100" w:line="500" w:lineRule="exact"/>
        <w:rPr>
          <w:rFonts w:ascii="黑体" w:hAnsi="宋体" w:eastAsia="黑体"/>
          <w:color w:val="000000" w:themeColor="text1"/>
          <w:kern w:val="3"/>
          <w:sz w:val="28"/>
          <w:szCs w:val="28"/>
        </w:rPr>
      </w:pPr>
      <w:bookmarkStart w:id="933" w:name="_Toc26453"/>
      <w:bookmarkStart w:id="934" w:name="_Toc21510"/>
      <w:bookmarkStart w:id="935" w:name="_Toc6384"/>
      <w:bookmarkStart w:id="936" w:name="_Toc29185"/>
      <w:bookmarkStart w:id="937" w:name="_Toc18851"/>
      <w:bookmarkStart w:id="938" w:name="_Toc21423"/>
      <w:bookmarkStart w:id="939" w:name="_Toc13749"/>
      <w:bookmarkStart w:id="940" w:name="_Toc27644"/>
      <w:bookmarkStart w:id="941" w:name="_Toc31613"/>
      <w:bookmarkStart w:id="942" w:name="_Toc26667"/>
      <w:bookmarkStart w:id="943" w:name="_Toc121"/>
      <w:r>
        <w:rPr>
          <w:rFonts w:hint="eastAsia" w:ascii="黑体" w:hAnsi="宋体" w:eastAsia="黑体"/>
          <w:color w:val="000000" w:themeColor="text1"/>
          <w:kern w:val="3"/>
          <w:sz w:val="28"/>
          <w:szCs w:val="28"/>
        </w:rPr>
        <w:t>3.3.4环境因素</w:t>
      </w:r>
      <w:bookmarkEnd w:id="933"/>
      <w:bookmarkEnd w:id="934"/>
      <w:bookmarkEnd w:id="935"/>
      <w:bookmarkEnd w:id="936"/>
      <w:bookmarkEnd w:id="937"/>
      <w:bookmarkEnd w:id="938"/>
      <w:bookmarkEnd w:id="939"/>
      <w:bookmarkEnd w:id="940"/>
      <w:bookmarkEnd w:id="941"/>
      <w:bookmarkEnd w:id="942"/>
      <w:bookmarkEnd w:id="943"/>
    </w:p>
    <w:p>
      <w:pPr>
        <w:widowControl/>
        <w:suppressAutoHyphens/>
        <w:adjustRightInd w:val="0"/>
        <w:snapToGrid w:val="0"/>
        <w:spacing w:line="500" w:lineRule="exact"/>
        <w:ind w:firstLine="560" w:firstLineChars="200"/>
        <w:rPr>
          <w:snapToGrid w:val="0"/>
          <w:color w:val="000000" w:themeColor="text1"/>
          <w:kern w:val="0"/>
          <w:sz w:val="28"/>
          <w:szCs w:val="28"/>
        </w:rPr>
      </w:pPr>
      <w:r>
        <w:rPr>
          <w:snapToGrid w:val="0"/>
          <w:color w:val="000000" w:themeColor="text1"/>
          <w:kern w:val="0"/>
          <w:sz w:val="28"/>
          <w:szCs w:val="28"/>
        </w:rPr>
        <w:t>不良环境的影响包括自然环境和作业环境。作业环境如温度、湿度、通风、照明、噪声、采光等因素的变化均可能导致人的情绪异常而引发误操作，从而引发事故；自然环境如风、雨、雷电、水文地质条件等均可能引发安全事故。</w:t>
      </w:r>
    </w:p>
    <w:p>
      <w:pPr>
        <w:pStyle w:val="19"/>
        <w:spacing w:afterLines="100" w:line="500" w:lineRule="exact"/>
        <w:jc w:val="center"/>
        <w:rPr>
          <w:rFonts w:ascii="楷体_GB2312" w:hAnsi="宋体" w:eastAsia="楷体_GB2312"/>
          <w:color w:val="000000" w:themeColor="text1"/>
          <w:kern w:val="3"/>
        </w:rPr>
      </w:pPr>
      <w:bookmarkStart w:id="944" w:name="_Toc2496"/>
      <w:bookmarkStart w:id="945" w:name="_Toc1368"/>
      <w:bookmarkStart w:id="946" w:name="_Toc28682"/>
      <w:bookmarkStart w:id="947" w:name="_Toc18321"/>
      <w:bookmarkStart w:id="948" w:name="_Toc4978"/>
      <w:bookmarkStart w:id="949" w:name="_Toc25750"/>
      <w:bookmarkStart w:id="950" w:name="_Toc1806"/>
      <w:bookmarkStart w:id="951" w:name="_Toc10243"/>
      <w:bookmarkStart w:id="952" w:name="_Toc17009"/>
      <w:bookmarkStart w:id="953" w:name="_Toc6099_WPSOffice_Level2"/>
      <w:bookmarkStart w:id="954" w:name="_Toc844"/>
      <w:bookmarkStart w:id="955" w:name="_Toc23898"/>
      <w:bookmarkStart w:id="956" w:name="_Toc15531"/>
      <w:bookmarkStart w:id="957" w:name="_Toc29593"/>
      <w:bookmarkStart w:id="958" w:name="_Toc1646"/>
      <w:bookmarkStart w:id="959" w:name="_Toc5559"/>
      <w:bookmarkStart w:id="960" w:name="_Toc19465"/>
      <w:r>
        <w:rPr>
          <w:rFonts w:hint="eastAsia" w:ascii="楷体_GB2312" w:hAnsi="宋体" w:eastAsia="楷体_GB2312"/>
          <w:color w:val="000000" w:themeColor="text1"/>
          <w:kern w:val="3"/>
        </w:rPr>
        <w:t>3.4主要危险、有害物质辨识</w:t>
      </w:r>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p>
    <w:p>
      <w:pPr>
        <w:pStyle w:val="19"/>
        <w:spacing w:afterLines="100" w:line="500" w:lineRule="exact"/>
        <w:rPr>
          <w:rFonts w:ascii="黑体" w:hAnsi="宋体" w:eastAsia="黑体"/>
          <w:color w:val="000000" w:themeColor="text1"/>
          <w:kern w:val="3"/>
          <w:sz w:val="28"/>
          <w:szCs w:val="28"/>
        </w:rPr>
      </w:pPr>
      <w:bookmarkStart w:id="961" w:name="_Toc138045002"/>
      <w:bookmarkStart w:id="962" w:name="_Toc112942418"/>
      <w:bookmarkStart w:id="963" w:name="_Toc152562794"/>
      <w:bookmarkStart w:id="964" w:name="_Toc151889060"/>
      <w:bookmarkStart w:id="965" w:name="_Toc184447539"/>
      <w:bookmarkStart w:id="966" w:name="_Toc184373383"/>
      <w:bookmarkStart w:id="967" w:name="_Toc189559318"/>
      <w:bookmarkStart w:id="968" w:name="_Toc149103038"/>
      <w:bookmarkStart w:id="969" w:name="_Toc151888546"/>
      <w:bookmarkStart w:id="970" w:name="_Toc209863614"/>
      <w:bookmarkStart w:id="971" w:name="_Toc231982110"/>
      <w:bookmarkStart w:id="972" w:name="_Toc19315"/>
      <w:bookmarkStart w:id="973" w:name="_Toc233515734"/>
      <w:bookmarkStart w:id="974" w:name="_Toc231835974"/>
      <w:bookmarkStart w:id="975" w:name="_Toc20486"/>
      <w:bookmarkStart w:id="976" w:name="_Toc20459"/>
      <w:bookmarkStart w:id="977" w:name="_Toc13310"/>
      <w:bookmarkStart w:id="978" w:name="_Toc19511"/>
      <w:bookmarkStart w:id="979" w:name="_Toc232084157"/>
      <w:bookmarkStart w:id="980" w:name="_Toc8668"/>
      <w:bookmarkStart w:id="981" w:name="_Toc8427"/>
      <w:bookmarkStart w:id="982" w:name="_Toc231983419"/>
      <w:r>
        <w:rPr>
          <w:rFonts w:hint="eastAsia" w:ascii="黑体" w:hAnsi="宋体" w:eastAsia="黑体"/>
          <w:color w:val="000000" w:themeColor="text1"/>
          <w:kern w:val="3"/>
          <w:sz w:val="28"/>
          <w:szCs w:val="28"/>
        </w:rPr>
        <w:t>3.4.1</w:t>
      </w:r>
      <w:bookmarkEnd w:id="961"/>
      <w:bookmarkEnd w:id="962"/>
      <w:bookmarkEnd w:id="963"/>
      <w:bookmarkEnd w:id="964"/>
      <w:bookmarkEnd w:id="965"/>
      <w:bookmarkEnd w:id="966"/>
      <w:bookmarkEnd w:id="967"/>
      <w:bookmarkEnd w:id="968"/>
      <w:bookmarkEnd w:id="969"/>
      <w:bookmarkEnd w:id="970"/>
      <w:r>
        <w:rPr>
          <w:rFonts w:hint="eastAsia" w:ascii="黑体" w:hAnsi="宋体" w:eastAsia="黑体"/>
          <w:color w:val="000000" w:themeColor="text1"/>
          <w:kern w:val="3"/>
          <w:sz w:val="28"/>
          <w:szCs w:val="28"/>
        </w:rPr>
        <w:t>主要危险、有害物质辨识</w:t>
      </w:r>
      <w:bookmarkEnd w:id="971"/>
      <w:bookmarkEnd w:id="972"/>
      <w:bookmarkEnd w:id="973"/>
      <w:bookmarkEnd w:id="974"/>
      <w:bookmarkEnd w:id="975"/>
      <w:bookmarkEnd w:id="976"/>
      <w:bookmarkEnd w:id="977"/>
      <w:bookmarkEnd w:id="978"/>
      <w:bookmarkEnd w:id="979"/>
      <w:bookmarkEnd w:id="980"/>
      <w:bookmarkEnd w:id="981"/>
      <w:bookmarkEnd w:id="982"/>
    </w:p>
    <w:p>
      <w:pPr>
        <w:adjustRightInd w:val="0"/>
        <w:snapToGrid w:val="0"/>
        <w:spacing w:line="500" w:lineRule="exact"/>
        <w:ind w:firstLine="560" w:firstLineChars="200"/>
        <w:rPr>
          <w:snapToGrid w:val="0"/>
          <w:color w:val="000000" w:themeColor="text1"/>
          <w:kern w:val="0"/>
          <w:sz w:val="28"/>
          <w:szCs w:val="28"/>
        </w:rPr>
      </w:pPr>
      <w:r>
        <w:rPr>
          <w:snapToGrid w:val="0"/>
          <w:color w:val="000000" w:themeColor="text1"/>
          <w:kern w:val="0"/>
          <w:sz w:val="28"/>
          <w:szCs w:val="28"/>
        </w:rPr>
        <w:t>该项目涉及的主要危险、有害物质为甲醇。</w:t>
      </w:r>
    </w:p>
    <w:p>
      <w:pPr>
        <w:adjustRightInd w:val="0"/>
        <w:snapToGrid w:val="0"/>
        <w:spacing w:line="500" w:lineRule="exact"/>
        <w:ind w:firstLine="560" w:firstLineChars="200"/>
        <w:rPr>
          <w:rFonts w:eastAsiaTheme="minorEastAsia"/>
          <w:snapToGrid w:val="0"/>
          <w:color w:val="000000" w:themeColor="text1"/>
          <w:kern w:val="0"/>
          <w:sz w:val="28"/>
          <w:szCs w:val="28"/>
        </w:rPr>
      </w:pPr>
      <w:r>
        <w:rPr>
          <w:rFonts w:eastAsiaTheme="minorEastAsia"/>
          <w:snapToGrid w:val="0"/>
          <w:color w:val="000000" w:themeColor="text1"/>
          <w:kern w:val="0"/>
          <w:sz w:val="28"/>
          <w:szCs w:val="28"/>
        </w:rPr>
        <w:t>该公司经营储存的甲醇，列在《</w:t>
      </w:r>
      <w:r>
        <w:rPr>
          <w:rFonts w:hint="eastAsia" w:eastAsiaTheme="minorEastAsia"/>
          <w:snapToGrid w:val="0"/>
          <w:color w:val="000000" w:themeColor="text1"/>
          <w:kern w:val="0"/>
          <w:sz w:val="28"/>
          <w:szCs w:val="28"/>
          <w:lang w:eastAsia="zh-CN"/>
        </w:rPr>
        <w:t>危险化学品目录（2015调整版）</w:t>
      </w:r>
      <w:r>
        <w:rPr>
          <w:rFonts w:eastAsiaTheme="minorEastAsia"/>
          <w:snapToGrid w:val="0"/>
          <w:color w:val="000000" w:themeColor="text1"/>
          <w:kern w:val="0"/>
          <w:sz w:val="28"/>
          <w:szCs w:val="28"/>
        </w:rPr>
        <w:t>》、《国家安全监管总局办公厅关于印发</w:t>
      </w:r>
      <w:r>
        <w:rPr>
          <w:rFonts w:hint="eastAsia" w:eastAsiaTheme="minorEastAsia"/>
          <w:snapToGrid w:val="0"/>
          <w:color w:val="000000" w:themeColor="text1"/>
          <w:kern w:val="0"/>
          <w:sz w:val="28"/>
          <w:szCs w:val="28"/>
          <w:lang w:eastAsia="zh-CN"/>
        </w:rPr>
        <w:t>危险化学品目录（2015调整版）</w:t>
      </w:r>
      <w:r>
        <w:rPr>
          <w:rFonts w:eastAsiaTheme="minorEastAsia"/>
          <w:snapToGrid w:val="0"/>
          <w:color w:val="000000" w:themeColor="text1"/>
          <w:kern w:val="0"/>
          <w:sz w:val="28"/>
          <w:szCs w:val="28"/>
        </w:rPr>
        <w:t>实施指南（试行）的通知》（安监总厅管三〔2015〕80号）中；另外，该公司经营储存的甲醇具有易燃液体，类别2；急性毒性-经口，类别3；急性毒性-经皮，类别3；急性毒性-吸入，类别3；特异性靶器官毒性一次接触,类别1。根据《</w:t>
      </w:r>
      <w:r>
        <w:rPr>
          <w:rFonts w:hint="eastAsia" w:eastAsiaTheme="minorEastAsia"/>
          <w:snapToGrid w:val="0"/>
          <w:color w:val="000000" w:themeColor="text1"/>
          <w:kern w:val="0"/>
          <w:sz w:val="28"/>
          <w:szCs w:val="28"/>
          <w:lang w:eastAsia="zh-CN"/>
        </w:rPr>
        <w:t>危险化学品目录（2015调整版）</w:t>
      </w:r>
      <w:r>
        <w:rPr>
          <w:rFonts w:eastAsiaTheme="minorEastAsia"/>
          <w:snapToGrid w:val="0"/>
          <w:color w:val="000000" w:themeColor="text1"/>
          <w:kern w:val="0"/>
          <w:sz w:val="28"/>
          <w:szCs w:val="28"/>
        </w:rPr>
        <w:t>》、《国家安全监管总局办公厅关于印发</w:t>
      </w:r>
      <w:r>
        <w:rPr>
          <w:rFonts w:hint="eastAsia" w:eastAsiaTheme="minorEastAsia"/>
          <w:snapToGrid w:val="0"/>
          <w:color w:val="000000" w:themeColor="text1"/>
          <w:kern w:val="0"/>
          <w:sz w:val="28"/>
          <w:szCs w:val="28"/>
          <w:lang w:eastAsia="zh-CN"/>
        </w:rPr>
        <w:t>危险化学品目录（2015调整版）</w:t>
      </w:r>
      <w:r>
        <w:rPr>
          <w:rFonts w:eastAsiaTheme="minorEastAsia"/>
          <w:snapToGrid w:val="0"/>
          <w:color w:val="000000" w:themeColor="text1"/>
          <w:kern w:val="0"/>
          <w:sz w:val="28"/>
          <w:szCs w:val="28"/>
        </w:rPr>
        <w:t>实施指南（试行）的通知》（安监总厅管三〔2015〕80号）等内容可知：该公司经营储存的燃料甲醇属于危险化学品，需要办理安全行政许可手续。</w:t>
      </w:r>
    </w:p>
    <w:p>
      <w:pPr>
        <w:adjustRightInd w:val="0"/>
        <w:snapToGrid w:val="0"/>
        <w:spacing w:line="500" w:lineRule="exact"/>
        <w:ind w:firstLine="560"/>
        <w:rPr>
          <w:bCs/>
          <w:color w:val="000000" w:themeColor="text1"/>
          <w:sz w:val="28"/>
          <w:szCs w:val="28"/>
        </w:rPr>
      </w:pPr>
      <w:r>
        <w:rPr>
          <w:snapToGrid w:val="0"/>
          <w:color w:val="000000" w:themeColor="text1"/>
          <w:kern w:val="0"/>
          <w:sz w:val="28"/>
          <w:szCs w:val="28"/>
        </w:rPr>
        <w:t>甲醇的</w:t>
      </w:r>
      <w:r>
        <w:rPr>
          <w:bCs/>
          <w:color w:val="000000" w:themeColor="text1"/>
          <w:sz w:val="28"/>
          <w:szCs w:val="28"/>
        </w:rPr>
        <w:t>危险性类别如下表所示：</w:t>
      </w:r>
    </w:p>
    <w:p>
      <w:pPr>
        <w:spacing w:line="500" w:lineRule="exact"/>
        <w:ind w:firstLine="480" w:firstLineChars="200"/>
        <w:jc w:val="center"/>
        <w:rPr>
          <w:color w:val="000000" w:themeColor="text1"/>
          <w:sz w:val="24"/>
        </w:rPr>
      </w:pPr>
      <w:r>
        <w:rPr>
          <w:color w:val="000000" w:themeColor="text1"/>
          <w:sz w:val="24"/>
        </w:rPr>
        <w:t>表3-1甲醇的危险性类别情况表</w:t>
      </w:r>
    </w:p>
    <w:tbl>
      <w:tblPr>
        <w:tblStyle w:val="52"/>
        <w:tblW w:w="86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5"/>
        <w:gridCol w:w="1117"/>
        <w:gridCol w:w="4485"/>
        <w:gridCol w:w="11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1935"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b/>
                <w:bCs/>
                <w:color w:val="000000" w:themeColor="text1"/>
                <w:kern w:val="0"/>
                <w:szCs w:val="21"/>
              </w:rPr>
            </w:pPr>
            <w:r>
              <w:rPr>
                <w:b/>
                <w:bCs/>
                <w:color w:val="000000" w:themeColor="text1"/>
                <w:kern w:val="0"/>
                <w:szCs w:val="21"/>
              </w:rPr>
              <w:t>危险化学品名称</w:t>
            </w:r>
          </w:p>
        </w:tc>
        <w:tc>
          <w:tcPr>
            <w:tcW w:w="1117"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b/>
                <w:bCs/>
                <w:color w:val="000000" w:themeColor="text1"/>
                <w:kern w:val="0"/>
                <w:szCs w:val="21"/>
              </w:rPr>
            </w:pPr>
            <w:r>
              <w:rPr>
                <w:b/>
                <w:bCs/>
                <w:color w:val="000000" w:themeColor="text1"/>
                <w:kern w:val="0"/>
                <w:szCs w:val="21"/>
              </w:rPr>
              <w:t>CAS号</w:t>
            </w:r>
          </w:p>
        </w:tc>
        <w:tc>
          <w:tcPr>
            <w:tcW w:w="4485"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b/>
                <w:bCs/>
                <w:color w:val="000000" w:themeColor="text1"/>
                <w:kern w:val="0"/>
                <w:szCs w:val="21"/>
              </w:rPr>
            </w:pPr>
            <w:r>
              <w:rPr>
                <w:b/>
                <w:bCs/>
                <w:color w:val="000000" w:themeColor="text1"/>
                <w:kern w:val="0"/>
                <w:szCs w:val="21"/>
              </w:rPr>
              <w:t>危险性类别</w:t>
            </w:r>
          </w:p>
        </w:tc>
        <w:tc>
          <w:tcPr>
            <w:tcW w:w="1127"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b/>
                <w:bCs/>
                <w:color w:val="000000" w:themeColor="text1"/>
                <w:kern w:val="0"/>
                <w:szCs w:val="21"/>
              </w:rPr>
            </w:pPr>
            <w:r>
              <w:rPr>
                <w:b/>
                <w:bCs/>
                <w:color w:val="000000" w:themeColor="text1"/>
                <w:kern w:val="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1935"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color w:val="000000" w:themeColor="text1"/>
                <w:szCs w:val="21"/>
              </w:rPr>
            </w:pPr>
            <w:r>
              <w:rPr>
                <w:color w:val="000000" w:themeColor="text1"/>
                <w:szCs w:val="21"/>
              </w:rPr>
              <w:t>甲醇</w:t>
            </w:r>
          </w:p>
        </w:tc>
        <w:tc>
          <w:tcPr>
            <w:tcW w:w="1117"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color w:val="000000" w:themeColor="text1"/>
                <w:kern w:val="0"/>
                <w:szCs w:val="21"/>
              </w:rPr>
            </w:pPr>
            <w:r>
              <w:rPr>
                <w:color w:val="000000" w:themeColor="text1"/>
                <w:sz w:val="24"/>
              </w:rPr>
              <w:t>67-56-1</w:t>
            </w:r>
          </w:p>
        </w:tc>
        <w:tc>
          <w:tcPr>
            <w:tcW w:w="4485" w:type="dxa"/>
            <w:tcBorders>
              <w:top w:val="single" w:color="auto" w:sz="4" w:space="0"/>
              <w:left w:val="single" w:color="auto" w:sz="4" w:space="0"/>
              <w:bottom w:val="single" w:color="auto" w:sz="4" w:space="0"/>
              <w:right w:val="single" w:color="auto" w:sz="4" w:space="0"/>
            </w:tcBorders>
            <w:vAlign w:val="center"/>
          </w:tcPr>
          <w:p>
            <w:pPr>
              <w:pStyle w:val="48"/>
              <w:spacing w:before="80" w:after="80" w:line="360" w:lineRule="exact"/>
              <w:ind w:firstLine="480"/>
              <w:rPr>
                <w:color w:val="000000" w:themeColor="text1"/>
                <w:szCs w:val="21"/>
              </w:rPr>
            </w:pPr>
            <w:r>
              <w:rPr>
                <w:rStyle w:val="113"/>
                <w:rFonts w:hint="default" w:ascii="Times New Roman" w:eastAsia="宋体"/>
                <w:color w:val="000000" w:themeColor="text1"/>
              </w:rPr>
              <w:t>易燃液体，类别2；急性毒性-经口，类别3；急性毒性-经皮，类别3；急性毒性-吸入，类别3；特异性靶器官毒性一次接触,类别1。</w:t>
            </w:r>
          </w:p>
        </w:tc>
        <w:tc>
          <w:tcPr>
            <w:tcW w:w="1127"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color w:val="000000" w:themeColor="text1"/>
                <w:kern w:val="0"/>
                <w:szCs w:val="21"/>
              </w:rPr>
            </w:pPr>
          </w:p>
        </w:tc>
      </w:tr>
    </w:tbl>
    <w:p>
      <w:pPr>
        <w:pStyle w:val="19"/>
        <w:spacing w:afterLines="100" w:line="500" w:lineRule="exact"/>
        <w:rPr>
          <w:rFonts w:ascii="黑体" w:hAnsi="宋体" w:eastAsia="黑体"/>
          <w:color w:val="000000" w:themeColor="text1"/>
          <w:kern w:val="3"/>
          <w:sz w:val="28"/>
          <w:szCs w:val="28"/>
        </w:rPr>
      </w:pPr>
      <w:bookmarkStart w:id="983" w:name="_Toc32132"/>
      <w:bookmarkStart w:id="984" w:name="_Toc4363"/>
      <w:bookmarkStart w:id="985" w:name="_Toc24936"/>
      <w:bookmarkStart w:id="986" w:name="_Toc1778"/>
      <w:bookmarkStart w:id="987" w:name="_Toc7353"/>
      <w:bookmarkStart w:id="988" w:name="_Toc244667393"/>
      <w:bookmarkStart w:id="989" w:name="_Toc9335"/>
      <w:bookmarkStart w:id="990" w:name="_Toc32248"/>
      <w:bookmarkStart w:id="991" w:name="_Toc201697591"/>
      <w:bookmarkStart w:id="992" w:name="_Toc445750270"/>
      <w:bookmarkStart w:id="993" w:name="_Toc233515735"/>
      <w:bookmarkStart w:id="994" w:name="_Toc2813"/>
      <w:bookmarkStart w:id="995" w:name="_Toc231982111"/>
      <w:bookmarkStart w:id="996" w:name="_Toc231835975"/>
      <w:bookmarkStart w:id="997" w:name="_Toc231983420"/>
      <w:bookmarkStart w:id="998" w:name="_Toc232084158"/>
      <w:r>
        <w:rPr>
          <w:rFonts w:hint="eastAsia" w:ascii="黑体" w:hAnsi="宋体" w:eastAsia="黑体"/>
          <w:color w:val="000000" w:themeColor="text1"/>
          <w:kern w:val="3"/>
          <w:sz w:val="28"/>
          <w:szCs w:val="28"/>
        </w:rPr>
        <w:t>3.4.2主要危险、有害物质特性详述</w:t>
      </w:r>
      <w:bookmarkEnd w:id="983"/>
      <w:bookmarkEnd w:id="984"/>
      <w:bookmarkEnd w:id="985"/>
      <w:bookmarkEnd w:id="986"/>
      <w:bookmarkEnd w:id="987"/>
      <w:bookmarkEnd w:id="988"/>
      <w:bookmarkEnd w:id="989"/>
      <w:bookmarkEnd w:id="990"/>
      <w:bookmarkEnd w:id="991"/>
    </w:p>
    <w:p>
      <w:pPr>
        <w:adjustRightInd w:val="0"/>
        <w:snapToGrid w:val="0"/>
        <w:spacing w:line="480" w:lineRule="exact"/>
        <w:ind w:firstLine="560" w:firstLineChars="200"/>
        <w:rPr>
          <w:color w:val="000000" w:themeColor="text1"/>
          <w:sz w:val="28"/>
          <w:szCs w:val="28"/>
        </w:rPr>
      </w:pPr>
      <w:r>
        <w:rPr>
          <w:color w:val="000000" w:themeColor="text1"/>
          <w:sz w:val="28"/>
          <w:szCs w:val="28"/>
        </w:rPr>
        <w:t>根据企业提供的《化学品安全技术说明书》，将该项目甲醇的</w:t>
      </w:r>
      <w:r>
        <w:rPr>
          <w:bCs/>
          <w:color w:val="000000" w:themeColor="text1"/>
          <w:sz w:val="28"/>
          <w:szCs w:val="28"/>
        </w:rPr>
        <w:t>理化特性摘录部分列入下表所示：</w:t>
      </w:r>
    </w:p>
    <w:p>
      <w:pPr>
        <w:spacing w:line="500" w:lineRule="exact"/>
        <w:jc w:val="center"/>
        <w:rPr>
          <w:color w:val="000000" w:themeColor="text1"/>
          <w:sz w:val="24"/>
        </w:rPr>
      </w:pPr>
      <w:bookmarkStart w:id="999" w:name="_Toc191728157"/>
      <w:bookmarkStart w:id="1000" w:name="_Toc191729717"/>
      <w:bookmarkStart w:id="1001" w:name="_Toc78305280"/>
      <w:bookmarkStart w:id="1002" w:name="_Toc79583209"/>
      <w:bookmarkStart w:id="1003" w:name="_Toc151353636"/>
      <w:bookmarkStart w:id="1004" w:name="_Toc345765771"/>
      <w:bookmarkStart w:id="1005" w:name="_Toc286493593"/>
      <w:bookmarkStart w:id="1006" w:name="_Toc92762947"/>
      <w:r>
        <w:rPr>
          <w:bCs/>
          <w:color w:val="000000" w:themeColor="text1"/>
          <w:kern w:val="3"/>
          <w:sz w:val="24"/>
        </w:rPr>
        <w:t>表3-2 甲醇理化</w:t>
      </w:r>
      <w:r>
        <w:rPr>
          <w:color w:val="000000" w:themeColor="text1"/>
          <w:sz w:val="24"/>
        </w:rPr>
        <w:t>特性表</w:t>
      </w:r>
    </w:p>
    <w:tbl>
      <w:tblPr>
        <w:tblStyle w:val="52"/>
        <w:tblW w:w="84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40"/>
        <w:gridCol w:w="64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40" w:type="dxa"/>
            <w:vAlign w:val="center"/>
          </w:tcPr>
          <w:p>
            <w:pPr>
              <w:widowControl/>
              <w:spacing w:line="260" w:lineRule="exact"/>
              <w:jc w:val="left"/>
              <w:rPr>
                <w:color w:val="000000" w:themeColor="text1"/>
                <w:kern w:val="0"/>
                <w:szCs w:val="21"/>
              </w:rPr>
            </w:pPr>
            <w:r>
              <w:rPr>
                <w:color w:val="000000" w:themeColor="text1"/>
                <w:kern w:val="0"/>
                <w:szCs w:val="21"/>
              </w:rPr>
              <w:t>中文名称：</w:t>
            </w:r>
          </w:p>
        </w:tc>
        <w:tc>
          <w:tcPr>
            <w:tcW w:w="6404" w:type="dxa"/>
            <w:vAlign w:val="center"/>
          </w:tcPr>
          <w:p>
            <w:pPr>
              <w:widowControl/>
              <w:spacing w:line="260" w:lineRule="exact"/>
              <w:jc w:val="left"/>
              <w:rPr>
                <w:color w:val="000000" w:themeColor="text1"/>
                <w:kern w:val="0"/>
                <w:szCs w:val="21"/>
              </w:rPr>
            </w:pPr>
            <w:r>
              <w:rPr>
                <w:color w:val="000000" w:themeColor="text1"/>
                <w:kern w:val="0"/>
                <w:szCs w:val="21"/>
              </w:rPr>
              <w:t>甲醇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40" w:type="dxa"/>
            <w:vAlign w:val="center"/>
          </w:tcPr>
          <w:p>
            <w:pPr>
              <w:widowControl/>
              <w:spacing w:line="260" w:lineRule="exact"/>
              <w:jc w:val="left"/>
              <w:rPr>
                <w:color w:val="000000" w:themeColor="text1"/>
                <w:kern w:val="0"/>
                <w:szCs w:val="21"/>
              </w:rPr>
            </w:pPr>
            <w:r>
              <w:rPr>
                <w:color w:val="000000" w:themeColor="text1"/>
                <w:kern w:val="0"/>
                <w:szCs w:val="21"/>
              </w:rPr>
              <w:t>英文名称：</w:t>
            </w:r>
          </w:p>
        </w:tc>
        <w:tc>
          <w:tcPr>
            <w:tcW w:w="6404" w:type="dxa"/>
            <w:vAlign w:val="center"/>
          </w:tcPr>
          <w:p>
            <w:pPr>
              <w:widowControl/>
              <w:spacing w:line="260" w:lineRule="exact"/>
              <w:jc w:val="left"/>
              <w:rPr>
                <w:color w:val="000000" w:themeColor="text1"/>
                <w:kern w:val="0"/>
                <w:szCs w:val="21"/>
              </w:rPr>
            </w:pPr>
            <w:r>
              <w:rPr>
                <w:rStyle w:val="114"/>
                <w:rFonts w:hint="default" w:ascii="Times New Roman" w:hAnsi="Times New Roman"/>
                <w:color w:val="000000" w:themeColor="text1"/>
                <w:sz w:val="21"/>
                <w:szCs w:val="21"/>
              </w:rPr>
              <w:t>methanol；methyl alcohol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40" w:type="dxa"/>
            <w:vAlign w:val="center"/>
          </w:tcPr>
          <w:p>
            <w:pPr>
              <w:widowControl/>
              <w:spacing w:line="260" w:lineRule="exact"/>
              <w:jc w:val="left"/>
              <w:rPr>
                <w:color w:val="000000" w:themeColor="text1"/>
                <w:kern w:val="0"/>
                <w:szCs w:val="21"/>
              </w:rPr>
            </w:pPr>
            <w:r>
              <w:rPr>
                <w:color w:val="000000" w:themeColor="text1"/>
                <w:kern w:val="0"/>
                <w:szCs w:val="21"/>
              </w:rPr>
              <w:t>正确运输名称：</w:t>
            </w:r>
          </w:p>
        </w:tc>
        <w:tc>
          <w:tcPr>
            <w:tcW w:w="6404" w:type="dxa"/>
            <w:vAlign w:val="center"/>
          </w:tcPr>
          <w:p>
            <w:pPr>
              <w:widowControl/>
              <w:spacing w:line="260" w:lineRule="exact"/>
              <w:jc w:val="left"/>
              <w:rPr>
                <w:color w:val="000000" w:themeColor="text1"/>
                <w:kern w:val="0"/>
                <w:szCs w:val="21"/>
              </w:rPr>
            </w:pPr>
            <w:r>
              <w:rPr>
                <w:color w:val="000000" w:themeColor="text1"/>
                <w:kern w:val="0"/>
                <w:szCs w:val="21"/>
              </w:rPr>
              <w:t>甲醇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40" w:type="dxa"/>
            <w:vAlign w:val="center"/>
          </w:tcPr>
          <w:p>
            <w:pPr>
              <w:widowControl/>
              <w:spacing w:line="260" w:lineRule="exact"/>
              <w:jc w:val="left"/>
              <w:rPr>
                <w:color w:val="000000" w:themeColor="text1"/>
                <w:kern w:val="0"/>
                <w:szCs w:val="21"/>
              </w:rPr>
            </w:pPr>
            <w:r>
              <w:rPr>
                <w:color w:val="000000" w:themeColor="text1"/>
                <w:kern w:val="0"/>
                <w:szCs w:val="21"/>
              </w:rPr>
              <w:t>外观与性状：</w:t>
            </w:r>
          </w:p>
        </w:tc>
        <w:tc>
          <w:tcPr>
            <w:tcW w:w="6404" w:type="dxa"/>
            <w:vAlign w:val="center"/>
          </w:tcPr>
          <w:p>
            <w:pPr>
              <w:widowControl/>
              <w:spacing w:line="260" w:lineRule="exact"/>
              <w:jc w:val="left"/>
              <w:rPr>
                <w:color w:val="000000" w:themeColor="text1"/>
                <w:kern w:val="0"/>
                <w:szCs w:val="21"/>
              </w:rPr>
            </w:pPr>
            <w:r>
              <w:rPr>
                <w:rStyle w:val="114"/>
                <w:rFonts w:hint="default" w:ascii="Times New Roman" w:hAnsi="Times New Roman"/>
                <w:color w:val="000000" w:themeColor="text1"/>
                <w:sz w:val="21"/>
                <w:szCs w:val="21"/>
              </w:rPr>
              <w:t>无色透明液体，有刺激性气味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40" w:type="dxa"/>
            <w:vAlign w:val="center"/>
          </w:tcPr>
          <w:p>
            <w:pPr>
              <w:widowControl/>
              <w:spacing w:line="260" w:lineRule="exact"/>
              <w:jc w:val="left"/>
              <w:rPr>
                <w:color w:val="000000" w:themeColor="text1"/>
                <w:kern w:val="0"/>
                <w:szCs w:val="21"/>
              </w:rPr>
            </w:pPr>
            <w:r>
              <w:rPr>
                <w:color w:val="000000" w:themeColor="text1"/>
                <w:kern w:val="0"/>
                <w:szCs w:val="21"/>
              </w:rPr>
              <w:t>相关确定用途：</w:t>
            </w:r>
          </w:p>
        </w:tc>
        <w:tc>
          <w:tcPr>
            <w:tcW w:w="6404" w:type="dxa"/>
            <w:vAlign w:val="center"/>
          </w:tcPr>
          <w:p>
            <w:pPr>
              <w:spacing w:line="360" w:lineRule="exact"/>
              <w:rPr>
                <w:color w:val="000000" w:themeColor="text1"/>
                <w:kern w:val="0"/>
                <w:szCs w:val="21"/>
              </w:rPr>
            </w:pPr>
            <w:r>
              <w:rPr>
                <w:rStyle w:val="114"/>
                <w:rFonts w:hint="default" w:ascii="Times New Roman" w:hAnsi="Times New Roman"/>
                <w:color w:val="000000" w:themeColor="text1"/>
                <w:sz w:val="21"/>
                <w:szCs w:val="21"/>
              </w:rPr>
              <w:t>主要用于制甲醛、香精、染料、医药、火药、防冻剂、溶剂等。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40" w:type="dxa"/>
            <w:vAlign w:val="center"/>
          </w:tcPr>
          <w:p>
            <w:pPr>
              <w:widowControl/>
              <w:spacing w:line="260" w:lineRule="exact"/>
              <w:jc w:val="left"/>
              <w:rPr>
                <w:color w:val="000000" w:themeColor="text1"/>
                <w:kern w:val="0"/>
                <w:szCs w:val="21"/>
              </w:rPr>
            </w:pPr>
            <w:r>
              <w:rPr>
                <w:color w:val="000000" w:themeColor="text1"/>
                <w:kern w:val="0"/>
                <w:szCs w:val="21"/>
              </w:rPr>
              <w:t>成分：</w:t>
            </w:r>
          </w:p>
        </w:tc>
        <w:tc>
          <w:tcPr>
            <w:tcW w:w="6404" w:type="dxa"/>
            <w:vAlign w:val="center"/>
          </w:tcPr>
          <w:p>
            <w:pPr>
              <w:widowControl/>
              <w:spacing w:line="260" w:lineRule="exact"/>
              <w:jc w:val="left"/>
              <w:rPr>
                <w:color w:val="000000" w:themeColor="text1"/>
                <w:kern w:val="0"/>
                <w:szCs w:val="21"/>
              </w:rPr>
            </w:pPr>
            <w:r>
              <w:rPr>
                <w:color w:val="000000" w:themeColor="text1"/>
                <w:kern w:val="0"/>
                <w:szCs w:val="21"/>
              </w:rPr>
              <w:t>甲醇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40" w:type="dxa"/>
            <w:vAlign w:val="center"/>
          </w:tcPr>
          <w:p>
            <w:pPr>
              <w:widowControl/>
              <w:spacing w:line="260" w:lineRule="exact"/>
              <w:jc w:val="left"/>
              <w:rPr>
                <w:color w:val="000000" w:themeColor="text1"/>
                <w:kern w:val="0"/>
                <w:szCs w:val="21"/>
              </w:rPr>
            </w:pPr>
            <w:r>
              <w:rPr>
                <w:color w:val="000000" w:themeColor="text1"/>
                <w:kern w:val="0"/>
                <w:szCs w:val="21"/>
              </w:rPr>
              <w:t>危险性类别：</w:t>
            </w:r>
          </w:p>
        </w:tc>
        <w:tc>
          <w:tcPr>
            <w:tcW w:w="6404" w:type="dxa"/>
            <w:vAlign w:val="center"/>
          </w:tcPr>
          <w:p>
            <w:pPr>
              <w:widowControl/>
              <w:spacing w:line="280" w:lineRule="exact"/>
              <w:jc w:val="left"/>
              <w:rPr>
                <w:color w:val="000000" w:themeColor="text1"/>
                <w:szCs w:val="21"/>
              </w:rPr>
            </w:pPr>
            <w:r>
              <w:rPr>
                <w:rStyle w:val="113"/>
                <w:rFonts w:hint="default" w:ascii="Times New Roman" w:eastAsia="宋体"/>
                <w:color w:val="000000" w:themeColor="text1"/>
                <w:sz w:val="21"/>
                <w:szCs w:val="21"/>
              </w:rPr>
              <w:t>易燃液体，类别2；急性毒性-经口，类别3；急性毒性-经皮，类别3；急性毒性-吸入，类别3；特异性靶器官毒性-一次接触,类别1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4" w:type="dxa"/>
            <w:gridSpan w:val="2"/>
            <w:vAlign w:val="center"/>
          </w:tcPr>
          <w:p>
            <w:pPr>
              <w:widowControl/>
              <w:spacing w:line="260" w:lineRule="exact"/>
              <w:jc w:val="center"/>
              <w:rPr>
                <w:color w:val="000000" w:themeColor="text1"/>
                <w:kern w:val="0"/>
                <w:szCs w:val="21"/>
              </w:rPr>
            </w:pPr>
            <w:r>
              <w:rPr>
                <w:color w:val="000000" w:themeColor="text1"/>
                <w:kern w:val="0"/>
                <w:szCs w:val="21"/>
              </w:rPr>
              <w:t>健康危害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40" w:type="dxa"/>
            <w:vAlign w:val="center"/>
          </w:tcPr>
          <w:p>
            <w:pPr>
              <w:widowControl/>
              <w:spacing w:line="260" w:lineRule="exact"/>
              <w:jc w:val="left"/>
              <w:rPr>
                <w:color w:val="000000" w:themeColor="text1"/>
                <w:kern w:val="0"/>
                <w:szCs w:val="21"/>
              </w:rPr>
            </w:pPr>
            <w:r>
              <w:rPr>
                <w:color w:val="000000" w:themeColor="text1"/>
                <w:kern w:val="0"/>
                <w:szCs w:val="21"/>
              </w:rPr>
              <w:t>吸入：</w:t>
            </w:r>
          </w:p>
        </w:tc>
        <w:tc>
          <w:tcPr>
            <w:tcW w:w="6404" w:type="dxa"/>
            <w:vAlign w:val="center"/>
          </w:tcPr>
          <w:p>
            <w:pPr>
              <w:widowControl/>
              <w:spacing w:line="260" w:lineRule="exact"/>
              <w:jc w:val="left"/>
              <w:rPr>
                <w:color w:val="000000" w:themeColor="text1"/>
                <w:kern w:val="0"/>
                <w:szCs w:val="21"/>
              </w:rPr>
            </w:pPr>
            <w:r>
              <w:rPr>
                <w:rStyle w:val="113"/>
                <w:rFonts w:hint="default" w:ascii="Times New Roman" w:eastAsia="宋体"/>
                <w:color w:val="000000" w:themeColor="text1"/>
                <w:sz w:val="21"/>
                <w:szCs w:val="21"/>
              </w:rPr>
              <w:t>将患者转移到空气新鲜处，休息，保持利于呼吸的体位。呼叫中毒控制中心或就医。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40" w:type="dxa"/>
            <w:vAlign w:val="center"/>
          </w:tcPr>
          <w:p>
            <w:pPr>
              <w:widowControl/>
              <w:spacing w:line="260" w:lineRule="exact"/>
              <w:jc w:val="left"/>
              <w:rPr>
                <w:color w:val="000000" w:themeColor="text1"/>
                <w:kern w:val="0"/>
                <w:szCs w:val="21"/>
              </w:rPr>
            </w:pPr>
            <w:r>
              <w:rPr>
                <w:color w:val="000000" w:themeColor="text1"/>
                <w:kern w:val="0"/>
                <w:szCs w:val="21"/>
              </w:rPr>
              <w:t>食入：</w:t>
            </w:r>
          </w:p>
        </w:tc>
        <w:tc>
          <w:tcPr>
            <w:tcW w:w="6404" w:type="dxa"/>
            <w:vAlign w:val="center"/>
          </w:tcPr>
          <w:p>
            <w:pPr>
              <w:widowControl/>
              <w:spacing w:line="260" w:lineRule="exact"/>
              <w:jc w:val="left"/>
              <w:rPr>
                <w:color w:val="000000" w:themeColor="text1"/>
                <w:kern w:val="0"/>
                <w:szCs w:val="21"/>
              </w:rPr>
            </w:pPr>
            <w:r>
              <w:rPr>
                <w:rStyle w:val="113"/>
                <w:rFonts w:hint="default" w:ascii="Times New Roman" w:eastAsia="宋体"/>
                <w:color w:val="000000" w:themeColor="text1"/>
                <w:sz w:val="21"/>
                <w:szCs w:val="21"/>
              </w:rPr>
              <w:t>立即呼叫中毒控制中心或就医。催吐。2％碳酸氢钠洗胃，硫酸镁导泻。如果需要立即服用解毒药。漱口。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40" w:type="dxa"/>
            <w:vAlign w:val="center"/>
          </w:tcPr>
          <w:p>
            <w:pPr>
              <w:widowControl/>
              <w:spacing w:line="260" w:lineRule="exact"/>
              <w:jc w:val="left"/>
              <w:rPr>
                <w:color w:val="000000" w:themeColor="text1"/>
                <w:kern w:val="0"/>
                <w:szCs w:val="21"/>
              </w:rPr>
            </w:pPr>
            <w:r>
              <w:rPr>
                <w:color w:val="000000" w:themeColor="text1"/>
                <w:kern w:val="0"/>
                <w:szCs w:val="21"/>
              </w:rPr>
              <w:t>皮肤接触：</w:t>
            </w:r>
          </w:p>
        </w:tc>
        <w:tc>
          <w:tcPr>
            <w:tcW w:w="6404" w:type="dxa"/>
            <w:vAlign w:val="center"/>
          </w:tcPr>
          <w:p>
            <w:pPr>
              <w:pStyle w:val="48"/>
              <w:spacing w:line="360" w:lineRule="exact"/>
              <w:rPr>
                <w:rFonts w:eastAsia="宋体"/>
                <w:color w:val="000000" w:themeColor="text1"/>
                <w:kern w:val="0"/>
                <w:sz w:val="21"/>
                <w:szCs w:val="21"/>
              </w:rPr>
            </w:pPr>
            <w:r>
              <w:rPr>
                <w:rStyle w:val="113"/>
                <w:rFonts w:hint="default" w:ascii="Times New Roman" w:eastAsia="宋体"/>
                <w:color w:val="000000" w:themeColor="text1"/>
                <w:sz w:val="21"/>
                <w:szCs w:val="21"/>
              </w:rPr>
              <w:t>脱去污染的衣着，用肥皂水和清水彻底冲洗皮肤、淋浴。如有不适感，呼叫中毒控制中心或就医。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40" w:type="dxa"/>
            <w:vAlign w:val="center"/>
          </w:tcPr>
          <w:p>
            <w:pPr>
              <w:widowControl/>
              <w:spacing w:line="260" w:lineRule="exact"/>
              <w:jc w:val="left"/>
              <w:rPr>
                <w:color w:val="000000" w:themeColor="text1"/>
                <w:kern w:val="0"/>
                <w:szCs w:val="21"/>
              </w:rPr>
            </w:pPr>
            <w:r>
              <w:rPr>
                <w:color w:val="000000" w:themeColor="text1"/>
                <w:kern w:val="0"/>
                <w:szCs w:val="21"/>
              </w:rPr>
              <w:t>眼睛：</w:t>
            </w:r>
          </w:p>
        </w:tc>
        <w:tc>
          <w:tcPr>
            <w:tcW w:w="6404" w:type="dxa"/>
            <w:vAlign w:val="center"/>
          </w:tcPr>
          <w:p>
            <w:pPr>
              <w:widowControl/>
              <w:spacing w:line="260" w:lineRule="exact"/>
              <w:jc w:val="left"/>
              <w:rPr>
                <w:color w:val="000000" w:themeColor="text1"/>
                <w:kern w:val="0"/>
                <w:szCs w:val="21"/>
              </w:rPr>
            </w:pPr>
            <w:r>
              <w:rPr>
                <w:rStyle w:val="113"/>
                <w:rFonts w:hint="default" w:ascii="Times New Roman" w:eastAsia="宋体"/>
                <w:color w:val="000000" w:themeColor="text1"/>
                <w:sz w:val="21"/>
                <w:szCs w:val="21"/>
              </w:rPr>
              <w:t>提起眼睑，用流动清水或生理盐水冲洗。如有不适感，就医。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40" w:type="dxa"/>
            <w:vAlign w:val="center"/>
          </w:tcPr>
          <w:p>
            <w:pPr>
              <w:widowControl/>
              <w:spacing w:line="260" w:lineRule="exact"/>
              <w:jc w:val="left"/>
              <w:rPr>
                <w:color w:val="000000" w:themeColor="text1"/>
                <w:kern w:val="0"/>
                <w:szCs w:val="21"/>
              </w:rPr>
            </w:pPr>
            <w:r>
              <w:rPr>
                <w:color w:val="000000" w:themeColor="text1"/>
                <w:kern w:val="0"/>
                <w:szCs w:val="21"/>
              </w:rPr>
              <w:t>慢性：</w:t>
            </w:r>
          </w:p>
        </w:tc>
        <w:tc>
          <w:tcPr>
            <w:tcW w:w="6404" w:type="dxa"/>
            <w:vAlign w:val="center"/>
          </w:tcPr>
          <w:p>
            <w:pPr>
              <w:pStyle w:val="48"/>
              <w:spacing w:before="80" w:after="80" w:line="400" w:lineRule="atLeast"/>
              <w:rPr>
                <w:rFonts w:eastAsia="宋体"/>
                <w:color w:val="000000" w:themeColor="text1"/>
                <w:kern w:val="0"/>
                <w:sz w:val="21"/>
                <w:szCs w:val="21"/>
              </w:rPr>
            </w:pPr>
            <w:r>
              <w:rPr>
                <w:rStyle w:val="114"/>
                <w:rFonts w:hint="default" w:ascii="Times New Roman" w:hAnsi="Times New Roman"/>
                <w:color w:val="000000" w:themeColor="text1"/>
                <w:sz w:val="21"/>
                <w:szCs w:val="21"/>
              </w:rPr>
              <w:t>主要为神经系统症状，有头晕、无力、眩晕、震颤性麻痹及视神经损害。皮肤反复接触甲醇溶液，可引起局部脱脂和皮炎。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4" w:type="dxa"/>
            <w:gridSpan w:val="2"/>
            <w:vAlign w:val="center"/>
          </w:tcPr>
          <w:p>
            <w:pPr>
              <w:widowControl/>
              <w:spacing w:line="260" w:lineRule="exact"/>
              <w:jc w:val="center"/>
              <w:rPr>
                <w:color w:val="000000" w:themeColor="text1"/>
                <w:kern w:val="0"/>
                <w:szCs w:val="21"/>
              </w:rPr>
            </w:pPr>
            <w:r>
              <w:rPr>
                <w:color w:val="000000" w:themeColor="text1"/>
                <w:kern w:val="0"/>
                <w:szCs w:val="21"/>
              </w:rPr>
              <w:t>理 化 特 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40" w:type="dxa"/>
            <w:vAlign w:val="center"/>
          </w:tcPr>
          <w:p>
            <w:pPr>
              <w:widowControl/>
              <w:spacing w:line="260" w:lineRule="exact"/>
              <w:jc w:val="left"/>
              <w:rPr>
                <w:color w:val="000000" w:themeColor="text1"/>
                <w:kern w:val="0"/>
                <w:szCs w:val="21"/>
              </w:rPr>
            </w:pPr>
            <w:r>
              <w:rPr>
                <w:color w:val="000000" w:themeColor="text1"/>
                <w:kern w:val="0"/>
                <w:szCs w:val="21"/>
              </w:rPr>
              <w:t>燃烧性：</w:t>
            </w:r>
          </w:p>
        </w:tc>
        <w:tc>
          <w:tcPr>
            <w:tcW w:w="6404" w:type="dxa"/>
            <w:vAlign w:val="center"/>
          </w:tcPr>
          <w:p>
            <w:pPr>
              <w:widowControl/>
              <w:spacing w:line="260" w:lineRule="exact"/>
              <w:jc w:val="left"/>
              <w:rPr>
                <w:color w:val="000000" w:themeColor="text1"/>
                <w:kern w:val="0"/>
                <w:szCs w:val="21"/>
              </w:rPr>
            </w:pPr>
            <w:r>
              <w:rPr>
                <w:color w:val="000000" w:themeColor="text1"/>
                <w:kern w:val="0"/>
                <w:szCs w:val="21"/>
              </w:rPr>
              <w:t>易燃。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40" w:type="dxa"/>
            <w:vAlign w:val="center"/>
          </w:tcPr>
          <w:p>
            <w:pPr>
              <w:widowControl/>
              <w:spacing w:line="260" w:lineRule="exact"/>
              <w:jc w:val="left"/>
              <w:rPr>
                <w:color w:val="000000" w:themeColor="text1"/>
                <w:kern w:val="0"/>
                <w:szCs w:val="21"/>
              </w:rPr>
            </w:pPr>
            <w:r>
              <w:rPr>
                <w:color w:val="000000" w:themeColor="text1"/>
                <w:kern w:val="0"/>
                <w:szCs w:val="21"/>
              </w:rPr>
              <w:t>闪点（℃）：</w:t>
            </w:r>
          </w:p>
        </w:tc>
        <w:tc>
          <w:tcPr>
            <w:tcW w:w="6404" w:type="dxa"/>
            <w:vAlign w:val="center"/>
          </w:tcPr>
          <w:p>
            <w:pPr>
              <w:widowControl/>
              <w:spacing w:line="260" w:lineRule="exact"/>
              <w:jc w:val="left"/>
              <w:rPr>
                <w:color w:val="000000" w:themeColor="text1"/>
                <w:kern w:val="0"/>
                <w:szCs w:val="21"/>
              </w:rPr>
            </w:pPr>
            <w:r>
              <w:rPr>
                <w:rStyle w:val="114"/>
                <w:rFonts w:hint="default" w:ascii="Times New Roman" w:hAnsi="Times New Roman"/>
                <w:color w:val="000000" w:themeColor="text1"/>
                <w:sz w:val="21"/>
                <w:szCs w:val="21"/>
              </w:rPr>
              <w:t>64.7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40" w:type="dxa"/>
            <w:vAlign w:val="center"/>
          </w:tcPr>
          <w:p>
            <w:pPr>
              <w:widowControl/>
              <w:spacing w:line="260" w:lineRule="exact"/>
              <w:jc w:val="left"/>
              <w:rPr>
                <w:color w:val="000000" w:themeColor="text1"/>
                <w:kern w:val="0"/>
                <w:szCs w:val="21"/>
              </w:rPr>
            </w:pPr>
            <w:r>
              <w:rPr>
                <w:color w:val="000000" w:themeColor="text1"/>
                <w:kern w:val="0"/>
                <w:szCs w:val="21"/>
              </w:rPr>
              <w:t>爆炸下限（％）：</w:t>
            </w:r>
          </w:p>
        </w:tc>
        <w:tc>
          <w:tcPr>
            <w:tcW w:w="6404" w:type="dxa"/>
            <w:vAlign w:val="center"/>
          </w:tcPr>
          <w:p>
            <w:pPr>
              <w:widowControl/>
              <w:spacing w:line="260" w:lineRule="exact"/>
              <w:jc w:val="left"/>
              <w:rPr>
                <w:color w:val="000000" w:themeColor="text1"/>
                <w:kern w:val="0"/>
                <w:szCs w:val="21"/>
              </w:rPr>
            </w:pPr>
            <w:r>
              <w:rPr>
                <w:rStyle w:val="114"/>
                <w:rFonts w:hint="default" w:ascii="Times New Roman" w:hAnsi="Times New Roman"/>
                <w:color w:val="000000" w:themeColor="text1"/>
                <w:sz w:val="21"/>
                <w:szCs w:val="21"/>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40" w:type="dxa"/>
            <w:vAlign w:val="center"/>
          </w:tcPr>
          <w:p>
            <w:pPr>
              <w:widowControl/>
              <w:spacing w:line="260" w:lineRule="exact"/>
              <w:jc w:val="left"/>
              <w:rPr>
                <w:color w:val="000000" w:themeColor="text1"/>
                <w:kern w:val="0"/>
                <w:szCs w:val="21"/>
              </w:rPr>
            </w:pPr>
            <w:r>
              <w:rPr>
                <w:color w:val="000000" w:themeColor="text1"/>
                <w:kern w:val="0"/>
                <w:szCs w:val="21"/>
              </w:rPr>
              <w:t>自燃温度（℃）：</w:t>
            </w:r>
          </w:p>
        </w:tc>
        <w:tc>
          <w:tcPr>
            <w:tcW w:w="6404" w:type="dxa"/>
            <w:vAlign w:val="center"/>
          </w:tcPr>
          <w:p>
            <w:pPr>
              <w:widowControl/>
              <w:spacing w:line="260" w:lineRule="exact"/>
              <w:jc w:val="left"/>
              <w:rPr>
                <w:color w:val="000000" w:themeColor="text1"/>
                <w:kern w:val="0"/>
                <w:szCs w:val="21"/>
              </w:rPr>
            </w:pPr>
            <w:r>
              <w:rPr>
                <w:rStyle w:val="114"/>
                <w:rFonts w:hint="default" w:ascii="Times New Roman" w:hAnsi="Times New Roman"/>
                <w:color w:val="000000" w:themeColor="text1"/>
                <w:sz w:val="21"/>
                <w:szCs w:val="21"/>
              </w:rPr>
              <w:t>464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40" w:type="dxa"/>
            <w:vAlign w:val="center"/>
          </w:tcPr>
          <w:p>
            <w:pPr>
              <w:widowControl/>
              <w:spacing w:line="260" w:lineRule="exact"/>
              <w:jc w:val="left"/>
              <w:rPr>
                <w:color w:val="000000" w:themeColor="text1"/>
                <w:kern w:val="0"/>
                <w:szCs w:val="21"/>
              </w:rPr>
            </w:pPr>
            <w:r>
              <w:rPr>
                <w:color w:val="000000" w:themeColor="text1"/>
                <w:kern w:val="0"/>
                <w:szCs w:val="21"/>
              </w:rPr>
              <w:t>爆炸上限（％）：</w:t>
            </w:r>
          </w:p>
        </w:tc>
        <w:tc>
          <w:tcPr>
            <w:tcW w:w="6404" w:type="dxa"/>
            <w:vAlign w:val="center"/>
          </w:tcPr>
          <w:p>
            <w:pPr>
              <w:widowControl/>
              <w:spacing w:line="260" w:lineRule="exact"/>
              <w:jc w:val="left"/>
              <w:rPr>
                <w:color w:val="000000" w:themeColor="text1"/>
                <w:kern w:val="0"/>
                <w:szCs w:val="21"/>
              </w:rPr>
            </w:pPr>
            <w:r>
              <w:rPr>
                <w:rStyle w:val="114"/>
                <w:rFonts w:hint="default" w:ascii="Times New Roman" w:hAnsi="Times New Roman"/>
                <w:color w:val="000000" w:themeColor="text1"/>
                <w:sz w:val="21"/>
                <w:szCs w:val="21"/>
              </w:rPr>
              <w:t>44.0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40" w:type="dxa"/>
            <w:vAlign w:val="center"/>
          </w:tcPr>
          <w:p>
            <w:pPr>
              <w:widowControl/>
              <w:spacing w:line="260" w:lineRule="exact"/>
              <w:jc w:val="left"/>
              <w:rPr>
                <w:color w:val="000000" w:themeColor="text1"/>
                <w:kern w:val="0"/>
                <w:szCs w:val="21"/>
              </w:rPr>
            </w:pPr>
            <w:r>
              <w:rPr>
                <w:color w:val="000000" w:themeColor="text1"/>
                <w:kern w:val="0"/>
                <w:szCs w:val="21"/>
              </w:rPr>
              <w:t>蒸汽密度（空气=1）：</w:t>
            </w:r>
          </w:p>
        </w:tc>
        <w:tc>
          <w:tcPr>
            <w:tcW w:w="6404" w:type="dxa"/>
            <w:vAlign w:val="center"/>
          </w:tcPr>
          <w:p>
            <w:pPr>
              <w:widowControl/>
              <w:spacing w:line="260" w:lineRule="exact"/>
              <w:jc w:val="left"/>
              <w:rPr>
                <w:color w:val="000000" w:themeColor="text1"/>
                <w:kern w:val="0"/>
                <w:szCs w:val="21"/>
              </w:rPr>
            </w:pPr>
            <w:r>
              <w:rPr>
                <w:rStyle w:val="114"/>
                <w:rFonts w:hint="default" w:ascii="Times New Roman" w:hAnsi="Times New Roman"/>
                <w:color w:val="000000" w:themeColor="text1"/>
                <w:sz w:val="21"/>
                <w:szCs w:val="21"/>
              </w:rPr>
              <w:t>1.11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40" w:type="dxa"/>
            <w:vAlign w:val="center"/>
          </w:tcPr>
          <w:p>
            <w:pPr>
              <w:widowControl/>
              <w:spacing w:line="260" w:lineRule="exact"/>
              <w:jc w:val="left"/>
              <w:rPr>
                <w:color w:val="000000" w:themeColor="text1"/>
                <w:kern w:val="0"/>
                <w:szCs w:val="21"/>
              </w:rPr>
            </w:pPr>
            <w:r>
              <w:rPr>
                <w:color w:val="000000" w:themeColor="text1"/>
                <w:kern w:val="0"/>
                <w:szCs w:val="21"/>
              </w:rPr>
              <w:t>相对密度（水=1）：</w:t>
            </w:r>
          </w:p>
        </w:tc>
        <w:tc>
          <w:tcPr>
            <w:tcW w:w="6404" w:type="dxa"/>
            <w:vAlign w:val="center"/>
          </w:tcPr>
          <w:p>
            <w:pPr>
              <w:widowControl/>
              <w:spacing w:line="260" w:lineRule="exact"/>
              <w:jc w:val="left"/>
              <w:rPr>
                <w:color w:val="000000" w:themeColor="text1"/>
                <w:kern w:val="0"/>
                <w:szCs w:val="21"/>
              </w:rPr>
            </w:pPr>
            <w:r>
              <w:rPr>
                <w:rStyle w:val="114"/>
                <w:rFonts w:hint="default" w:ascii="Times New Roman" w:hAnsi="Times New Roman"/>
                <w:color w:val="000000" w:themeColor="text1"/>
                <w:sz w:val="21"/>
                <w:szCs w:val="21"/>
              </w:rPr>
              <w:t>0.79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40" w:type="dxa"/>
            <w:vAlign w:val="center"/>
          </w:tcPr>
          <w:p>
            <w:pPr>
              <w:widowControl/>
              <w:spacing w:line="260" w:lineRule="exact"/>
              <w:jc w:val="left"/>
              <w:rPr>
                <w:color w:val="000000" w:themeColor="text1"/>
                <w:kern w:val="0"/>
                <w:szCs w:val="21"/>
              </w:rPr>
            </w:pPr>
            <w:r>
              <w:rPr>
                <w:color w:val="000000" w:themeColor="text1"/>
                <w:kern w:val="0"/>
                <w:szCs w:val="21"/>
              </w:rPr>
              <w:t>危险特性：</w:t>
            </w:r>
          </w:p>
        </w:tc>
        <w:tc>
          <w:tcPr>
            <w:tcW w:w="6404" w:type="dxa"/>
            <w:vAlign w:val="center"/>
          </w:tcPr>
          <w:p>
            <w:pPr>
              <w:pStyle w:val="48"/>
              <w:spacing w:before="80" w:after="80" w:line="360" w:lineRule="exact"/>
              <w:rPr>
                <w:rFonts w:eastAsia="宋体"/>
                <w:color w:val="000000" w:themeColor="text1"/>
                <w:kern w:val="0"/>
                <w:sz w:val="21"/>
                <w:szCs w:val="21"/>
              </w:rPr>
            </w:pPr>
            <w:r>
              <w:rPr>
                <w:rStyle w:val="114"/>
                <w:rFonts w:hint="default" w:ascii="Times New Roman" w:hAnsi="Times New Roman"/>
                <w:color w:val="000000" w:themeColor="text1"/>
                <w:sz w:val="21"/>
                <w:szCs w:val="21"/>
              </w:rPr>
              <w:t>其蒸气与空气可形成爆炸性混合物，遇明火、高热能引起燃烧爆炸。与氧化剂接触发生化学反应或引起燃烧。在火场中，受热的容器有爆炸危险。蒸气比空气重，沿地面扩散并易积存于低洼处，遇火源会着火回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40" w:type="dxa"/>
            <w:vAlign w:val="center"/>
          </w:tcPr>
          <w:p>
            <w:pPr>
              <w:widowControl/>
              <w:spacing w:line="260" w:lineRule="exact"/>
              <w:jc w:val="left"/>
              <w:rPr>
                <w:color w:val="000000" w:themeColor="text1"/>
                <w:kern w:val="0"/>
                <w:szCs w:val="21"/>
              </w:rPr>
            </w:pPr>
            <w:r>
              <w:rPr>
                <w:color w:val="000000" w:themeColor="text1"/>
                <w:kern w:val="0"/>
                <w:szCs w:val="21"/>
              </w:rPr>
              <w:t>禁忌：</w:t>
            </w:r>
          </w:p>
        </w:tc>
        <w:tc>
          <w:tcPr>
            <w:tcW w:w="6404" w:type="dxa"/>
            <w:vAlign w:val="center"/>
          </w:tcPr>
          <w:p>
            <w:pPr>
              <w:pStyle w:val="48"/>
              <w:spacing w:before="80" w:after="80" w:line="360" w:lineRule="exact"/>
              <w:rPr>
                <w:rFonts w:eastAsia="宋体"/>
                <w:color w:val="000000" w:themeColor="text1"/>
                <w:kern w:val="0"/>
                <w:sz w:val="21"/>
                <w:szCs w:val="21"/>
              </w:rPr>
            </w:pPr>
            <w:r>
              <w:rPr>
                <w:rStyle w:val="114"/>
                <w:rFonts w:hint="default" w:ascii="Times New Roman" w:hAnsi="Times New Roman"/>
                <w:color w:val="000000" w:themeColor="text1"/>
                <w:sz w:val="21"/>
                <w:szCs w:val="21"/>
              </w:rPr>
              <w:t>禁止使用易产生火花的机械设备和工具。应与氧化剂、酸类、碱金属等分开存放，切忌混储。储存于阴凉、通风良好的专用库房内。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40" w:type="dxa"/>
            <w:vAlign w:val="center"/>
          </w:tcPr>
          <w:p>
            <w:pPr>
              <w:widowControl/>
              <w:spacing w:line="260" w:lineRule="exact"/>
              <w:jc w:val="left"/>
              <w:rPr>
                <w:color w:val="000000" w:themeColor="text1"/>
                <w:kern w:val="0"/>
                <w:szCs w:val="21"/>
              </w:rPr>
            </w:pPr>
            <w:r>
              <w:rPr>
                <w:color w:val="000000" w:themeColor="text1"/>
                <w:kern w:val="0"/>
                <w:szCs w:val="21"/>
              </w:rPr>
              <w:t>泄漏应急处理：</w:t>
            </w:r>
          </w:p>
        </w:tc>
        <w:tc>
          <w:tcPr>
            <w:tcW w:w="6404" w:type="dxa"/>
            <w:vAlign w:val="center"/>
          </w:tcPr>
          <w:p>
            <w:pPr>
              <w:widowControl/>
              <w:tabs>
                <w:tab w:val="left" w:pos="2872"/>
              </w:tabs>
              <w:spacing w:line="260" w:lineRule="exact"/>
              <w:jc w:val="left"/>
              <w:rPr>
                <w:color w:val="000000" w:themeColor="text1"/>
                <w:kern w:val="0"/>
                <w:szCs w:val="21"/>
              </w:rPr>
            </w:pPr>
            <w:r>
              <w:rPr>
                <w:color w:val="000000" w:themeColor="text1"/>
                <w:kern w:val="0"/>
                <w:szCs w:val="21"/>
              </w:rPr>
              <w:t>小量泄露：用砂土或其它不燃材料吸收。使用洁净的无火花工具收集吸收材料。</w:t>
            </w:r>
          </w:p>
          <w:p>
            <w:pPr>
              <w:widowControl/>
              <w:tabs>
                <w:tab w:val="left" w:pos="2872"/>
              </w:tabs>
              <w:spacing w:line="260" w:lineRule="exact"/>
              <w:jc w:val="left"/>
              <w:rPr>
                <w:color w:val="000000" w:themeColor="text1"/>
                <w:kern w:val="0"/>
                <w:szCs w:val="21"/>
              </w:rPr>
            </w:pPr>
            <w:r>
              <w:rPr>
                <w:color w:val="000000" w:themeColor="text1"/>
                <w:kern w:val="0"/>
                <w:szCs w:val="21"/>
              </w:rPr>
              <w:t>大量泄露：构筑围堤或挖坑收容。用抗溶性泡沫覆盖，减少蒸发。喷水雾能减少蒸发，但不能降低泄漏物在受限制空间内的易燃性。用防爆泵转移至槽车或专用收集器内。喷雾状水驱散蒸气、稀释液体泄漏物。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40" w:type="dxa"/>
            <w:vAlign w:val="center"/>
          </w:tcPr>
          <w:p>
            <w:pPr>
              <w:widowControl/>
              <w:spacing w:line="260" w:lineRule="exact"/>
              <w:jc w:val="left"/>
              <w:rPr>
                <w:color w:val="000000" w:themeColor="text1"/>
                <w:kern w:val="0"/>
                <w:szCs w:val="21"/>
              </w:rPr>
            </w:pPr>
            <w:r>
              <w:rPr>
                <w:color w:val="000000" w:themeColor="text1"/>
                <w:kern w:val="0"/>
                <w:szCs w:val="21"/>
              </w:rPr>
              <w:t>操作注意事项：</w:t>
            </w:r>
          </w:p>
        </w:tc>
        <w:tc>
          <w:tcPr>
            <w:tcW w:w="6404" w:type="dxa"/>
          </w:tcPr>
          <w:p>
            <w:pPr>
              <w:widowControl/>
              <w:tabs>
                <w:tab w:val="left" w:pos="2872"/>
              </w:tabs>
              <w:spacing w:line="260" w:lineRule="exact"/>
              <w:jc w:val="left"/>
              <w:rPr>
                <w:color w:val="000000" w:themeColor="text1"/>
                <w:kern w:val="0"/>
                <w:szCs w:val="21"/>
              </w:rPr>
            </w:pPr>
            <w:r>
              <w:rPr>
                <w:color w:val="000000" w:themeColor="text1"/>
                <w:kern w:val="0"/>
                <w:szCs w:val="21"/>
              </w:rPr>
              <w:t>密闭操作，加强通风。操作人员必须经过专门培训，严格遵守操作规程。建议操作人员佩戴过滤式防毒面具（半面罩），戴化学安全防护眼镜，穿防静电工作服，戴橡胶手套。远离火种、热源，工作场所严禁吸烟。使用防爆型的通风系统和设备。防止蒸气泄漏到工作场所空气中。避免与氧化剂、酸类、碱金属接触。灌装时应控制流速，且有接地装置，防止静电积聚。配备相应品种和数量的消防器材及泄漏应急处理设备。倒空的容器可能残留有害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40" w:type="dxa"/>
            <w:vAlign w:val="center"/>
          </w:tcPr>
          <w:p>
            <w:pPr>
              <w:widowControl/>
              <w:spacing w:line="260" w:lineRule="exact"/>
              <w:jc w:val="left"/>
              <w:rPr>
                <w:color w:val="000000" w:themeColor="text1"/>
                <w:kern w:val="0"/>
                <w:szCs w:val="21"/>
              </w:rPr>
            </w:pPr>
            <w:r>
              <w:rPr>
                <w:color w:val="000000" w:themeColor="text1"/>
                <w:kern w:val="0"/>
                <w:szCs w:val="21"/>
              </w:rPr>
              <w:t>储存注意事项：</w:t>
            </w:r>
          </w:p>
        </w:tc>
        <w:tc>
          <w:tcPr>
            <w:tcW w:w="6404" w:type="dxa"/>
            <w:vAlign w:val="center"/>
          </w:tcPr>
          <w:p>
            <w:pPr>
              <w:widowControl/>
              <w:tabs>
                <w:tab w:val="left" w:pos="2872"/>
              </w:tabs>
              <w:spacing w:line="260" w:lineRule="exact"/>
              <w:jc w:val="left"/>
              <w:rPr>
                <w:color w:val="000000" w:themeColor="text1"/>
                <w:kern w:val="0"/>
                <w:szCs w:val="21"/>
              </w:rPr>
            </w:pPr>
            <w:r>
              <w:rPr>
                <w:color w:val="000000" w:themeColor="text1"/>
                <w:kern w:val="0"/>
                <w:szCs w:val="21"/>
              </w:rPr>
              <w:t>储存于阴凉、通风良好的专用库房内。远离火种、热源。库温不宜超过37℃，保持容器密封。应与氧化剂、酸类、碱金属等分开存放，切忌混储。采用防爆型照明、通风设施。禁止使用易产生火花的机械设备和工具。储区应备有泄漏应急处理设备和合适的收容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5" w:hRule="atLeast"/>
          <w:jc w:val="center"/>
        </w:trPr>
        <w:tc>
          <w:tcPr>
            <w:tcW w:w="2040" w:type="dxa"/>
            <w:vAlign w:val="center"/>
          </w:tcPr>
          <w:p>
            <w:pPr>
              <w:widowControl/>
              <w:spacing w:line="260" w:lineRule="exact"/>
              <w:jc w:val="left"/>
              <w:rPr>
                <w:color w:val="000000" w:themeColor="text1"/>
                <w:kern w:val="0"/>
                <w:szCs w:val="21"/>
              </w:rPr>
            </w:pPr>
            <w:r>
              <w:rPr>
                <w:color w:val="000000" w:themeColor="text1"/>
                <w:kern w:val="0"/>
                <w:szCs w:val="21"/>
              </w:rPr>
              <w:t>防护措施：</w:t>
            </w:r>
          </w:p>
        </w:tc>
        <w:tc>
          <w:tcPr>
            <w:tcW w:w="6404" w:type="dxa"/>
            <w:vAlign w:val="center"/>
          </w:tcPr>
          <w:p>
            <w:pPr>
              <w:widowControl/>
              <w:tabs>
                <w:tab w:val="left" w:pos="2872"/>
              </w:tabs>
              <w:spacing w:line="260" w:lineRule="exact"/>
              <w:jc w:val="left"/>
              <w:rPr>
                <w:color w:val="000000" w:themeColor="text1"/>
                <w:kern w:val="0"/>
                <w:szCs w:val="21"/>
              </w:rPr>
            </w:pPr>
            <w:r>
              <w:rPr>
                <w:color w:val="000000" w:themeColor="text1"/>
                <w:kern w:val="0"/>
                <w:szCs w:val="21"/>
              </w:rPr>
              <w:t>职业接触限值</w:t>
            </w:r>
          </w:p>
          <w:p>
            <w:pPr>
              <w:widowControl/>
              <w:tabs>
                <w:tab w:val="left" w:pos="2872"/>
              </w:tabs>
              <w:spacing w:line="260" w:lineRule="exact"/>
              <w:jc w:val="left"/>
              <w:rPr>
                <w:rStyle w:val="114"/>
                <w:rFonts w:hint="default" w:ascii="Times New Roman" w:hAnsi="Times New Roman"/>
                <w:color w:val="000000" w:themeColor="text1"/>
                <w:sz w:val="21"/>
                <w:szCs w:val="21"/>
                <w:lang w:val="de-DE"/>
              </w:rPr>
            </w:pPr>
            <w:r>
              <w:rPr>
                <w:rStyle w:val="113"/>
                <w:rFonts w:hint="default" w:ascii="Times New Roman" w:eastAsia="宋体"/>
                <w:color w:val="000000" w:themeColor="text1"/>
                <w:sz w:val="21"/>
                <w:szCs w:val="21"/>
              </w:rPr>
              <w:t>PC-TWA（mg/m</w:t>
            </w:r>
            <w:r>
              <w:rPr>
                <w:rStyle w:val="113"/>
                <w:rFonts w:hint="default" w:ascii="Times New Roman" w:eastAsia="宋体"/>
                <w:color w:val="000000" w:themeColor="text1"/>
                <w:sz w:val="21"/>
                <w:szCs w:val="21"/>
                <w:vertAlign w:val="superscript"/>
              </w:rPr>
              <w:t>3</w:t>
            </w:r>
            <w:r>
              <w:rPr>
                <w:rStyle w:val="113"/>
                <w:rFonts w:hint="default" w:ascii="Times New Roman" w:eastAsia="宋体"/>
                <w:color w:val="000000" w:themeColor="text1"/>
                <w:sz w:val="21"/>
                <w:szCs w:val="21"/>
              </w:rPr>
              <w:t>）</w:t>
            </w:r>
            <w:r>
              <w:rPr>
                <w:rStyle w:val="114"/>
                <w:rFonts w:hint="default" w:ascii="Times New Roman" w:hAnsi="Times New Roman"/>
                <w:color w:val="000000" w:themeColor="text1"/>
                <w:sz w:val="21"/>
                <w:szCs w:val="21"/>
              </w:rPr>
              <w:t>: 25ppm ；</w:t>
            </w:r>
            <w:r>
              <w:rPr>
                <w:rStyle w:val="113"/>
                <w:rFonts w:hint="default" w:ascii="Times New Roman" w:eastAsia="宋体"/>
                <w:color w:val="000000" w:themeColor="text1"/>
                <w:sz w:val="21"/>
                <w:szCs w:val="21"/>
              </w:rPr>
              <w:t>PC-STEL（mg/m</w:t>
            </w:r>
            <w:r>
              <w:rPr>
                <w:rStyle w:val="113"/>
                <w:rFonts w:hint="default" w:ascii="Times New Roman" w:eastAsia="宋体"/>
                <w:color w:val="000000" w:themeColor="text1"/>
                <w:sz w:val="21"/>
                <w:szCs w:val="21"/>
                <w:vertAlign w:val="superscript"/>
              </w:rPr>
              <w:t>3</w:t>
            </w:r>
            <w:r>
              <w:rPr>
                <w:rStyle w:val="113"/>
                <w:rFonts w:hint="default" w:ascii="Times New Roman" w:eastAsia="宋体"/>
                <w:color w:val="000000" w:themeColor="text1"/>
                <w:sz w:val="21"/>
                <w:szCs w:val="21"/>
              </w:rPr>
              <w:t>）</w:t>
            </w:r>
            <w:r>
              <w:rPr>
                <w:rStyle w:val="114"/>
                <w:rFonts w:hint="default" w:ascii="Times New Roman" w:hAnsi="Times New Roman"/>
                <w:color w:val="000000" w:themeColor="text1"/>
                <w:sz w:val="21"/>
                <w:szCs w:val="21"/>
              </w:rPr>
              <w:t>: 50ppm ；</w:t>
            </w:r>
            <w:r>
              <w:rPr>
                <w:rStyle w:val="113"/>
                <w:rFonts w:hint="default" w:ascii="Times New Roman" w:eastAsia="宋体"/>
                <w:color w:val="000000" w:themeColor="text1"/>
                <w:sz w:val="21"/>
                <w:szCs w:val="21"/>
                <w:lang w:val="de-DE"/>
              </w:rPr>
              <w:t>TLV-TWA(mg/m</w:t>
            </w:r>
            <w:r>
              <w:rPr>
                <w:rStyle w:val="113"/>
                <w:rFonts w:hint="default" w:ascii="Times New Roman" w:eastAsia="宋体"/>
                <w:color w:val="000000" w:themeColor="text1"/>
                <w:sz w:val="21"/>
                <w:szCs w:val="21"/>
                <w:vertAlign w:val="superscript"/>
                <w:lang w:val="de-DE"/>
              </w:rPr>
              <w:t>3</w:t>
            </w:r>
            <w:r>
              <w:rPr>
                <w:rStyle w:val="113"/>
                <w:rFonts w:hint="default" w:ascii="Times New Roman" w:eastAsia="宋体"/>
                <w:color w:val="000000" w:themeColor="text1"/>
                <w:sz w:val="21"/>
                <w:szCs w:val="21"/>
                <w:lang w:val="de-DE"/>
              </w:rPr>
              <w:t>)</w:t>
            </w:r>
            <w:r>
              <w:rPr>
                <w:rStyle w:val="114"/>
                <w:rFonts w:hint="default" w:ascii="Times New Roman" w:hAnsi="Times New Roman"/>
                <w:color w:val="000000" w:themeColor="text1"/>
                <w:sz w:val="21"/>
                <w:szCs w:val="21"/>
                <w:lang w:val="de-DE"/>
              </w:rPr>
              <w:t>: 200ppm</w:t>
            </w:r>
            <w:r>
              <w:rPr>
                <w:rStyle w:val="114"/>
                <w:rFonts w:hint="default" w:ascii="Times New Roman" w:hAnsi="Times New Roman"/>
                <w:color w:val="000000" w:themeColor="text1"/>
                <w:sz w:val="21"/>
                <w:szCs w:val="21"/>
              </w:rPr>
              <w:t xml:space="preserve"> ；</w:t>
            </w:r>
            <w:r>
              <w:rPr>
                <w:rStyle w:val="113"/>
                <w:rFonts w:hint="default" w:ascii="Times New Roman" w:eastAsia="宋体"/>
                <w:color w:val="000000" w:themeColor="text1"/>
                <w:sz w:val="21"/>
                <w:szCs w:val="21"/>
                <w:lang w:val="de-DE"/>
              </w:rPr>
              <w:t>TLV-STEL(mg/m</w:t>
            </w:r>
            <w:r>
              <w:rPr>
                <w:rStyle w:val="113"/>
                <w:rFonts w:hint="default" w:ascii="Times New Roman" w:eastAsia="宋体"/>
                <w:color w:val="000000" w:themeColor="text1"/>
                <w:sz w:val="21"/>
                <w:szCs w:val="21"/>
                <w:vertAlign w:val="superscript"/>
                <w:lang w:val="de-DE"/>
              </w:rPr>
              <w:t>3</w:t>
            </w:r>
            <w:r>
              <w:rPr>
                <w:rStyle w:val="113"/>
                <w:rFonts w:hint="default" w:ascii="Times New Roman" w:eastAsia="宋体"/>
                <w:color w:val="000000" w:themeColor="text1"/>
                <w:sz w:val="21"/>
                <w:szCs w:val="21"/>
                <w:lang w:val="de-DE"/>
              </w:rPr>
              <w:t>)</w:t>
            </w:r>
            <w:r>
              <w:rPr>
                <w:rStyle w:val="114"/>
                <w:rFonts w:hint="default" w:ascii="Times New Roman" w:hAnsi="Times New Roman"/>
                <w:color w:val="000000" w:themeColor="text1"/>
                <w:sz w:val="21"/>
                <w:szCs w:val="21"/>
                <w:lang w:val="de-DE"/>
              </w:rPr>
              <w:t>: 250ppm；</w:t>
            </w:r>
          </w:p>
          <w:p>
            <w:pPr>
              <w:widowControl/>
              <w:tabs>
                <w:tab w:val="left" w:pos="2872"/>
              </w:tabs>
              <w:spacing w:line="260" w:lineRule="exact"/>
              <w:jc w:val="left"/>
              <w:rPr>
                <w:rStyle w:val="114"/>
                <w:rFonts w:hint="default" w:ascii="Times New Roman" w:hAnsi="Times New Roman"/>
                <w:color w:val="000000" w:themeColor="text1"/>
                <w:sz w:val="21"/>
                <w:szCs w:val="21"/>
              </w:rPr>
            </w:pPr>
            <w:r>
              <w:rPr>
                <w:rStyle w:val="113"/>
                <w:rFonts w:hint="default" w:ascii="Times New Roman" w:eastAsia="宋体"/>
                <w:color w:val="000000" w:themeColor="text1"/>
                <w:sz w:val="21"/>
                <w:szCs w:val="21"/>
              </w:rPr>
              <w:t>监测方法：</w:t>
            </w:r>
            <w:r>
              <w:rPr>
                <w:rStyle w:val="114"/>
                <w:rFonts w:hint="default" w:ascii="Times New Roman" w:hAnsi="Times New Roman"/>
                <w:color w:val="000000" w:themeColor="text1"/>
                <w:sz w:val="21"/>
                <w:szCs w:val="21"/>
              </w:rPr>
              <w:t>溶剂解吸-气相色谱法；热解吸-气相色谱法；直接进样-气相色谱法。</w:t>
            </w:r>
          </w:p>
          <w:p>
            <w:pPr>
              <w:widowControl/>
              <w:tabs>
                <w:tab w:val="left" w:pos="2872"/>
              </w:tabs>
              <w:spacing w:line="260" w:lineRule="exact"/>
              <w:jc w:val="left"/>
              <w:rPr>
                <w:color w:val="000000" w:themeColor="text1"/>
                <w:szCs w:val="21"/>
              </w:rPr>
            </w:pPr>
            <w:r>
              <w:rPr>
                <w:rStyle w:val="113"/>
                <w:rFonts w:hint="default" w:ascii="Times New Roman" w:eastAsia="宋体"/>
                <w:color w:val="000000" w:themeColor="text1"/>
                <w:sz w:val="21"/>
                <w:szCs w:val="21"/>
              </w:rPr>
              <w:t>工程控制：</w:t>
            </w:r>
            <w:r>
              <w:rPr>
                <w:rStyle w:val="114"/>
                <w:rFonts w:hint="default" w:ascii="Times New Roman" w:hAnsi="Times New Roman"/>
                <w:color w:val="000000" w:themeColor="text1"/>
                <w:sz w:val="21"/>
                <w:szCs w:val="21"/>
              </w:rPr>
              <w:t>生产过程密闭，加强通风。提供安全淋浴和洗眼设备。</w:t>
            </w:r>
            <w:r>
              <w:rPr>
                <w:color w:val="000000" w:themeColor="text1"/>
                <w:szCs w:val="21"/>
              </w:rPr>
              <w:t>个体防护设备：</w:t>
            </w:r>
          </w:p>
          <w:p>
            <w:pPr>
              <w:widowControl/>
              <w:tabs>
                <w:tab w:val="left" w:pos="2872"/>
              </w:tabs>
              <w:spacing w:line="260" w:lineRule="exact"/>
              <w:jc w:val="left"/>
              <w:rPr>
                <w:rStyle w:val="114"/>
                <w:rFonts w:hint="default" w:ascii="Times New Roman" w:hAnsi="Times New Roman"/>
                <w:color w:val="000000" w:themeColor="text1"/>
                <w:sz w:val="21"/>
                <w:szCs w:val="21"/>
              </w:rPr>
            </w:pPr>
            <w:r>
              <w:rPr>
                <w:color w:val="000000" w:themeColor="text1"/>
                <w:szCs w:val="21"/>
              </w:rPr>
              <w:t>呼吸系统防护：</w:t>
            </w:r>
            <w:r>
              <w:rPr>
                <w:rStyle w:val="114"/>
                <w:rFonts w:hint="default" w:ascii="Times New Roman" w:hAnsi="Times New Roman"/>
                <w:color w:val="000000" w:themeColor="text1"/>
                <w:sz w:val="21"/>
                <w:szCs w:val="21"/>
              </w:rPr>
              <w:t>可能接触其蒸气时，应该佩戴过滤式防毒面具(半面罩)。紧急事态抢救或撤离时，建议佩戴空气呼吸器。</w:t>
            </w:r>
          </w:p>
          <w:p>
            <w:pPr>
              <w:widowControl/>
              <w:tabs>
                <w:tab w:val="left" w:pos="2872"/>
              </w:tabs>
              <w:spacing w:line="260" w:lineRule="exact"/>
              <w:jc w:val="left"/>
              <w:rPr>
                <w:rStyle w:val="114"/>
                <w:rFonts w:hint="default" w:ascii="Times New Roman" w:hAnsi="Times New Roman"/>
                <w:color w:val="000000" w:themeColor="text1"/>
                <w:sz w:val="21"/>
                <w:szCs w:val="21"/>
              </w:rPr>
            </w:pPr>
            <w:r>
              <w:rPr>
                <w:color w:val="000000" w:themeColor="text1"/>
                <w:szCs w:val="21"/>
              </w:rPr>
              <w:t>手防护：</w:t>
            </w:r>
            <w:r>
              <w:rPr>
                <w:rStyle w:val="114"/>
                <w:rFonts w:hint="default" w:ascii="Times New Roman" w:hAnsi="Times New Roman"/>
                <w:color w:val="000000" w:themeColor="text1"/>
                <w:sz w:val="21"/>
                <w:szCs w:val="21"/>
              </w:rPr>
              <w:t>戴橡胶手套。</w:t>
            </w:r>
          </w:p>
          <w:p>
            <w:pPr>
              <w:widowControl/>
              <w:tabs>
                <w:tab w:val="left" w:pos="2872"/>
              </w:tabs>
              <w:spacing w:line="260" w:lineRule="exact"/>
              <w:jc w:val="left"/>
              <w:rPr>
                <w:color w:val="000000" w:themeColor="text1"/>
                <w:szCs w:val="21"/>
              </w:rPr>
            </w:pPr>
            <w:r>
              <w:rPr>
                <w:color w:val="000000" w:themeColor="text1"/>
                <w:szCs w:val="21"/>
              </w:rPr>
              <w:t>眼睛防护：戴化学安全防护眼镜。</w:t>
            </w:r>
          </w:p>
          <w:p>
            <w:pPr>
              <w:widowControl/>
              <w:tabs>
                <w:tab w:val="left" w:pos="2872"/>
              </w:tabs>
              <w:spacing w:line="260" w:lineRule="exact"/>
              <w:jc w:val="left"/>
              <w:rPr>
                <w:rStyle w:val="114"/>
                <w:rFonts w:hint="default" w:ascii="Times New Roman" w:hAnsi="Times New Roman"/>
                <w:color w:val="000000" w:themeColor="text1"/>
                <w:sz w:val="21"/>
                <w:szCs w:val="21"/>
              </w:rPr>
            </w:pPr>
            <w:r>
              <w:rPr>
                <w:color w:val="000000" w:themeColor="text1"/>
                <w:szCs w:val="21"/>
              </w:rPr>
              <w:t>身体防护：</w:t>
            </w:r>
            <w:r>
              <w:rPr>
                <w:rStyle w:val="114"/>
                <w:rFonts w:hint="default" w:ascii="Times New Roman" w:hAnsi="Times New Roman"/>
                <w:color w:val="000000" w:themeColor="text1"/>
                <w:sz w:val="21"/>
                <w:szCs w:val="21"/>
              </w:rPr>
              <w:t>穿防静电工作服。</w:t>
            </w:r>
          </w:p>
          <w:p>
            <w:pPr>
              <w:widowControl/>
              <w:tabs>
                <w:tab w:val="left" w:pos="2872"/>
              </w:tabs>
              <w:spacing w:line="260" w:lineRule="exact"/>
              <w:jc w:val="left"/>
              <w:rPr>
                <w:color w:val="000000" w:themeColor="text1"/>
                <w:szCs w:val="21"/>
              </w:rPr>
            </w:pPr>
            <w:r>
              <w:rPr>
                <w:color w:val="000000" w:themeColor="text1"/>
                <w:szCs w:val="21"/>
              </w:rPr>
              <w:t>其他防护：</w:t>
            </w:r>
            <w:r>
              <w:rPr>
                <w:rStyle w:val="114"/>
                <w:rFonts w:hint="default" w:ascii="Times New Roman" w:hAnsi="Times New Roman"/>
                <w:color w:val="000000" w:themeColor="text1"/>
                <w:sz w:val="21"/>
                <w:szCs w:val="21"/>
              </w:rPr>
              <w:t>工作现场禁止吸烟、进食和饮水。工作完毕，淋浴更衣。实行就业前和定期的体检。</w:t>
            </w:r>
          </w:p>
          <w:p>
            <w:pPr>
              <w:widowControl/>
              <w:tabs>
                <w:tab w:val="left" w:pos="2872"/>
              </w:tabs>
              <w:spacing w:line="260" w:lineRule="exact"/>
              <w:jc w:val="left"/>
              <w:rPr>
                <w:color w:val="000000" w:themeColor="text1"/>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40" w:type="dxa"/>
            <w:vAlign w:val="center"/>
          </w:tcPr>
          <w:p>
            <w:pPr>
              <w:widowControl/>
              <w:spacing w:line="260" w:lineRule="exact"/>
              <w:jc w:val="left"/>
              <w:rPr>
                <w:color w:val="000000" w:themeColor="text1"/>
                <w:kern w:val="0"/>
                <w:szCs w:val="21"/>
              </w:rPr>
            </w:pPr>
            <w:r>
              <w:rPr>
                <w:color w:val="000000" w:themeColor="text1"/>
                <w:kern w:val="0"/>
                <w:szCs w:val="21"/>
              </w:rPr>
              <w:t>毒性、刺激性：</w:t>
            </w:r>
          </w:p>
        </w:tc>
        <w:tc>
          <w:tcPr>
            <w:tcW w:w="6404" w:type="dxa"/>
            <w:vAlign w:val="center"/>
          </w:tcPr>
          <w:p>
            <w:pPr>
              <w:widowControl/>
              <w:spacing w:line="260" w:lineRule="exact"/>
              <w:jc w:val="left"/>
              <w:rPr>
                <w:color w:val="000000" w:themeColor="text1"/>
                <w:kern w:val="0"/>
                <w:szCs w:val="21"/>
              </w:rPr>
            </w:pPr>
            <w:r>
              <w:rPr>
                <w:rStyle w:val="114"/>
                <w:rFonts w:hint="default" w:ascii="Times New Roman" w:hAnsi="Times New Roman"/>
                <w:color w:val="000000" w:themeColor="text1"/>
                <w:sz w:val="21"/>
                <w:szCs w:val="21"/>
              </w:rPr>
              <w:t>属中等毒类、具有刺激性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40" w:type="dxa"/>
            <w:vAlign w:val="center"/>
          </w:tcPr>
          <w:p>
            <w:pPr>
              <w:widowControl/>
              <w:spacing w:line="260" w:lineRule="exact"/>
              <w:jc w:val="left"/>
              <w:rPr>
                <w:color w:val="000000" w:themeColor="text1"/>
                <w:kern w:val="0"/>
                <w:szCs w:val="21"/>
              </w:rPr>
            </w:pPr>
            <w:r>
              <w:rPr>
                <w:color w:val="000000" w:themeColor="text1"/>
                <w:kern w:val="0"/>
                <w:szCs w:val="21"/>
              </w:rPr>
              <w:t>环境影响：</w:t>
            </w:r>
          </w:p>
        </w:tc>
        <w:tc>
          <w:tcPr>
            <w:tcW w:w="6404" w:type="dxa"/>
            <w:vAlign w:val="center"/>
          </w:tcPr>
          <w:p>
            <w:pPr>
              <w:widowControl/>
              <w:spacing w:line="260" w:lineRule="exact"/>
              <w:jc w:val="left"/>
              <w:rPr>
                <w:color w:val="000000" w:themeColor="text1"/>
                <w:kern w:val="0"/>
                <w:szCs w:val="21"/>
              </w:rPr>
            </w:pPr>
            <w:r>
              <w:rPr>
                <w:color w:val="000000" w:themeColor="text1"/>
                <w:kern w:val="0"/>
                <w:szCs w:val="21"/>
              </w:rPr>
              <w:t>对环境有害。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40" w:type="dxa"/>
            <w:vMerge w:val="restart"/>
            <w:vAlign w:val="center"/>
          </w:tcPr>
          <w:p>
            <w:pPr>
              <w:spacing w:line="260" w:lineRule="exact"/>
              <w:jc w:val="left"/>
              <w:rPr>
                <w:color w:val="000000" w:themeColor="text1"/>
                <w:kern w:val="0"/>
                <w:szCs w:val="21"/>
              </w:rPr>
            </w:pPr>
            <w:r>
              <w:rPr>
                <w:color w:val="000000" w:themeColor="text1"/>
                <w:kern w:val="0"/>
                <w:szCs w:val="21"/>
              </w:rPr>
              <w:t>陆上运输：</w:t>
            </w:r>
          </w:p>
        </w:tc>
        <w:tc>
          <w:tcPr>
            <w:tcW w:w="6404" w:type="dxa"/>
            <w:vAlign w:val="center"/>
          </w:tcPr>
          <w:p>
            <w:pPr>
              <w:widowControl/>
              <w:spacing w:line="260" w:lineRule="exact"/>
              <w:jc w:val="left"/>
              <w:rPr>
                <w:color w:val="000000" w:themeColor="text1"/>
                <w:kern w:val="0"/>
                <w:szCs w:val="21"/>
              </w:rPr>
            </w:pPr>
            <w:r>
              <w:rPr>
                <w:color w:val="000000" w:themeColor="text1"/>
                <w:kern w:val="0"/>
                <w:szCs w:val="21"/>
              </w:rPr>
              <w:t>UN号：1230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40" w:type="dxa"/>
            <w:vMerge w:val="continue"/>
            <w:vAlign w:val="center"/>
          </w:tcPr>
          <w:p>
            <w:pPr>
              <w:spacing w:line="260" w:lineRule="exact"/>
              <w:jc w:val="left"/>
              <w:rPr>
                <w:color w:val="000000" w:themeColor="text1"/>
                <w:kern w:val="0"/>
                <w:szCs w:val="21"/>
              </w:rPr>
            </w:pPr>
          </w:p>
        </w:tc>
        <w:tc>
          <w:tcPr>
            <w:tcW w:w="6404" w:type="dxa"/>
            <w:vAlign w:val="center"/>
          </w:tcPr>
          <w:p>
            <w:pPr>
              <w:pStyle w:val="48"/>
              <w:spacing w:before="80" w:after="80" w:line="400" w:lineRule="exact"/>
              <w:ind w:left="1200" w:hanging="1200"/>
              <w:rPr>
                <w:rStyle w:val="114"/>
                <w:rFonts w:hint="default" w:ascii="Times New Roman" w:hAnsi="Times New Roman"/>
                <w:color w:val="000000" w:themeColor="text1"/>
                <w:sz w:val="21"/>
                <w:szCs w:val="21"/>
              </w:rPr>
            </w:pPr>
            <w:r>
              <w:rPr>
                <w:rFonts w:eastAsia="宋体"/>
                <w:color w:val="000000" w:themeColor="text1"/>
                <w:kern w:val="0"/>
                <w:sz w:val="21"/>
                <w:szCs w:val="21"/>
              </w:rPr>
              <w:t>包装标志：</w:t>
            </w:r>
            <w:r>
              <w:rPr>
                <w:rStyle w:val="114"/>
                <w:rFonts w:hint="default" w:ascii="Times New Roman" w:hAnsi="Times New Roman"/>
                <w:color w:val="000000" w:themeColor="text1"/>
                <w:sz w:val="21"/>
                <w:szCs w:val="21"/>
              </w:rPr>
              <w:t>易燃液体；毒性物质</w:t>
            </w:r>
          </w:p>
          <w:p>
            <w:pPr>
              <w:widowControl/>
              <w:spacing w:line="260" w:lineRule="exact"/>
              <w:jc w:val="left"/>
              <w:rPr>
                <w:color w:val="000000" w:themeColor="text1"/>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40" w:type="dxa"/>
            <w:vMerge w:val="continue"/>
            <w:vAlign w:val="center"/>
          </w:tcPr>
          <w:p>
            <w:pPr>
              <w:widowControl/>
              <w:spacing w:line="260" w:lineRule="exact"/>
              <w:jc w:val="left"/>
              <w:rPr>
                <w:color w:val="000000" w:themeColor="text1"/>
                <w:kern w:val="0"/>
                <w:szCs w:val="21"/>
              </w:rPr>
            </w:pPr>
          </w:p>
        </w:tc>
        <w:tc>
          <w:tcPr>
            <w:tcW w:w="6404" w:type="dxa"/>
            <w:vAlign w:val="center"/>
          </w:tcPr>
          <w:p>
            <w:pPr>
              <w:widowControl/>
              <w:spacing w:line="260" w:lineRule="exact"/>
              <w:jc w:val="left"/>
              <w:rPr>
                <w:color w:val="000000" w:themeColor="text1"/>
                <w:kern w:val="0"/>
                <w:szCs w:val="21"/>
              </w:rPr>
            </w:pPr>
            <w:r>
              <w:rPr>
                <w:color w:val="000000" w:themeColor="text1"/>
                <w:kern w:val="0"/>
                <w:szCs w:val="21"/>
              </w:rPr>
              <w:t>包装类别：II</w:t>
            </w:r>
          </w:p>
        </w:tc>
      </w:tr>
      <w:bookmarkEnd w:id="999"/>
      <w:bookmarkEnd w:id="1000"/>
      <w:bookmarkEnd w:id="1001"/>
      <w:bookmarkEnd w:id="1002"/>
      <w:bookmarkEnd w:id="1003"/>
      <w:bookmarkEnd w:id="1004"/>
      <w:bookmarkEnd w:id="1005"/>
      <w:bookmarkEnd w:id="1006"/>
    </w:tbl>
    <w:p>
      <w:pPr>
        <w:pStyle w:val="19"/>
        <w:spacing w:afterLines="100" w:line="500" w:lineRule="exact"/>
        <w:rPr>
          <w:rFonts w:ascii="黑体" w:hAnsi="宋体" w:eastAsia="黑体"/>
          <w:color w:val="000000" w:themeColor="text1"/>
          <w:kern w:val="3"/>
          <w:sz w:val="28"/>
          <w:szCs w:val="28"/>
        </w:rPr>
      </w:pPr>
      <w:bookmarkStart w:id="1007" w:name="_Toc9401"/>
      <w:bookmarkStart w:id="1008" w:name="_Toc9215"/>
      <w:bookmarkStart w:id="1009" w:name="_Toc29395"/>
      <w:bookmarkStart w:id="1010" w:name="_Toc7819"/>
      <w:bookmarkStart w:id="1011" w:name="_Toc2235"/>
      <w:bookmarkStart w:id="1012" w:name="_Toc7780"/>
      <w:r>
        <w:rPr>
          <w:rFonts w:hint="eastAsia" w:ascii="黑体" w:hAnsi="宋体" w:eastAsia="黑体"/>
          <w:color w:val="000000" w:themeColor="text1"/>
          <w:kern w:val="3"/>
          <w:sz w:val="28"/>
          <w:szCs w:val="28"/>
        </w:rPr>
        <w:t>3.4.3 剧毒化学品、监控化学品、易制毒化学品、易制爆危险化学品、高毒物品、重点监管及特别管控的危险化学品辨识</w:t>
      </w:r>
      <w:bookmarkEnd w:id="992"/>
      <w:bookmarkEnd w:id="1007"/>
      <w:bookmarkEnd w:id="1008"/>
      <w:bookmarkEnd w:id="1009"/>
      <w:bookmarkEnd w:id="1010"/>
      <w:bookmarkEnd w:id="1011"/>
      <w:bookmarkEnd w:id="1012"/>
    </w:p>
    <w:p>
      <w:pPr>
        <w:spacing w:line="500" w:lineRule="exact"/>
        <w:ind w:firstLine="560" w:firstLineChars="200"/>
        <w:rPr>
          <w:color w:val="000000" w:themeColor="text1"/>
          <w:sz w:val="28"/>
          <w:szCs w:val="28"/>
        </w:rPr>
      </w:pPr>
      <w:r>
        <w:rPr>
          <w:color w:val="000000" w:themeColor="text1"/>
          <w:sz w:val="28"/>
          <w:szCs w:val="28"/>
        </w:rPr>
        <w:t>1</w:t>
      </w:r>
      <w:r>
        <w:rPr>
          <w:rFonts w:hint="eastAsia"/>
          <w:color w:val="000000" w:themeColor="text1"/>
          <w:sz w:val="28"/>
          <w:szCs w:val="28"/>
        </w:rPr>
        <w:t>.</w:t>
      </w:r>
      <w:r>
        <w:rPr>
          <w:color w:val="000000" w:themeColor="text1"/>
          <w:sz w:val="28"/>
          <w:szCs w:val="28"/>
        </w:rPr>
        <w:t>根据</w:t>
      </w:r>
      <w:r>
        <w:rPr>
          <w:color w:val="000000" w:themeColor="text1"/>
          <w:sz w:val="28"/>
        </w:rPr>
        <w:t>《</w:t>
      </w:r>
      <w:r>
        <w:rPr>
          <w:rFonts w:hint="eastAsia"/>
          <w:color w:val="000000" w:themeColor="text1"/>
          <w:sz w:val="28"/>
          <w:lang w:eastAsia="zh-CN"/>
        </w:rPr>
        <w:t>危险化学品目录（2015调整版）</w:t>
      </w:r>
      <w:r>
        <w:rPr>
          <w:color w:val="000000" w:themeColor="text1"/>
          <w:sz w:val="28"/>
        </w:rPr>
        <w:t>》以及</w:t>
      </w:r>
      <w:r>
        <w:rPr>
          <w:color w:val="000000" w:themeColor="text1"/>
          <w:sz w:val="28"/>
          <w:szCs w:val="28"/>
        </w:rPr>
        <w:t>《国家安全监管总局办公厅关于印发</w:t>
      </w:r>
      <w:r>
        <w:rPr>
          <w:rFonts w:hint="eastAsia"/>
          <w:color w:val="000000" w:themeColor="text1"/>
          <w:sz w:val="28"/>
          <w:szCs w:val="28"/>
          <w:lang w:eastAsia="zh-CN"/>
        </w:rPr>
        <w:t>危险化学品目录（2015调整版）</w:t>
      </w:r>
      <w:r>
        <w:rPr>
          <w:color w:val="000000" w:themeColor="text1"/>
          <w:sz w:val="28"/>
          <w:szCs w:val="28"/>
        </w:rPr>
        <w:t>实施指南（试行）的通知》（安监总厅管三〔2015〕80号）的相关规定，该公司经营储存的甲醇不属于剧毒化学品。</w:t>
      </w:r>
    </w:p>
    <w:p>
      <w:pPr>
        <w:adjustRightInd w:val="0"/>
        <w:snapToGrid w:val="0"/>
        <w:spacing w:line="500" w:lineRule="exact"/>
        <w:ind w:firstLine="560" w:firstLineChars="200"/>
        <w:rPr>
          <w:color w:val="000000" w:themeColor="text1"/>
          <w:sz w:val="28"/>
          <w:szCs w:val="28"/>
        </w:rPr>
      </w:pPr>
      <w:r>
        <w:rPr>
          <w:color w:val="000000" w:themeColor="text1"/>
          <w:sz w:val="28"/>
          <w:szCs w:val="28"/>
        </w:rPr>
        <w:t>2</w:t>
      </w:r>
      <w:r>
        <w:rPr>
          <w:rFonts w:hint="eastAsia"/>
          <w:color w:val="000000" w:themeColor="text1"/>
          <w:sz w:val="28"/>
          <w:szCs w:val="28"/>
        </w:rPr>
        <w:t>.</w:t>
      </w:r>
      <w:r>
        <w:rPr>
          <w:color w:val="000000" w:themeColor="text1"/>
          <w:sz w:val="28"/>
          <w:szCs w:val="28"/>
        </w:rPr>
        <w:t>根据</w:t>
      </w:r>
      <w:r>
        <w:rPr>
          <w:color w:val="000000" w:themeColor="text1"/>
          <w:sz w:val="28"/>
          <w:szCs w:val="28"/>
          <w:lang w:val="zh-CN"/>
        </w:rPr>
        <w:t>《中华人民共和国监控化学品管理条例》（</w:t>
      </w:r>
      <w:r>
        <w:rPr>
          <w:color w:val="000000" w:themeColor="text1"/>
          <w:sz w:val="28"/>
          <w:szCs w:val="28"/>
        </w:rPr>
        <w:t>1995年12月27日中华人民共和国国务院令第190号发布 根据2011年1月8日《国务院关于废止和修改部分行政法规的决定》修订</w:t>
      </w:r>
      <w:r>
        <w:rPr>
          <w:color w:val="000000" w:themeColor="text1"/>
          <w:sz w:val="28"/>
          <w:szCs w:val="28"/>
          <w:lang w:val="zh-CN"/>
        </w:rPr>
        <w:t>）</w:t>
      </w:r>
      <w:r>
        <w:rPr>
          <w:color w:val="000000" w:themeColor="text1"/>
          <w:sz w:val="28"/>
          <w:szCs w:val="28"/>
        </w:rPr>
        <w:t>的相关规定，该公司经营储存的甲醇不属于监控化学品。</w:t>
      </w:r>
    </w:p>
    <w:p>
      <w:pPr>
        <w:adjustRightInd w:val="0"/>
        <w:snapToGrid w:val="0"/>
        <w:spacing w:line="500" w:lineRule="exact"/>
        <w:ind w:firstLine="560" w:firstLineChars="200"/>
        <w:rPr>
          <w:color w:val="000000" w:themeColor="text1"/>
          <w:sz w:val="28"/>
          <w:szCs w:val="28"/>
        </w:rPr>
      </w:pPr>
      <w:r>
        <w:rPr>
          <w:color w:val="000000" w:themeColor="text1"/>
          <w:sz w:val="28"/>
          <w:szCs w:val="28"/>
        </w:rPr>
        <w:t>3</w:t>
      </w:r>
      <w:r>
        <w:rPr>
          <w:rFonts w:hint="eastAsia"/>
          <w:color w:val="000000" w:themeColor="text1"/>
          <w:sz w:val="28"/>
          <w:szCs w:val="28"/>
        </w:rPr>
        <w:t>.</w:t>
      </w:r>
      <w:r>
        <w:rPr>
          <w:color w:val="000000" w:themeColor="text1"/>
          <w:sz w:val="28"/>
          <w:szCs w:val="28"/>
        </w:rPr>
        <w:t>根据《易制毒化学品管理条例》（国务院令第445号，根据2018年9月18日公布的国务院令第703号《国务院关于修改部分行政法规的决定》</w:t>
      </w:r>
      <w:r>
        <w:rPr>
          <w:color w:val="000000" w:themeColor="text1"/>
          <w:sz w:val="28"/>
          <w:szCs w:val="28"/>
          <w:vertAlign w:val="superscript"/>
        </w:rPr>
        <w:t> </w:t>
      </w:r>
      <w:r>
        <w:rPr>
          <w:color w:val="000000" w:themeColor="text1"/>
          <w:sz w:val="28"/>
          <w:szCs w:val="28"/>
        </w:rPr>
        <w:t>第六条修改）、《</w:t>
      </w:r>
      <w:r>
        <w:rPr>
          <w:bCs/>
          <w:color w:val="000000" w:themeColor="text1"/>
          <w:sz w:val="28"/>
          <w:szCs w:val="28"/>
        </w:rPr>
        <w:t>国务院办公厅关于同意将 N-苯乙基-4-哌啶酮、4-苯胺基-N-苯乙基哌啶、 N-甲基-1-苯基-1-氯-2-丙胺、溴素、1-苯基-1-丙酮列入易制毒化学品品种目录的函</w:t>
      </w:r>
      <w:r>
        <w:rPr>
          <w:color w:val="000000" w:themeColor="text1"/>
          <w:sz w:val="28"/>
          <w:szCs w:val="28"/>
        </w:rPr>
        <w:t>》（</w:t>
      </w:r>
      <w:r>
        <w:rPr>
          <w:bCs/>
          <w:color w:val="000000" w:themeColor="text1"/>
          <w:sz w:val="28"/>
          <w:szCs w:val="28"/>
        </w:rPr>
        <w:t>国办函〔2017〕120号</w:t>
      </w:r>
      <w:r>
        <w:rPr>
          <w:color w:val="000000" w:themeColor="text1"/>
          <w:sz w:val="28"/>
          <w:szCs w:val="28"/>
        </w:rPr>
        <w:t>）</w:t>
      </w:r>
      <w:r>
        <w:rPr>
          <w:color w:val="000000" w:themeColor="text1"/>
          <w:sz w:val="28"/>
          <w:szCs w:val="28"/>
          <w:lang w:val="zh-CN"/>
        </w:rPr>
        <w:t>的规定</w:t>
      </w:r>
      <w:r>
        <w:rPr>
          <w:snapToGrid w:val="0"/>
          <w:color w:val="000000" w:themeColor="text1"/>
          <w:kern w:val="0"/>
          <w:sz w:val="28"/>
          <w:szCs w:val="28"/>
        </w:rPr>
        <w:t>判别，</w:t>
      </w:r>
      <w:r>
        <w:rPr>
          <w:color w:val="000000" w:themeColor="text1"/>
          <w:sz w:val="28"/>
          <w:szCs w:val="28"/>
        </w:rPr>
        <w:t>该公司经营储存的甲醇不属于易制毒化学。</w:t>
      </w:r>
    </w:p>
    <w:p>
      <w:pPr>
        <w:tabs>
          <w:tab w:val="left" w:pos="5670"/>
        </w:tabs>
        <w:adjustRightInd w:val="0"/>
        <w:snapToGrid w:val="0"/>
        <w:spacing w:line="500" w:lineRule="exact"/>
        <w:ind w:firstLine="560" w:firstLineChars="200"/>
        <w:rPr>
          <w:color w:val="000000" w:themeColor="text1"/>
          <w:sz w:val="28"/>
          <w:szCs w:val="28"/>
        </w:rPr>
      </w:pPr>
      <w:r>
        <w:rPr>
          <w:color w:val="000000" w:themeColor="text1"/>
          <w:sz w:val="28"/>
          <w:szCs w:val="28"/>
        </w:rPr>
        <w:t>4</w:t>
      </w:r>
      <w:r>
        <w:rPr>
          <w:rFonts w:hint="eastAsia"/>
          <w:color w:val="000000" w:themeColor="text1"/>
          <w:sz w:val="28"/>
          <w:szCs w:val="28"/>
        </w:rPr>
        <w:t>.</w:t>
      </w:r>
      <w:r>
        <w:rPr>
          <w:color w:val="000000" w:themeColor="text1"/>
          <w:sz w:val="28"/>
          <w:szCs w:val="28"/>
        </w:rPr>
        <w:t>根据《易制爆危险化学品名录（2017年版）》（中华人民共和国公安部公告）的规定，该公司经营储存的甲醇不属于易制爆危险化学品。</w:t>
      </w:r>
    </w:p>
    <w:p>
      <w:pPr>
        <w:adjustRightInd w:val="0"/>
        <w:snapToGrid w:val="0"/>
        <w:spacing w:line="500" w:lineRule="exact"/>
        <w:ind w:firstLine="560" w:firstLineChars="200"/>
        <w:rPr>
          <w:color w:val="000000" w:themeColor="text1"/>
          <w:sz w:val="28"/>
        </w:rPr>
      </w:pPr>
      <w:r>
        <w:rPr>
          <w:color w:val="000000" w:themeColor="text1"/>
          <w:sz w:val="28"/>
          <w:szCs w:val="28"/>
        </w:rPr>
        <w:t>5</w:t>
      </w:r>
      <w:r>
        <w:rPr>
          <w:rFonts w:hint="eastAsia"/>
          <w:color w:val="000000" w:themeColor="text1"/>
          <w:sz w:val="28"/>
          <w:szCs w:val="28"/>
        </w:rPr>
        <w:t>.</w:t>
      </w:r>
      <w:r>
        <w:rPr>
          <w:color w:val="000000" w:themeColor="text1"/>
          <w:sz w:val="28"/>
          <w:szCs w:val="28"/>
        </w:rPr>
        <w:t>根据《高毒物品目录》（卫法监发[2003]142号）的规定，该公司经营储存的甲醇不属于高毒物品。</w:t>
      </w:r>
    </w:p>
    <w:p>
      <w:pPr>
        <w:adjustRightInd w:val="0"/>
        <w:snapToGrid w:val="0"/>
        <w:spacing w:line="500" w:lineRule="exact"/>
        <w:ind w:firstLine="560" w:firstLineChars="200"/>
        <w:rPr>
          <w:color w:val="000000" w:themeColor="text1"/>
          <w:sz w:val="28"/>
          <w:szCs w:val="28"/>
        </w:rPr>
      </w:pPr>
      <w:r>
        <w:rPr>
          <w:color w:val="000000" w:themeColor="text1"/>
          <w:sz w:val="28"/>
          <w:szCs w:val="28"/>
        </w:rPr>
        <w:t>6</w:t>
      </w:r>
      <w:r>
        <w:rPr>
          <w:rFonts w:hint="eastAsia"/>
          <w:color w:val="000000" w:themeColor="text1"/>
          <w:sz w:val="28"/>
          <w:szCs w:val="28"/>
        </w:rPr>
        <w:t>.</w:t>
      </w:r>
      <w:r>
        <w:rPr>
          <w:color w:val="000000" w:themeColor="text1"/>
          <w:sz w:val="28"/>
          <w:szCs w:val="28"/>
        </w:rPr>
        <w:t>根据《国家安全监管总局关于公布首批重点监管的危险化学品名录的通知》（安监总管三〔2011〕95号）及《国家安全监管总局关于公布第二批重点监管危险化学品名录的通知》（安监总管三〔2013〕12号） 判别，该公司经营储存的甲醇属于首批重点监管的危险化学品。</w:t>
      </w:r>
    </w:p>
    <w:p>
      <w:pPr>
        <w:tabs>
          <w:tab w:val="left" w:pos="900"/>
        </w:tabs>
        <w:adjustRightInd w:val="0"/>
        <w:snapToGrid w:val="0"/>
        <w:spacing w:line="500" w:lineRule="exact"/>
        <w:ind w:firstLine="560" w:firstLineChars="200"/>
        <w:rPr>
          <w:color w:val="000000" w:themeColor="text1"/>
          <w:sz w:val="28"/>
          <w:szCs w:val="20"/>
        </w:rPr>
      </w:pPr>
      <w:r>
        <w:rPr>
          <w:color w:val="000000" w:themeColor="text1"/>
          <w:sz w:val="28"/>
          <w:szCs w:val="28"/>
        </w:rPr>
        <w:t>7</w:t>
      </w:r>
      <w:r>
        <w:rPr>
          <w:rFonts w:hint="eastAsia"/>
          <w:color w:val="000000" w:themeColor="text1"/>
          <w:sz w:val="28"/>
          <w:szCs w:val="28"/>
        </w:rPr>
        <w:t>.</w:t>
      </w:r>
      <w:r>
        <w:rPr>
          <w:color w:val="000000" w:themeColor="text1"/>
          <w:sz w:val="28"/>
          <w:szCs w:val="28"/>
        </w:rPr>
        <w:t>根据《特别管控危险化学品目录（第一版）》（应急管理部、工业和信息化部、公安部、交通运输部公告2020年第3号）判别，该公司经营储存的甲醇属于特别管控的危险化学品。</w:t>
      </w:r>
    </w:p>
    <w:p>
      <w:pPr>
        <w:adjustRightInd w:val="0"/>
        <w:snapToGrid w:val="0"/>
        <w:spacing w:line="500" w:lineRule="exact"/>
        <w:ind w:firstLine="560" w:firstLineChars="200"/>
        <w:rPr>
          <w:color w:val="000000" w:themeColor="text1"/>
          <w:sz w:val="28"/>
          <w:szCs w:val="28"/>
        </w:rPr>
      </w:pPr>
      <w:r>
        <w:rPr>
          <w:color w:val="000000" w:themeColor="text1"/>
          <w:sz w:val="28"/>
          <w:szCs w:val="28"/>
        </w:rPr>
        <w:t>综上所述，该公司经营储存的甲醇不属于剧毒化学品、监控化学品、易制毒化学品、易制爆危险化学品、高毒物品，属于重点监管及特别管控的危险化学品。</w:t>
      </w:r>
    </w:p>
    <w:bookmarkEnd w:id="993"/>
    <w:bookmarkEnd w:id="994"/>
    <w:bookmarkEnd w:id="995"/>
    <w:bookmarkEnd w:id="996"/>
    <w:bookmarkEnd w:id="997"/>
    <w:bookmarkEnd w:id="998"/>
    <w:p>
      <w:pPr>
        <w:pStyle w:val="19"/>
        <w:spacing w:afterLines="100" w:line="500" w:lineRule="exact"/>
        <w:jc w:val="center"/>
        <w:rPr>
          <w:rFonts w:ascii="楷体_GB2312" w:hAnsi="宋体" w:eastAsia="楷体_GB2312"/>
          <w:color w:val="000000" w:themeColor="text1"/>
          <w:kern w:val="3"/>
        </w:rPr>
      </w:pPr>
      <w:bookmarkStart w:id="1013" w:name="_Toc5300"/>
      <w:bookmarkStart w:id="1014" w:name="_Toc9325"/>
      <w:bookmarkStart w:id="1015" w:name="_Toc5520"/>
      <w:bookmarkStart w:id="1016" w:name="_Toc23334"/>
      <w:bookmarkStart w:id="1017" w:name="_Toc32115"/>
      <w:bookmarkStart w:id="1018" w:name="_Toc26811"/>
      <w:bookmarkStart w:id="1019" w:name="_Toc10525"/>
      <w:bookmarkStart w:id="1020" w:name="_Toc28873"/>
      <w:bookmarkStart w:id="1021" w:name="_Toc24154"/>
      <w:bookmarkStart w:id="1022" w:name="_Toc27150"/>
      <w:bookmarkStart w:id="1023" w:name="_Toc32364"/>
      <w:bookmarkStart w:id="1024" w:name="_Toc16905_WPSOffice_Level2"/>
      <w:bookmarkStart w:id="1025" w:name="_Toc124"/>
      <w:bookmarkStart w:id="1026" w:name="_Toc30058"/>
      <w:bookmarkStart w:id="1027" w:name="_Toc1469"/>
      <w:bookmarkStart w:id="1028" w:name="_Toc3109"/>
      <w:bookmarkStart w:id="1029" w:name="_Toc9607"/>
      <w:r>
        <w:rPr>
          <w:rFonts w:hint="eastAsia" w:ascii="楷体_GB2312" w:hAnsi="宋体" w:eastAsia="楷体_GB2312"/>
          <w:color w:val="000000" w:themeColor="text1"/>
          <w:kern w:val="3"/>
        </w:rPr>
        <w:t>3.5主要危险、有害因素分析</w:t>
      </w:r>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p>
    <w:p>
      <w:pPr>
        <w:pStyle w:val="19"/>
        <w:spacing w:afterLines="100" w:line="500" w:lineRule="exact"/>
        <w:rPr>
          <w:rFonts w:ascii="黑体" w:hAnsi="宋体" w:eastAsia="黑体"/>
          <w:color w:val="000000" w:themeColor="text1"/>
          <w:kern w:val="3"/>
          <w:sz w:val="28"/>
          <w:szCs w:val="28"/>
        </w:rPr>
      </w:pPr>
      <w:bookmarkStart w:id="1030" w:name="_Toc20648"/>
      <w:bookmarkStart w:id="1031" w:name="_Toc29270"/>
      <w:bookmarkStart w:id="1032" w:name="_Toc16065"/>
      <w:bookmarkStart w:id="1033" w:name="_Toc11805"/>
      <w:bookmarkStart w:id="1034" w:name="_Toc32144"/>
      <w:bookmarkStart w:id="1035" w:name="_Toc21005"/>
      <w:bookmarkStart w:id="1036" w:name="_Toc8221"/>
      <w:bookmarkStart w:id="1037" w:name="_Toc31861"/>
      <w:bookmarkStart w:id="1038" w:name="_Toc29167"/>
      <w:bookmarkStart w:id="1039" w:name="_Toc29477"/>
      <w:bookmarkStart w:id="1040" w:name="_Toc197667511"/>
      <w:bookmarkStart w:id="1041" w:name="_Toc208398719"/>
      <w:bookmarkStart w:id="1042" w:name="_Toc286493596"/>
      <w:bookmarkStart w:id="1043" w:name="_Toc194389924"/>
      <w:bookmarkStart w:id="1044" w:name="_Toc7763"/>
      <w:bookmarkStart w:id="1045" w:name="_Toc208371309"/>
      <w:bookmarkStart w:id="1046" w:name="_Toc210015071"/>
      <w:bookmarkStart w:id="1047" w:name="_Toc345765773"/>
      <w:bookmarkStart w:id="1048" w:name="_Toc210014448"/>
      <w:r>
        <w:rPr>
          <w:rFonts w:hint="eastAsia" w:ascii="黑体" w:hAnsi="宋体" w:eastAsia="黑体"/>
          <w:color w:val="000000" w:themeColor="text1"/>
          <w:kern w:val="3"/>
          <w:sz w:val="28"/>
          <w:szCs w:val="28"/>
        </w:rPr>
        <w:t>3.5.1厂址危险性分析</w:t>
      </w:r>
      <w:bookmarkEnd w:id="1030"/>
      <w:bookmarkEnd w:id="1031"/>
      <w:bookmarkEnd w:id="1032"/>
      <w:bookmarkEnd w:id="1033"/>
      <w:bookmarkEnd w:id="1034"/>
      <w:bookmarkEnd w:id="1035"/>
      <w:bookmarkEnd w:id="1036"/>
      <w:bookmarkEnd w:id="1037"/>
      <w:bookmarkEnd w:id="1038"/>
      <w:bookmarkEnd w:id="1039"/>
    </w:p>
    <w:p>
      <w:pPr>
        <w:tabs>
          <w:tab w:val="left" w:pos="3900"/>
        </w:tabs>
        <w:adjustRightInd w:val="0"/>
        <w:snapToGrid w:val="0"/>
        <w:spacing w:line="500" w:lineRule="exact"/>
        <w:ind w:firstLine="560" w:firstLineChars="200"/>
        <w:rPr>
          <w:rFonts w:eastAsiaTheme="minorEastAsia"/>
          <w:snapToGrid w:val="0"/>
          <w:color w:val="000000" w:themeColor="text1"/>
          <w:kern w:val="0"/>
          <w:sz w:val="28"/>
          <w:szCs w:val="28"/>
        </w:rPr>
      </w:pPr>
      <w:r>
        <w:rPr>
          <w:color w:val="000000" w:themeColor="text1"/>
          <w:sz w:val="28"/>
          <w:szCs w:val="28"/>
        </w:rPr>
        <w:t>该项目甲醇储存、装卸设施布置于</w:t>
      </w:r>
      <w:r>
        <w:rPr>
          <w:rFonts w:hint="eastAsia"/>
          <w:color w:val="000000" w:themeColor="text1"/>
          <w:sz w:val="28"/>
          <w:szCs w:val="28"/>
        </w:rPr>
        <w:t>昭通市耀晨甲醇醇油有限公司储罐区</w:t>
      </w:r>
      <w:r>
        <w:rPr>
          <w:color w:val="000000" w:themeColor="text1"/>
          <w:sz w:val="28"/>
          <w:szCs w:val="28"/>
        </w:rPr>
        <w:t>内，如</w:t>
      </w:r>
      <w:r>
        <w:rPr>
          <w:snapToGrid w:val="0"/>
          <w:color w:val="000000" w:themeColor="text1"/>
          <w:kern w:val="0"/>
          <w:sz w:val="28"/>
          <w:szCs w:val="28"/>
        </w:rPr>
        <w:t>所在</w:t>
      </w:r>
      <w:r>
        <w:rPr>
          <w:rFonts w:hint="eastAsia"/>
          <w:snapToGrid w:val="0"/>
          <w:color w:val="000000" w:themeColor="text1"/>
          <w:kern w:val="0"/>
          <w:sz w:val="28"/>
          <w:szCs w:val="28"/>
          <w:lang w:val="en-US" w:eastAsia="zh-CN"/>
        </w:rPr>
        <w:t>场地</w:t>
      </w:r>
      <w:r>
        <w:rPr>
          <w:snapToGrid w:val="0"/>
          <w:color w:val="000000" w:themeColor="text1"/>
          <w:kern w:val="0"/>
          <w:sz w:val="28"/>
          <w:szCs w:val="28"/>
        </w:rPr>
        <w:t>自然条件（包括工程地质、气象条件）、交通条件、周边环境等可能会引发地面沉降</w:t>
      </w:r>
      <w:r>
        <w:rPr>
          <w:color w:val="000000" w:themeColor="text1"/>
          <w:sz w:val="28"/>
          <w:szCs w:val="28"/>
        </w:rPr>
        <w:t>、建（构）筑物倒塌</w:t>
      </w:r>
      <w:r>
        <w:rPr>
          <w:snapToGrid w:val="0"/>
          <w:color w:val="000000" w:themeColor="text1"/>
          <w:kern w:val="0"/>
          <w:sz w:val="28"/>
          <w:szCs w:val="28"/>
        </w:rPr>
        <w:t>、甲醇泄漏、</w:t>
      </w:r>
      <w:r>
        <w:rPr>
          <w:color w:val="000000" w:themeColor="text1"/>
          <w:sz w:val="28"/>
          <w:szCs w:val="28"/>
        </w:rPr>
        <w:t>中毒窒息、火灾、其他爆炸、车辆伤害</w:t>
      </w:r>
      <w:r>
        <w:rPr>
          <w:snapToGrid w:val="0"/>
          <w:color w:val="000000" w:themeColor="text1"/>
          <w:kern w:val="0"/>
          <w:sz w:val="28"/>
          <w:szCs w:val="28"/>
        </w:rPr>
        <w:t>等，或事故发</w:t>
      </w:r>
      <w:r>
        <w:rPr>
          <w:rFonts w:eastAsiaTheme="minorEastAsia"/>
          <w:snapToGrid w:val="0"/>
          <w:color w:val="000000" w:themeColor="text1"/>
          <w:kern w:val="0"/>
          <w:sz w:val="28"/>
          <w:szCs w:val="28"/>
        </w:rPr>
        <w:t>生后由于周边交通不通畅、消防支持不力而造成事故严重程度增加。</w:t>
      </w:r>
    </w:p>
    <w:p>
      <w:pPr>
        <w:pStyle w:val="19"/>
        <w:spacing w:afterLines="100" w:line="500" w:lineRule="exact"/>
        <w:rPr>
          <w:rFonts w:ascii="黑体" w:hAnsi="宋体" w:eastAsia="黑体"/>
          <w:color w:val="000000" w:themeColor="text1"/>
          <w:kern w:val="3"/>
          <w:sz w:val="28"/>
          <w:szCs w:val="28"/>
        </w:rPr>
      </w:pPr>
      <w:bookmarkStart w:id="1049" w:name="_Toc71558467"/>
      <w:bookmarkStart w:id="1050" w:name="_Toc23819"/>
      <w:bookmarkStart w:id="1051" w:name="_Toc32655"/>
      <w:bookmarkStart w:id="1052" w:name="_Toc71710900"/>
      <w:bookmarkStart w:id="1053" w:name="_Toc4490"/>
      <w:bookmarkStart w:id="1054" w:name="_Toc26831"/>
      <w:r>
        <w:rPr>
          <w:rFonts w:hint="eastAsia" w:ascii="黑体" w:hAnsi="宋体" w:eastAsia="黑体"/>
          <w:color w:val="000000" w:themeColor="text1"/>
          <w:kern w:val="3"/>
          <w:sz w:val="28"/>
          <w:szCs w:val="28"/>
        </w:rPr>
        <w:t>3.5.1.1自然条件方面的危险性分析</w:t>
      </w:r>
      <w:bookmarkEnd w:id="1049"/>
      <w:bookmarkEnd w:id="1050"/>
      <w:bookmarkEnd w:id="1051"/>
      <w:bookmarkEnd w:id="1052"/>
      <w:bookmarkEnd w:id="1053"/>
      <w:bookmarkEnd w:id="1054"/>
    </w:p>
    <w:p>
      <w:pPr>
        <w:tabs>
          <w:tab w:val="left" w:pos="3900"/>
        </w:tabs>
        <w:adjustRightInd w:val="0"/>
        <w:snapToGrid w:val="0"/>
        <w:spacing w:line="500" w:lineRule="exact"/>
        <w:ind w:firstLine="560" w:firstLineChars="200"/>
        <w:rPr>
          <w:snapToGrid w:val="0"/>
          <w:color w:val="000000" w:themeColor="text1"/>
          <w:kern w:val="0"/>
          <w:sz w:val="28"/>
          <w:szCs w:val="28"/>
        </w:rPr>
      </w:pPr>
      <w:r>
        <w:rPr>
          <w:snapToGrid w:val="0"/>
          <w:color w:val="000000" w:themeColor="text1"/>
          <w:kern w:val="0"/>
          <w:sz w:val="28"/>
          <w:szCs w:val="28"/>
        </w:rPr>
        <w:t>1.低温天气：冬季若遇极端低温天气，气温骤降，可能会造成输油管道冻裂</w:t>
      </w:r>
      <w:r>
        <w:rPr>
          <w:rFonts w:hint="eastAsia"/>
          <w:snapToGrid w:val="0"/>
          <w:color w:val="000000" w:themeColor="text1"/>
          <w:kern w:val="0"/>
          <w:sz w:val="28"/>
          <w:szCs w:val="28"/>
        </w:rPr>
        <w:t>。</w:t>
      </w:r>
    </w:p>
    <w:p>
      <w:pPr>
        <w:tabs>
          <w:tab w:val="left" w:pos="3900"/>
        </w:tabs>
        <w:adjustRightInd w:val="0"/>
        <w:snapToGrid w:val="0"/>
        <w:spacing w:line="500" w:lineRule="exact"/>
        <w:ind w:firstLine="560" w:firstLineChars="200"/>
        <w:rPr>
          <w:snapToGrid w:val="0"/>
          <w:color w:val="000000" w:themeColor="text1"/>
          <w:kern w:val="0"/>
          <w:sz w:val="28"/>
          <w:szCs w:val="28"/>
        </w:rPr>
      </w:pPr>
      <w:r>
        <w:rPr>
          <w:snapToGrid w:val="0"/>
          <w:color w:val="000000" w:themeColor="text1"/>
          <w:kern w:val="0"/>
          <w:sz w:val="28"/>
          <w:szCs w:val="28"/>
        </w:rPr>
        <w:t>2.暴雪、冰冻及霜冻等天气：会导致路面湿滑、结冰，容易产生车辆制动失效、倾翻、伤人事故</w:t>
      </w:r>
      <w:r>
        <w:rPr>
          <w:rFonts w:hint="eastAsia"/>
          <w:snapToGrid w:val="0"/>
          <w:color w:val="000000" w:themeColor="text1"/>
          <w:kern w:val="0"/>
          <w:sz w:val="28"/>
          <w:szCs w:val="28"/>
        </w:rPr>
        <w:t>。</w:t>
      </w:r>
    </w:p>
    <w:p>
      <w:pPr>
        <w:tabs>
          <w:tab w:val="left" w:pos="3900"/>
        </w:tabs>
        <w:adjustRightInd w:val="0"/>
        <w:snapToGrid w:val="0"/>
        <w:spacing w:line="500" w:lineRule="exact"/>
        <w:ind w:firstLine="560" w:firstLineChars="200"/>
        <w:rPr>
          <w:snapToGrid w:val="0"/>
          <w:color w:val="000000" w:themeColor="text1"/>
          <w:kern w:val="0"/>
          <w:sz w:val="28"/>
          <w:szCs w:val="28"/>
        </w:rPr>
      </w:pPr>
      <w:r>
        <w:rPr>
          <w:snapToGrid w:val="0"/>
          <w:color w:val="000000" w:themeColor="text1"/>
          <w:kern w:val="0"/>
          <w:sz w:val="28"/>
          <w:szCs w:val="28"/>
        </w:rPr>
        <w:t>2.高温天气：若遇夏季高温天气，作业人员长时间曝露在日光下，有发生中暑的危险；高温天气，可能导致油品挥发量增加，一是增加损耗，二是大量油品挥发蒸汽聚集可与空气混合形成爆炸性混合物，如遇明火、静电、雷电等可能发生火灾爆炸事故</w:t>
      </w:r>
      <w:r>
        <w:rPr>
          <w:rFonts w:hint="eastAsia"/>
          <w:snapToGrid w:val="0"/>
          <w:color w:val="000000" w:themeColor="text1"/>
          <w:kern w:val="0"/>
          <w:sz w:val="28"/>
          <w:szCs w:val="28"/>
        </w:rPr>
        <w:t>。</w:t>
      </w:r>
    </w:p>
    <w:p>
      <w:pPr>
        <w:tabs>
          <w:tab w:val="left" w:pos="3900"/>
        </w:tabs>
        <w:adjustRightInd w:val="0"/>
        <w:snapToGrid w:val="0"/>
        <w:spacing w:line="500" w:lineRule="exact"/>
        <w:ind w:firstLine="560" w:firstLineChars="200"/>
        <w:rPr>
          <w:snapToGrid w:val="0"/>
          <w:color w:val="000000" w:themeColor="text1"/>
          <w:kern w:val="0"/>
          <w:sz w:val="28"/>
          <w:szCs w:val="28"/>
        </w:rPr>
      </w:pPr>
      <w:r>
        <w:rPr>
          <w:snapToGrid w:val="0"/>
          <w:color w:val="000000" w:themeColor="text1"/>
          <w:kern w:val="0"/>
          <w:sz w:val="28"/>
          <w:szCs w:val="28"/>
        </w:rPr>
        <w:t>3.大风：大风可能会造成导致扬尘，造成现场灰尘弥漫，视线不清，从而引发机械伤害、车辆伤害等事故的发生</w:t>
      </w:r>
      <w:r>
        <w:rPr>
          <w:rFonts w:hint="eastAsia"/>
          <w:snapToGrid w:val="0"/>
          <w:color w:val="000000" w:themeColor="text1"/>
          <w:kern w:val="0"/>
          <w:sz w:val="28"/>
          <w:szCs w:val="28"/>
        </w:rPr>
        <w:t>。</w:t>
      </w:r>
    </w:p>
    <w:p>
      <w:pPr>
        <w:tabs>
          <w:tab w:val="left" w:pos="3900"/>
        </w:tabs>
        <w:adjustRightInd w:val="0"/>
        <w:snapToGrid w:val="0"/>
        <w:spacing w:line="500" w:lineRule="exact"/>
        <w:ind w:firstLine="560" w:firstLineChars="200"/>
        <w:rPr>
          <w:snapToGrid w:val="0"/>
          <w:color w:val="000000" w:themeColor="text1"/>
          <w:kern w:val="0"/>
          <w:sz w:val="28"/>
          <w:szCs w:val="28"/>
        </w:rPr>
      </w:pPr>
      <w:r>
        <w:rPr>
          <w:snapToGrid w:val="0"/>
          <w:color w:val="000000" w:themeColor="text1"/>
          <w:kern w:val="0"/>
          <w:sz w:val="28"/>
          <w:szCs w:val="28"/>
        </w:rPr>
        <w:t>4.雷暴天气：该项目在雷暴天气开展经营活动，造成雷击起火；防雷防静电装置未定期进行检测，接地电阻超标，遇雷暴天气，易发生雷电危害事故</w:t>
      </w:r>
      <w:r>
        <w:rPr>
          <w:rFonts w:hint="eastAsia"/>
          <w:snapToGrid w:val="0"/>
          <w:color w:val="000000" w:themeColor="text1"/>
          <w:kern w:val="0"/>
          <w:sz w:val="28"/>
          <w:szCs w:val="28"/>
        </w:rPr>
        <w:t>。</w:t>
      </w:r>
    </w:p>
    <w:p>
      <w:pPr>
        <w:tabs>
          <w:tab w:val="left" w:pos="3900"/>
        </w:tabs>
        <w:adjustRightInd w:val="0"/>
        <w:snapToGrid w:val="0"/>
        <w:spacing w:line="500" w:lineRule="exact"/>
        <w:ind w:firstLine="560" w:firstLineChars="200"/>
        <w:rPr>
          <w:snapToGrid w:val="0"/>
          <w:color w:val="000000" w:themeColor="text1"/>
          <w:kern w:val="0"/>
          <w:sz w:val="28"/>
          <w:szCs w:val="28"/>
        </w:rPr>
      </w:pPr>
      <w:r>
        <w:rPr>
          <w:snapToGrid w:val="0"/>
          <w:color w:val="000000" w:themeColor="text1"/>
          <w:kern w:val="0"/>
          <w:sz w:val="28"/>
          <w:szCs w:val="28"/>
        </w:rPr>
        <w:t>5.强降雨：若遇连续强降雨天气，</w:t>
      </w:r>
      <w:r>
        <w:rPr>
          <w:snapToGrid w:val="0"/>
          <w:color w:val="000000" w:themeColor="text1"/>
          <w:kern w:val="0"/>
          <w:sz w:val="28"/>
          <w:szCs w:val="28"/>
          <w:lang w:val="zh-CN"/>
        </w:rPr>
        <w:t>可能会因排水不畅而导致厂内积水，从而可引发甲醇储罐上浮、甲醇泄漏</w:t>
      </w:r>
      <w:r>
        <w:rPr>
          <w:snapToGrid w:val="0"/>
          <w:color w:val="000000" w:themeColor="text1"/>
          <w:kern w:val="0"/>
          <w:sz w:val="28"/>
          <w:szCs w:val="28"/>
        </w:rPr>
        <w:t>、设施及设备损坏等危险。</w:t>
      </w:r>
    </w:p>
    <w:p>
      <w:pPr>
        <w:pStyle w:val="19"/>
        <w:spacing w:afterLines="100" w:line="500" w:lineRule="exact"/>
        <w:rPr>
          <w:rFonts w:ascii="黑体" w:hAnsi="宋体" w:eastAsia="黑体"/>
          <w:color w:val="000000" w:themeColor="text1"/>
          <w:kern w:val="3"/>
          <w:sz w:val="28"/>
          <w:szCs w:val="28"/>
        </w:rPr>
      </w:pPr>
      <w:bookmarkStart w:id="1055" w:name="_Toc14892"/>
      <w:bookmarkStart w:id="1056" w:name="_Toc71558468"/>
      <w:bookmarkStart w:id="1057" w:name="_Toc855"/>
      <w:bookmarkStart w:id="1058" w:name="_Toc71710901"/>
      <w:bookmarkStart w:id="1059" w:name="_Toc31669"/>
      <w:bookmarkStart w:id="1060" w:name="_Toc2843"/>
      <w:r>
        <w:rPr>
          <w:rFonts w:hint="eastAsia" w:ascii="黑体" w:hAnsi="宋体" w:eastAsia="黑体"/>
          <w:color w:val="000000" w:themeColor="text1"/>
          <w:kern w:val="3"/>
          <w:sz w:val="28"/>
          <w:szCs w:val="28"/>
        </w:rPr>
        <w:t>3.5.1.2周边环境方面的危险性分析</w:t>
      </w:r>
      <w:bookmarkEnd w:id="1055"/>
      <w:bookmarkEnd w:id="1056"/>
      <w:bookmarkEnd w:id="1057"/>
      <w:bookmarkEnd w:id="1058"/>
      <w:bookmarkEnd w:id="1059"/>
      <w:bookmarkEnd w:id="1060"/>
    </w:p>
    <w:p>
      <w:pPr>
        <w:tabs>
          <w:tab w:val="left" w:pos="3900"/>
        </w:tabs>
        <w:adjustRightInd w:val="0"/>
        <w:snapToGrid w:val="0"/>
        <w:spacing w:line="500" w:lineRule="exact"/>
        <w:ind w:firstLine="560" w:firstLineChars="200"/>
        <w:rPr>
          <w:snapToGrid w:val="0"/>
          <w:color w:val="000000" w:themeColor="text1"/>
          <w:kern w:val="0"/>
          <w:sz w:val="28"/>
          <w:szCs w:val="28"/>
        </w:rPr>
      </w:pPr>
      <w:r>
        <w:rPr>
          <w:snapToGrid w:val="0"/>
          <w:color w:val="000000" w:themeColor="text1"/>
          <w:kern w:val="0"/>
          <w:sz w:val="28"/>
          <w:szCs w:val="28"/>
        </w:rPr>
        <w:t>1.该项目</w:t>
      </w:r>
      <w:r>
        <w:rPr>
          <w:rFonts w:hint="eastAsia"/>
          <w:snapToGrid w:val="0"/>
          <w:color w:val="000000" w:themeColor="text1"/>
          <w:kern w:val="0"/>
          <w:sz w:val="28"/>
          <w:szCs w:val="28"/>
        </w:rPr>
        <w:t>周边民房</w:t>
      </w:r>
      <w:r>
        <w:rPr>
          <w:snapToGrid w:val="0"/>
          <w:color w:val="000000" w:themeColor="text1"/>
          <w:kern w:val="0"/>
          <w:sz w:val="28"/>
          <w:szCs w:val="28"/>
        </w:rPr>
        <w:t>发生火灾可能会对</w:t>
      </w:r>
      <w:r>
        <w:rPr>
          <w:rFonts w:hint="eastAsia"/>
          <w:snapToGrid w:val="0"/>
          <w:color w:val="000000" w:themeColor="text1"/>
          <w:kern w:val="0"/>
          <w:sz w:val="28"/>
          <w:szCs w:val="28"/>
        </w:rPr>
        <w:t>储罐区</w:t>
      </w:r>
      <w:r>
        <w:rPr>
          <w:snapToGrid w:val="0"/>
          <w:color w:val="000000" w:themeColor="text1"/>
          <w:kern w:val="0"/>
          <w:sz w:val="28"/>
          <w:szCs w:val="28"/>
        </w:rPr>
        <w:t>造成火灾危险；若该项目发生火灾、爆炸事故会对</w:t>
      </w:r>
      <w:r>
        <w:rPr>
          <w:rFonts w:hint="eastAsia"/>
          <w:snapToGrid w:val="0"/>
          <w:color w:val="000000" w:themeColor="text1"/>
          <w:kern w:val="0"/>
          <w:sz w:val="28"/>
          <w:szCs w:val="28"/>
        </w:rPr>
        <w:t>周边民房</w:t>
      </w:r>
      <w:r>
        <w:rPr>
          <w:snapToGrid w:val="0"/>
          <w:color w:val="000000" w:themeColor="text1"/>
          <w:kern w:val="0"/>
          <w:sz w:val="28"/>
          <w:szCs w:val="28"/>
        </w:rPr>
        <w:t>造成火灾危险</w:t>
      </w:r>
      <w:r>
        <w:rPr>
          <w:rFonts w:hint="eastAsia"/>
          <w:snapToGrid w:val="0"/>
          <w:color w:val="000000" w:themeColor="text1"/>
          <w:kern w:val="0"/>
          <w:sz w:val="28"/>
          <w:szCs w:val="28"/>
        </w:rPr>
        <w:t>。</w:t>
      </w:r>
    </w:p>
    <w:p>
      <w:pPr>
        <w:tabs>
          <w:tab w:val="left" w:pos="3900"/>
        </w:tabs>
        <w:adjustRightInd w:val="0"/>
        <w:snapToGrid w:val="0"/>
        <w:spacing w:line="500" w:lineRule="exact"/>
        <w:ind w:firstLine="560" w:firstLineChars="200"/>
        <w:rPr>
          <w:snapToGrid w:val="0"/>
          <w:color w:val="000000" w:themeColor="text1"/>
          <w:kern w:val="0"/>
          <w:sz w:val="28"/>
          <w:szCs w:val="28"/>
        </w:rPr>
      </w:pPr>
      <w:r>
        <w:rPr>
          <w:snapToGrid w:val="0"/>
          <w:color w:val="000000" w:themeColor="text1"/>
          <w:kern w:val="0"/>
          <w:sz w:val="28"/>
          <w:szCs w:val="28"/>
        </w:rPr>
        <w:t>2.该项目</w:t>
      </w:r>
      <w:r>
        <w:rPr>
          <w:rFonts w:hint="eastAsia"/>
          <w:snapToGrid w:val="0"/>
          <w:color w:val="000000" w:themeColor="text1"/>
          <w:kern w:val="0"/>
          <w:sz w:val="28"/>
          <w:szCs w:val="28"/>
        </w:rPr>
        <w:t>西面、北面及东北面为空地，空地上均有</w:t>
      </w:r>
      <w:r>
        <w:rPr>
          <w:snapToGrid w:val="0"/>
          <w:color w:val="000000" w:themeColor="text1"/>
          <w:kern w:val="0"/>
          <w:sz w:val="28"/>
          <w:szCs w:val="28"/>
        </w:rPr>
        <w:t>杂草，若发生火灾事故会对该项目造成火灾、爆炸等危险</w:t>
      </w:r>
      <w:r>
        <w:rPr>
          <w:rFonts w:hint="eastAsia"/>
          <w:snapToGrid w:val="0"/>
          <w:color w:val="000000" w:themeColor="text1"/>
          <w:kern w:val="0"/>
          <w:sz w:val="28"/>
          <w:szCs w:val="28"/>
        </w:rPr>
        <w:t>。</w:t>
      </w:r>
    </w:p>
    <w:p>
      <w:pPr>
        <w:tabs>
          <w:tab w:val="left" w:pos="3900"/>
        </w:tabs>
        <w:adjustRightInd w:val="0"/>
        <w:snapToGrid w:val="0"/>
        <w:spacing w:line="500" w:lineRule="exact"/>
        <w:ind w:firstLine="560" w:firstLineChars="200"/>
        <w:rPr>
          <w:snapToGrid w:val="0"/>
          <w:color w:val="000000" w:themeColor="text1"/>
          <w:kern w:val="0"/>
          <w:sz w:val="28"/>
          <w:szCs w:val="28"/>
        </w:rPr>
      </w:pPr>
      <w:r>
        <w:rPr>
          <w:snapToGrid w:val="0"/>
          <w:color w:val="000000" w:themeColor="text1"/>
          <w:kern w:val="0"/>
          <w:sz w:val="28"/>
          <w:szCs w:val="28"/>
        </w:rPr>
        <w:t>3.该项目</w:t>
      </w:r>
      <w:r>
        <w:rPr>
          <w:rFonts w:hint="eastAsia"/>
          <w:snapToGrid w:val="0"/>
          <w:color w:val="000000" w:themeColor="text1"/>
          <w:kern w:val="0"/>
          <w:sz w:val="28"/>
          <w:szCs w:val="28"/>
        </w:rPr>
        <w:t>东北面及东面</w:t>
      </w:r>
      <w:r>
        <w:rPr>
          <w:snapToGrid w:val="0"/>
          <w:color w:val="000000" w:themeColor="text1"/>
          <w:kern w:val="0"/>
          <w:sz w:val="28"/>
          <w:szCs w:val="28"/>
        </w:rPr>
        <w:t>的民房发生火灾、爆炸事故或周边居民在节假日燃放烟花爆竹、鞭炮等可能对该项目造成火灾、爆炸、人员伤亡等危险，若该项目发生火灾、爆炸事故，会对周边的民房造成火灾危险</w:t>
      </w:r>
      <w:r>
        <w:rPr>
          <w:rFonts w:hint="eastAsia"/>
          <w:snapToGrid w:val="0"/>
          <w:color w:val="000000" w:themeColor="text1"/>
          <w:kern w:val="0"/>
          <w:sz w:val="28"/>
          <w:szCs w:val="28"/>
        </w:rPr>
        <w:t>。</w:t>
      </w:r>
    </w:p>
    <w:p>
      <w:pPr>
        <w:pStyle w:val="19"/>
        <w:spacing w:afterLines="100" w:line="500" w:lineRule="exact"/>
        <w:rPr>
          <w:rFonts w:ascii="黑体" w:hAnsi="宋体" w:eastAsia="黑体"/>
          <w:color w:val="000000" w:themeColor="text1"/>
          <w:kern w:val="3"/>
          <w:sz w:val="28"/>
          <w:szCs w:val="28"/>
        </w:rPr>
      </w:pPr>
      <w:bookmarkStart w:id="1061" w:name="_Toc23374"/>
      <w:bookmarkStart w:id="1062" w:name="_Toc382"/>
      <w:bookmarkStart w:id="1063" w:name="_Toc1285"/>
      <w:bookmarkStart w:id="1064" w:name="_Toc30188"/>
      <w:bookmarkStart w:id="1065" w:name="_Toc30279"/>
      <w:bookmarkStart w:id="1066" w:name="_Toc19883"/>
      <w:bookmarkStart w:id="1067" w:name="_Toc8387"/>
      <w:bookmarkStart w:id="1068" w:name="_Toc939"/>
      <w:bookmarkStart w:id="1069" w:name="_Toc6174"/>
      <w:bookmarkStart w:id="1070" w:name="_Toc7457"/>
      <w:r>
        <w:rPr>
          <w:rFonts w:hint="eastAsia" w:ascii="黑体" w:hAnsi="宋体" w:eastAsia="黑体"/>
          <w:color w:val="000000" w:themeColor="text1"/>
          <w:kern w:val="3"/>
          <w:sz w:val="28"/>
          <w:szCs w:val="28"/>
        </w:rPr>
        <w:t>3.5.2 总平面布置危险性分析</w:t>
      </w:r>
      <w:bookmarkEnd w:id="1061"/>
      <w:bookmarkEnd w:id="1062"/>
      <w:bookmarkEnd w:id="1063"/>
      <w:bookmarkEnd w:id="1064"/>
      <w:bookmarkEnd w:id="1065"/>
      <w:bookmarkEnd w:id="1066"/>
      <w:bookmarkEnd w:id="1067"/>
      <w:bookmarkEnd w:id="1068"/>
      <w:bookmarkEnd w:id="1069"/>
      <w:bookmarkEnd w:id="1070"/>
    </w:p>
    <w:p>
      <w:pPr>
        <w:tabs>
          <w:tab w:val="left" w:pos="3900"/>
        </w:tabs>
        <w:adjustRightInd w:val="0"/>
        <w:snapToGrid w:val="0"/>
        <w:spacing w:line="500" w:lineRule="exact"/>
        <w:ind w:firstLine="560" w:firstLineChars="200"/>
        <w:rPr>
          <w:snapToGrid w:val="0"/>
          <w:color w:val="000000" w:themeColor="text1"/>
          <w:kern w:val="0"/>
          <w:sz w:val="28"/>
          <w:szCs w:val="28"/>
        </w:rPr>
      </w:pPr>
      <w:r>
        <w:rPr>
          <w:snapToGrid w:val="0"/>
          <w:color w:val="000000" w:themeColor="text1"/>
          <w:kern w:val="0"/>
          <w:sz w:val="28"/>
          <w:szCs w:val="28"/>
        </w:rPr>
        <w:t>该项目的总平面布置主要包括功能分区、防火间距、风向、道路、竖向布置等方面的内容。若该项目功能分区不明确、厂内设施之间的防火间距不足、道路狭窄等均可能引发事故。总平面布置不合理主要可能导致：火灾、爆炸、车辆伤害等危险。</w:t>
      </w:r>
    </w:p>
    <w:p>
      <w:pPr>
        <w:tabs>
          <w:tab w:val="left" w:pos="3900"/>
        </w:tabs>
        <w:adjustRightInd w:val="0"/>
        <w:snapToGrid w:val="0"/>
        <w:spacing w:line="500" w:lineRule="exact"/>
        <w:ind w:firstLine="560" w:firstLineChars="200"/>
        <w:rPr>
          <w:snapToGrid w:val="0"/>
          <w:color w:val="000000" w:themeColor="text1"/>
          <w:kern w:val="0"/>
          <w:sz w:val="28"/>
          <w:szCs w:val="28"/>
        </w:rPr>
      </w:pPr>
      <w:r>
        <w:rPr>
          <w:snapToGrid w:val="0"/>
          <w:color w:val="000000" w:themeColor="text1"/>
          <w:kern w:val="0"/>
          <w:sz w:val="28"/>
          <w:szCs w:val="28"/>
        </w:rPr>
        <w:t>引发事故的原因主要有：</w:t>
      </w:r>
    </w:p>
    <w:p>
      <w:pPr>
        <w:tabs>
          <w:tab w:val="left" w:pos="3900"/>
        </w:tabs>
        <w:adjustRightInd w:val="0"/>
        <w:snapToGrid w:val="0"/>
        <w:spacing w:line="500" w:lineRule="exact"/>
        <w:ind w:firstLine="560" w:firstLineChars="200"/>
        <w:rPr>
          <w:snapToGrid w:val="0"/>
          <w:color w:val="000000" w:themeColor="text1"/>
          <w:kern w:val="0"/>
          <w:sz w:val="28"/>
          <w:szCs w:val="28"/>
        </w:rPr>
      </w:pPr>
      <w:r>
        <w:rPr>
          <w:snapToGrid w:val="0"/>
          <w:color w:val="000000" w:themeColor="text1"/>
          <w:kern w:val="0"/>
          <w:sz w:val="28"/>
          <w:szCs w:val="28"/>
        </w:rPr>
        <w:t>1.若甲醇罐车卸车过程中未设置警戒线进行隔离或未设置其他相应的安全警示标识，有可能发生车辆碰撞等，进而导致发生甲醇泄漏、火灾、爆炸、车辆伤害等危险</w:t>
      </w:r>
      <w:r>
        <w:rPr>
          <w:rFonts w:hint="eastAsia"/>
          <w:snapToGrid w:val="0"/>
          <w:color w:val="000000" w:themeColor="text1"/>
          <w:kern w:val="0"/>
          <w:sz w:val="28"/>
          <w:szCs w:val="28"/>
        </w:rPr>
        <w:t>。</w:t>
      </w:r>
    </w:p>
    <w:p>
      <w:pPr>
        <w:tabs>
          <w:tab w:val="left" w:pos="3900"/>
        </w:tabs>
        <w:adjustRightInd w:val="0"/>
        <w:snapToGrid w:val="0"/>
        <w:spacing w:line="500" w:lineRule="exact"/>
        <w:ind w:firstLine="560" w:firstLineChars="200"/>
        <w:rPr>
          <w:snapToGrid w:val="0"/>
          <w:color w:val="000000" w:themeColor="text1"/>
          <w:kern w:val="0"/>
          <w:sz w:val="28"/>
          <w:szCs w:val="28"/>
        </w:rPr>
      </w:pPr>
      <w:r>
        <w:rPr>
          <w:snapToGrid w:val="0"/>
          <w:color w:val="000000" w:themeColor="text1"/>
          <w:kern w:val="0"/>
          <w:sz w:val="28"/>
          <w:szCs w:val="28"/>
        </w:rPr>
        <w:t>2.若厂内人员缺乏安全意识，卸甲醇时闯入卸甲醇区或乱扔烟头等可引发火灾、爆炸事故</w:t>
      </w:r>
      <w:r>
        <w:rPr>
          <w:rFonts w:hint="eastAsia"/>
          <w:snapToGrid w:val="0"/>
          <w:color w:val="000000" w:themeColor="text1"/>
          <w:kern w:val="0"/>
          <w:sz w:val="28"/>
          <w:szCs w:val="28"/>
        </w:rPr>
        <w:t>。</w:t>
      </w:r>
    </w:p>
    <w:p>
      <w:pPr>
        <w:tabs>
          <w:tab w:val="left" w:pos="3900"/>
        </w:tabs>
        <w:adjustRightInd w:val="0"/>
        <w:snapToGrid w:val="0"/>
        <w:spacing w:line="500" w:lineRule="exact"/>
        <w:ind w:firstLine="560" w:firstLineChars="200"/>
        <w:rPr>
          <w:snapToGrid w:val="0"/>
          <w:color w:val="000000" w:themeColor="text1"/>
          <w:kern w:val="0"/>
          <w:sz w:val="28"/>
          <w:szCs w:val="28"/>
        </w:rPr>
      </w:pPr>
      <w:r>
        <w:rPr>
          <w:snapToGrid w:val="0"/>
          <w:color w:val="000000" w:themeColor="text1"/>
          <w:kern w:val="0"/>
          <w:sz w:val="28"/>
          <w:szCs w:val="28"/>
        </w:rPr>
        <w:t>3.厂内车辆出入频繁时，若出入口标识不清，操作人员引导不当，厂内车辆发生碰撞等，可能导致发生火灾、爆炸、车辆伤害等危险</w:t>
      </w:r>
      <w:r>
        <w:rPr>
          <w:rFonts w:hint="eastAsia"/>
          <w:snapToGrid w:val="0"/>
          <w:color w:val="000000" w:themeColor="text1"/>
          <w:kern w:val="0"/>
          <w:sz w:val="28"/>
          <w:szCs w:val="28"/>
        </w:rPr>
        <w:t>。</w:t>
      </w:r>
    </w:p>
    <w:p>
      <w:pPr>
        <w:tabs>
          <w:tab w:val="left" w:pos="3900"/>
        </w:tabs>
        <w:adjustRightInd w:val="0"/>
        <w:snapToGrid w:val="0"/>
        <w:spacing w:line="500" w:lineRule="exact"/>
        <w:ind w:firstLine="560" w:firstLineChars="200"/>
        <w:rPr>
          <w:snapToGrid w:val="0"/>
          <w:color w:val="000000" w:themeColor="text1"/>
          <w:kern w:val="0"/>
          <w:sz w:val="28"/>
          <w:szCs w:val="28"/>
        </w:rPr>
      </w:pPr>
      <w:r>
        <w:rPr>
          <w:snapToGrid w:val="0"/>
          <w:color w:val="000000" w:themeColor="text1"/>
          <w:kern w:val="0"/>
          <w:sz w:val="28"/>
          <w:szCs w:val="28"/>
        </w:rPr>
        <w:t>4.储罐区设置2个甲醇罐罐池，设置了1个</w:t>
      </w:r>
      <w:r>
        <w:rPr>
          <w:rFonts w:hint="eastAsia"/>
          <w:snapToGrid w:val="0"/>
          <w:color w:val="000000" w:themeColor="text1"/>
          <w:kern w:val="0"/>
          <w:sz w:val="28"/>
          <w:szCs w:val="28"/>
        </w:rPr>
        <w:t>水位</w:t>
      </w:r>
      <w:r>
        <w:rPr>
          <w:snapToGrid w:val="0"/>
          <w:color w:val="000000" w:themeColor="text1"/>
          <w:kern w:val="0"/>
          <w:sz w:val="28"/>
          <w:szCs w:val="28"/>
        </w:rPr>
        <w:t>观察井，若罐池防渗不当或地表水、雨水渗入池内，若不及时抽出，可能引发储罐上浮</w:t>
      </w:r>
      <w:r>
        <w:rPr>
          <w:rFonts w:hint="eastAsia"/>
          <w:snapToGrid w:val="0"/>
          <w:color w:val="000000" w:themeColor="text1"/>
          <w:kern w:val="0"/>
          <w:sz w:val="28"/>
          <w:szCs w:val="28"/>
        </w:rPr>
        <w:t>。</w:t>
      </w:r>
    </w:p>
    <w:p>
      <w:pPr>
        <w:tabs>
          <w:tab w:val="left" w:pos="3900"/>
        </w:tabs>
        <w:adjustRightInd w:val="0"/>
        <w:snapToGrid w:val="0"/>
        <w:spacing w:line="500" w:lineRule="exact"/>
        <w:ind w:firstLine="560" w:firstLineChars="200"/>
        <w:rPr>
          <w:snapToGrid w:val="0"/>
          <w:color w:val="000000" w:themeColor="text1"/>
          <w:kern w:val="0"/>
          <w:sz w:val="28"/>
          <w:szCs w:val="28"/>
        </w:rPr>
      </w:pPr>
      <w:r>
        <w:rPr>
          <w:snapToGrid w:val="0"/>
          <w:color w:val="000000" w:themeColor="text1"/>
          <w:kern w:val="0"/>
          <w:sz w:val="28"/>
          <w:szCs w:val="28"/>
        </w:rPr>
        <w:t>5.厂内消防通道堆放物品导致消防通道受阻，如果厂区发生火灾事故，可能导致救援不力致使事故扩大。</w:t>
      </w:r>
    </w:p>
    <w:p>
      <w:pPr>
        <w:pStyle w:val="19"/>
        <w:spacing w:afterLines="100" w:line="500" w:lineRule="exact"/>
        <w:rPr>
          <w:rFonts w:ascii="黑体" w:hAnsi="宋体" w:eastAsia="黑体"/>
          <w:color w:val="000000" w:themeColor="text1"/>
          <w:kern w:val="3"/>
          <w:sz w:val="28"/>
          <w:szCs w:val="28"/>
        </w:rPr>
      </w:pPr>
      <w:bookmarkStart w:id="1071" w:name="_Toc21358"/>
      <w:bookmarkStart w:id="1072" w:name="_Toc28314"/>
      <w:bookmarkStart w:id="1073" w:name="_Toc28527"/>
      <w:bookmarkStart w:id="1074" w:name="_Toc9605"/>
      <w:bookmarkStart w:id="1075" w:name="_Toc11490"/>
      <w:bookmarkStart w:id="1076" w:name="_Toc4998"/>
      <w:bookmarkStart w:id="1077" w:name="_Toc2387"/>
      <w:bookmarkStart w:id="1078" w:name="_Toc22269"/>
      <w:bookmarkStart w:id="1079" w:name="_Toc25706"/>
      <w:bookmarkStart w:id="1080" w:name="_Toc9079"/>
      <w:r>
        <w:rPr>
          <w:rFonts w:hint="eastAsia" w:ascii="黑体" w:hAnsi="宋体" w:eastAsia="黑体"/>
          <w:color w:val="000000" w:themeColor="text1"/>
          <w:kern w:val="3"/>
          <w:sz w:val="28"/>
          <w:szCs w:val="28"/>
        </w:rPr>
        <w:t>3.5.3甲醇储存、装卸工艺设备、设施危险性分析</w:t>
      </w:r>
      <w:bookmarkEnd w:id="1071"/>
      <w:bookmarkEnd w:id="1072"/>
      <w:bookmarkEnd w:id="1073"/>
      <w:bookmarkEnd w:id="1074"/>
      <w:bookmarkEnd w:id="1075"/>
      <w:bookmarkEnd w:id="1076"/>
      <w:bookmarkEnd w:id="1077"/>
      <w:bookmarkEnd w:id="1078"/>
      <w:bookmarkEnd w:id="1079"/>
      <w:bookmarkEnd w:id="1080"/>
    </w:p>
    <w:p>
      <w:pPr>
        <w:pStyle w:val="19"/>
        <w:spacing w:afterLines="100" w:line="500" w:lineRule="exact"/>
        <w:rPr>
          <w:rFonts w:ascii="黑体" w:hAnsi="宋体" w:eastAsia="黑体"/>
          <w:color w:val="000000" w:themeColor="text1"/>
          <w:kern w:val="3"/>
          <w:sz w:val="28"/>
          <w:szCs w:val="28"/>
        </w:rPr>
      </w:pPr>
      <w:bookmarkStart w:id="1081" w:name="_Toc32054"/>
      <w:bookmarkStart w:id="1082" w:name="_Toc21486"/>
      <w:bookmarkStart w:id="1083" w:name="_Toc71710904"/>
      <w:bookmarkStart w:id="1084" w:name="_Toc25224"/>
      <w:bookmarkStart w:id="1085" w:name="_Toc71558471"/>
      <w:bookmarkStart w:id="1086" w:name="_Toc9157"/>
      <w:r>
        <w:rPr>
          <w:rFonts w:hint="eastAsia" w:ascii="黑体" w:hAnsi="宋体" w:eastAsia="黑体"/>
          <w:color w:val="000000" w:themeColor="text1"/>
          <w:kern w:val="3"/>
          <w:sz w:val="28"/>
          <w:szCs w:val="28"/>
        </w:rPr>
        <w:t>3.5.3.1 甲醇储罐危险性分析</w:t>
      </w:r>
      <w:bookmarkEnd w:id="1081"/>
      <w:bookmarkEnd w:id="1082"/>
      <w:bookmarkEnd w:id="1083"/>
      <w:bookmarkEnd w:id="1084"/>
      <w:bookmarkEnd w:id="1085"/>
      <w:bookmarkEnd w:id="1086"/>
    </w:p>
    <w:p>
      <w:pPr>
        <w:tabs>
          <w:tab w:val="left" w:pos="3900"/>
        </w:tabs>
        <w:adjustRightInd w:val="0"/>
        <w:snapToGrid w:val="0"/>
        <w:spacing w:line="500" w:lineRule="exact"/>
        <w:ind w:firstLine="560" w:firstLineChars="200"/>
        <w:rPr>
          <w:snapToGrid w:val="0"/>
          <w:color w:val="000000" w:themeColor="text1"/>
          <w:kern w:val="0"/>
          <w:sz w:val="28"/>
          <w:szCs w:val="28"/>
        </w:rPr>
      </w:pPr>
      <w:bookmarkStart w:id="1087" w:name="_Toc71558472"/>
      <w:bookmarkStart w:id="1088" w:name="_Toc71710905"/>
      <w:r>
        <w:rPr>
          <w:snapToGrid w:val="0"/>
          <w:color w:val="000000" w:themeColor="text1"/>
          <w:kern w:val="0"/>
          <w:sz w:val="28"/>
          <w:szCs w:val="28"/>
        </w:rPr>
        <w:t>该项目储罐主要存在：因甲醇泄漏引发火灾、爆炸的危险及雷电和静电危害。</w:t>
      </w:r>
    </w:p>
    <w:p>
      <w:pPr>
        <w:tabs>
          <w:tab w:val="left" w:pos="3900"/>
        </w:tabs>
        <w:adjustRightInd w:val="0"/>
        <w:snapToGrid w:val="0"/>
        <w:spacing w:line="500" w:lineRule="exact"/>
        <w:ind w:firstLine="560" w:firstLineChars="200"/>
        <w:rPr>
          <w:snapToGrid w:val="0"/>
          <w:color w:val="000000" w:themeColor="text1"/>
          <w:kern w:val="0"/>
          <w:sz w:val="28"/>
          <w:szCs w:val="28"/>
        </w:rPr>
      </w:pPr>
      <w:r>
        <w:rPr>
          <w:snapToGrid w:val="0"/>
          <w:color w:val="000000" w:themeColor="text1"/>
          <w:kern w:val="0"/>
          <w:sz w:val="28"/>
          <w:szCs w:val="28"/>
        </w:rPr>
        <w:t>引发事故的原因主要有：</w:t>
      </w:r>
    </w:p>
    <w:p>
      <w:pPr>
        <w:tabs>
          <w:tab w:val="left" w:pos="3900"/>
        </w:tabs>
        <w:adjustRightInd w:val="0"/>
        <w:snapToGrid w:val="0"/>
        <w:spacing w:line="500" w:lineRule="exact"/>
        <w:ind w:firstLine="560" w:firstLineChars="200"/>
        <w:rPr>
          <w:snapToGrid w:val="0"/>
          <w:color w:val="000000" w:themeColor="text1"/>
          <w:kern w:val="0"/>
          <w:sz w:val="28"/>
          <w:szCs w:val="28"/>
        </w:rPr>
      </w:pPr>
      <w:r>
        <w:rPr>
          <w:snapToGrid w:val="0"/>
          <w:color w:val="000000" w:themeColor="text1"/>
          <w:kern w:val="0"/>
          <w:sz w:val="28"/>
          <w:szCs w:val="28"/>
        </w:rPr>
        <w:t>1.超年限使用储罐</w:t>
      </w:r>
      <w:r>
        <w:rPr>
          <w:rFonts w:hint="eastAsia"/>
          <w:snapToGrid w:val="0"/>
          <w:color w:val="000000" w:themeColor="text1"/>
          <w:kern w:val="0"/>
          <w:sz w:val="28"/>
          <w:szCs w:val="28"/>
        </w:rPr>
        <w:t>。</w:t>
      </w:r>
    </w:p>
    <w:p>
      <w:pPr>
        <w:tabs>
          <w:tab w:val="left" w:pos="3900"/>
        </w:tabs>
        <w:adjustRightInd w:val="0"/>
        <w:snapToGrid w:val="0"/>
        <w:spacing w:line="500" w:lineRule="exact"/>
        <w:ind w:firstLine="560" w:firstLineChars="200"/>
        <w:rPr>
          <w:snapToGrid w:val="0"/>
          <w:color w:val="000000" w:themeColor="text1"/>
          <w:kern w:val="0"/>
          <w:sz w:val="28"/>
          <w:szCs w:val="28"/>
        </w:rPr>
      </w:pPr>
      <w:r>
        <w:rPr>
          <w:snapToGrid w:val="0"/>
          <w:color w:val="000000" w:themeColor="text1"/>
          <w:kern w:val="0"/>
          <w:sz w:val="28"/>
          <w:szCs w:val="28"/>
        </w:rPr>
        <w:t>2.违章指挥或违章操作，如违章动火、未穿戴防静电工作服、液位监控不及时等造成甲醇蒸气外逸遇明火引爆</w:t>
      </w:r>
      <w:r>
        <w:rPr>
          <w:rFonts w:hint="eastAsia"/>
          <w:snapToGrid w:val="0"/>
          <w:color w:val="000000" w:themeColor="text1"/>
          <w:kern w:val="0"/>
          <w:sz w:val="28"/>
          <w:szCs w:val="28"/>
        </w:rPr>
        <w:t>。</w:t>
      </w:r>
    </w:p>
    <w:p>
      <w:pPr>
        <w:tabs>
          <w:tab w:val="left" w:pos="3900"/>
        </w:tabs>
        <w:adjustRightInd w:val="0"/>
        <w:snapToGrid w:val="0"/>
        <w:spacing w:line="500" w:lineRule="exact"/>
        <w:ind w:firstLine="560" w:firstLineChars="200"/>
        <w:rPr>
          <w:snapToGrid w:val="0"/>
          <w:color w:val="000000" w:themeColor="text1"/>
          <w:kern w:val="0"/>
          <w:sz w:val="28"/>
          <w:szCs w:val="28"/>
        </w:rPr>
      </w:pPr>
      <w:r>
        <w:rPr>
          <w:snapToGrid w:val="0"/>
          <w:color w:val="000000" w:themeColor="text1"/>
          <w:kern w:val="0"/>
          <w:sz w:val="28"/>
          <w:szCs w:val="28"/>
        </w:rPr>
        <w:t>3.防雷接地电阻超标，通气管遇雷击，或静电火花引燃引爆</w:t>
      </w:r>
      <w:r>
        <w:rPr>
          <w:rFonts w:hint="eastAsia"/>
          <w:snapToGrid w:val="0"/>
          <w:color w:val="000000" w:themeColor="text1"/>
          <w:kern w:val="0"/>
          <w:sz w:val="28"/>
          <w:szCs w:val="28"/>
        </w:rPr>
        <w:t>。</w:t>
      </w:r>
    </w:p>
    <w:p>
      <w:pPr>
        <w:tabs>
          <w:tab w:val="left" w:pos="3900"/>
        </w:tabs>
        <w:adjustRightInd w:val="0"/>
        <w:snapToGrid w:val="0"/>
        <w:spacing w:line="500" w:lineRule="exact"/>
        <w:ind w:firstLine="560" w:firstLineChars="200"/>
        <w:rPr>
          <w:snapToGrid w:val="0"/>
          <w:color w:val="000000" w:themeColor="text1"/>
          <w:kern w:val="0"/>
          <w:sz w:val="28"/>
          <w:szCs w:val="28"/>
        </w:rPr>
      </w:pPr>
      <w:r>
        <w:rPr>
          <w:snapToGrid w:val="0"/>
          <w:color w:val="000000" w:themeColor="text1"/>
          <w:kern w:val="0"/>
          <w:sz w:val="28"/>
          <w:szCs w:val="28"/>
        </w:rPr>
        <w:t>4.储罐或卸甲醇管道阀门连接不当，密封不良造成甲醇泄漏</w:t>
      </w:r>
      <w:r>
        <w:rPr>
          <w:rFonts w:hint="eastAsia"/>
          <w:snapToGrid w:val="0"/>
          <w:color w:val="000000" w:themeColor="text1"/>
          <w:kern w:val="0"/>
          <w:sz w:val="28"/>
          <w:szCs w:val="28"/>
        </w:rPr>
        <w:t>。</w:t>
      </w:r>
    </w:p>
    <w:p>
      <w:pPr>
        <w:tabs>
          <w:tab w:val="left" w:pos="3900"/>
        </w:tabs>
        <w:adjustRightInd w:val="0"/>
        <w:snapToGrid w:val="0"/>
        <w:spacing w:line="500" w:lineRule="exact"/>
        <w:ind w:firstLine="560" w:firstLineChars="200"/>
        <w:rPr>
          <w:snapToGrid w:val="0"/>
          <w:color w:val="000000" w:themeColor="text1"/>
          <w:kern w:val="0"/>
          <w:sz w:val="28"/>
          <w:szCs w:val="28"/>
        </w:rPr>
      </w:pPr>
      <w:r>
        <w:rPr>
          <w:snapToGrid w:val="0"/>
          <w:color w:val="000000" w:themeColor="text1"/>
          <w:kern w:val="0"/>
          <w:sz w:val="28"/>
          <w:szCs w:val="28"/>
        </w:rPr>
        <w:t>另外，进入甲醇储罐进行有限空间作业时，未进行置换、检测，直接进入储罐内进行维修作业，可能造成人员中毒、窒息等事故。</w:t>
      </w:r>
    </w:p>
    <w:p>
      <w:pPr>
        <w:pStyle w:val="19"/>
        <w:spacing w:afterLines="100" w:line="500" w:lineRule="exact"/>
        <w:rPr>
          <w:rFonts w:ascii="黑体" w:hAnsi="宋体" w:eastAsia="黑体"/>
          <w:color w:val="000000" w:themeColor="text1"/>
          <w:kern w:val="3"/>
          <w:sz w:val="28"/>
          <w:szCs w:val="28"/>
        </w:rPr>
      </w:pPr>
      <w:bookmarkStart w:id="1089" w:name="_Toc7757"/>
      <w:bookmarkStart w:id="1090" w:name="_Toc30752"/>
      <w:bookmarkStart w:id="1091" w:name="_Toc12829"/>
      <w:bookmarkStart w:id="1092" w:name="_Toc2393"/>
      <w:r>
        <w:rPr>
          <w:rFonts w:hint="eastAsia" w:ascii="黑体" w:hAnsi="宋体" w:eastAsia="黑体"/>
          <w:color w:val="000000" w:themeColor="text1"/>
          <w:kern w:val="3"/>
          <w:sz w:val="28"/>
          <w:szCs w:val="28"/>
        </w:rPr>
        <w:t>3.5.3.2汽车装卸设施危险性分析</w:t>
      </w:r>
      <w:bookmarkEnd w:id="1087"/>
      <w:bookmarkEnd w:id="1088"/>
      <w:bookmarkEnd w:id="1089"/>
      <w:bookmarkEnd w:id="1090"/>
      <w:bookmarkEnd w:id="1091"/>
      <w:bookmarkEnd w:id="1092"/>
    </w:p>
    <w:p>
      <w:pPr>
        <w:tabs>
          <w:tab w:val="left" w:pos="3900"/>
        </w:tabs>
        <w:adjustRightInd w:val="0"/>
        <w:snapToGrid w:val="0"/>
        <w:spacing w:line="500" w:lineRule="exact"/>
        <w:ind w:firstLine="560" w:firstLineChars="200"/>
        <w:rPr>
          <w:rFonts w:eastAsiaTheme="minorEastAsia"/>
          <w:color w:val="000000" w:themeColor="text1"/>
          <w:sz w:val="28"/>
          <w:szCs w:val="28"/>
        </w:rPr>
      </w:pPr>
      <w:r>
        <w:rPr>
          <w:rFonts w:eastAsiaTheme="minorEastAsia"/>
          <w:color w:val="000000" w:themeColor="text1"/>
          <w:sz w:val="28"/>
          <w:szCs w:val="28"/>
        </w:rPr>
        <w:t>该项目甲醇采用汽车运输至厂内卸车点，然后卸入储罐后用塑料桶分装后装车外售。其中卸车点设有1个卸车口，如卸车口或分装器具及安全设施存在缺陷会引发安全事故。</w:t>
      </w:r>
    </w:p>
    <w:p>
      <w:pPr>
        <w:tabs>
          <w:tab w:val="left" w:pos="3900"/>
        </w:tabs>
        <w:adjustRightInd w:val="0"/>
        <w:snapToGrid w:val="0"/>
        <w:spacing w:line="500" w:lineRule="exact"/>
        <w:ind w:firstLine="560" w:firstLineChars="200"/>
        <w:rPr>
          <w:rFonts w:eastAsiaTheme="minorEastAsia"/>
          <w:color w:val="000000" w:themeColor="text1"/>
          <w:sz w:val="28"/>
          <w:szCs w:val="28"/>
        </w:rPr>
      </w:pPr>
      <w:r>
        <w:rPr>
          <w:rFonts w:eastAsiaTheme="minorEastAsia"/>
          <w:color w:val="000000" w:themeColor="text1"/>
          <w:sz w:val="28"/>
          <w:szCs w:val="28"/>
        </w:rPr>
        <w:t>1</w:t>
      </w:r>
      <w:r>
        <w:rPr>
          <w:rFonts w:hint="eastAsia" w:eastAsiaTheme="minorEastAsia"/>
          <w:color w:val="000000" w:themeColor="text1"/>
          <w:sz w:val="28"/>
          <w:szCs w:val="28"/>
        </w:rPr>
        <w:t>.</w:t>
      </w:r>
      <w:r>
        <w:rPr>
          <w:rFonts w:eastAsiaTheme="minorEastAsia"/>
          <w:color w:val="000000" w:themeColor="text1"/>
          <w:sz w:val="28"/>
          <w:szCs w:val="28"/>
        </w:rPr>
        <w:t>采用敞开式分装作业有可能造成甲醇或其蒸气泄漏而引发火灾、中毒等危险。</w:t>
      </w:r>
    </w:p>
    <w:p>
      <w:pPr>
        <w:tabs>
          <w:tab w:val="left" w:pos="3900"/>
        </w:tabs>
        <w:adjustRightInd w:val="0"/>
        <w:snapToGrid w:val="0"/>
        <w:spacing w:line="500" w:lineRule="exact"/>
        <w:ind w:firstLine="560" w:firstLineChars="200"/>
        <w:rPr>
          <w:rFonts w:eastAsiaTheme="minorEastAsia"/>
          <w:color w:val="000000" w:themeColor="text1"/>
          <w:sz w:val="28"/>
          <w:szCs w:val="28"/>
        </w:rPr>
      </w:pPr>
      <w:r>
        <w:rPr>
          <w:rFonts w:eastAsiaTheme="minorEastAsia"/>
          <w:color w:val="000000" w:themeColor="text1"/>
          <w:sz w:val="28"/>
          <w:szCs w:val="28"/>
        </w:rPr>
        <w:t>2</w:t>
      </w:r>
      <w:r>
        <w:rPr>
          <w:rFonts w:hint="eastAsia" w:eastAsiaTheme="minorEastAsia"/>
          <w:color w:val="000000" w:themeColor="text1"/>
          <w:sz w:val="28"/>
          <w:szCs w:val="28"/>
        </w:rPr>
        <w:t>.</w:t>
      </w:r>
      <w:r>
        <w:rPr>
          <w:rFonts w:eastAsiaTheme="minorEastAsia"/>
          <w:color w:val="000000" w:themeColor="text1"/>
          <w:sz w:val="28"/>
          <w:szCs w:val="28"/>
        </w:rPr>
        <w:t>卸车口或分装器具未采取防静电接地措施或设置缺陷，卸车时未按要求连接卸车用防静电接地夹使用或分装作业选用的器具不适均有可能由于静电危害而引发火灾危险，</w:t>
      </w:r>
    </w:p>
    <w:p>
      <w:pPr>
        <w:tabs>
          <w:tab w:val="left" w:pos="3900"/>
        </w:tabs>
        <w:adjustRightInd w:val="0"/>
        <w:snapToGrid w:val="0"/>
        <w:spacing w:line="500" w:lineRule="exact"/>
        <w:ind w:firstLine="560" w:firstLineChars="200"/>
        <w:rPr>
          <w:rFonts w:eastAsiaTheme="minorEastAsia"/>
          <w:color w:val="000000" w:themeColor="text1"/>
          <w:sz w:val="28"/>
          <w:szCs w:val="28"/>
        </w:rPr>
      </w:pPr>
      <w:r>
        <w:rPr>
          <w:rFonts w:eastAsiaTheme="minorEastAsia"/>
          <w:color w:val="000000" w:themeColor="text1"/>
          <w:sz w:val="28"/>
          <w:szCs w:val="28"/>
        </w:rPr>
        <w:t>3</w:t>
      </w:r>
      <w:r>
        <w:rPr>
          <w:rFonts w:hint="eastAsia" w:eastAsiaTheme="minorEastAsia"/>
          <w:color w:val="000000" w:themeColor="text1"/>
          <w:sz w:val="28"/>
          <w:szCs w:val="28"/>
        </w:rPr>
        <w:t>.</w:t>
      </w:r>
      <w:r>
        <w:rPr>
          <w:rFonts w:eastAsiaTheme="minorEastAsia"/>
          <w:color w:val="000000" w:themeColor="text1"/>
          <w:sz w:val="28"/>
          <w:szCs w:val="28"/>
        </w:rPr>
        <w:t>卸车口及其管线未采取固定措施，</w:t>
      </w:r>
      <w:r>
        <w:rPr>
          <w:color w:val="000000" w:themeColor="text1"/>
          <w:sz w:val="28"/>
          <w:szCs w:val="28"/>
        </w:rPr>
        <w:t>管路支座及管路本身有异常振动或变形，</w:t>
      </w:r>
      <w:r>
        <w:rPr>
          <w:rFonts w:eastAsiaTheme="minorEastAsia"/>
          <w:color w:val="000000" w:themeColor="text1"/>
          <w:sz w:val="28"/>
          <w:szCs w:val="28"/>
        </w:rPr>
        <w:t>或存在卸车</w:t>
      </w:r>
      <w:r>
        <w:rPr>
          <w:color w:val="000000" w:themeColor="text1"/>
          <w:sz w:val="28"/>
          <w:szCs w:val="28"/>
        </w:rPr>
        <w:t>管路发生锈蚀穿孔，输送管路上的法兰、阀门、焊接等处连接不紧密等缺陷均有可能发生甲醇泄漏而引发安全事故。</w:t>
      </w:r>
    </w:p>
    <w:p>
      <w:pPr>
        <w:tabs>
          <w:tab w:val="left" w:pos="3900"/>
        </w:tabs>
        <w:adjustRightInd w:val="0"/>
        <w:snapToGrid w:val="0"/>
        <w:spacing w:line="500" w:lineRule="exact"/>
        <w:ind w:firstLine="560" w:firstLineChars="200"/>
        <w:rPr>
          <w:rFonts w:eastAsiaTheme="minorEastAsia"/>
          <w:color w:val="000000" w:themeColor="text1"/>
          <w:sz w:val="28"/>
          <w:szCs w:val="28"/>
        </w:rPr>
      </w:pPr>
      <w:r>
        <w:rPr>
          <w:rFonts w:eastAsiaTheme="minorEastAsia"/>
          <w:color w:val="000000" w:themeColor="text1"/>
          <w:sz w:val="28"/>
          <w:szCs w:val="28"/>
        </w:rPr>
        <w:t>4</w:t>
      </w:r>
      <w:r>
        <w:rPr>
          <w:rFonts w:hint="eastAsia" w:eastAsiaTheme="minorEastAsia"/>
          <w:color w:val="000000" w:themeColor="text1"/>
          <w:sz w:val="28"/>
          <w:szCs w:val="28"/>
        </w:rPr>
        <w:t>.</w:t>
      </w:r>
      <w:r>
        <w:rPr>
          <w:rFonts w:eastAsiaTheme="minorEastAsia"/>
          <w:color w:val="000000" w:themeColor="text1"/>
          <w:sz w:val="28"/>
          <w:szCs w:val="28"/>
        </w:rPr>
        <w:t>分装作业过程中，如使用的计量器具计量不准，即未采取有效定量分装系统，在操作过程中，有可能因计量不准确而导致装桶过满，甲醇外溢引发火灾、中毒等事故。</w:t>
      </w:r>
    </w:p>
    <w:p>
      <w:pPr>
        <w:tabs>
          <w:tab w:val="left" w:pos="3900"/>
        </w:tabs>
        <w:adjustRightInd w:val="0"/>
        <w:snapToGrid w:val="0"/>
        <w:spacing w:line="500" w:lineRule="exact"/>
        <w:ind w:firstLine="560" w:firstLineChars="200"/>
        <w:rPr>
          <w:rFonts w:eastAsiaTheme="minorEastAsia"/>
          <w:color w:val="000000" w:themeColor="text1"/>
          <w:sz w:val="28"/>
          <w:szCs w:val="28"/>
        </w:rPr>
      </w:pPr>
      <w:r>
        <w:rPr>
          <w:rFonts w:eastAsiaTheme="minorEastAsia"/>
          <w:color w:val="000000" w:themeColor="text1"/>
          <w:sz w:val="28"/>
          <w:szCs w:val="28"/>
        </w:rPr>
        <w:t>5</w:t>
      </w:r>
      <w:r>
        <w:rPr>
          <w:rFonts w:hint="eastAsia" w:eastAsiaTheme="minorEastAsia"/>
          <w:color w:val="000000" w:themeColor="text1"/>
          <w:sz w:val="28"/>
          <w:szCs w:val="28"/>
        </w:rPr>
        <w:t>.</w:t>
      </w:r>
      <w:r>
        <w:rPr>
          <w:rFonts w:eastAsiaTheme="minorEastAsia"/>
          <w:color w:val="000000" w:themeColor="text1"/>
          <w:sz w:val="28"/>
          <w:szCs w:val="28"/>
        </w:rPr>
        <w:t>汽车卸车过程或分装作业过程等发生跑、冒、滴、漏现象而未对泄漏的甲醇进行及时处理或处理不当会引发火灾、中毒等事故。</w:t>
      </w:r>
    </w:p>
    <w:p>
      <w:pPr>
        <w:tabs>
          <w:tab w:val="left" w:pos="3900"/>
        </w:tabs>
        <w:adjustRightInd w:val="0"/>
        <w:snapToGrid w:val="0"/>
        <w:spacing w:line="500" w:lineRule="exact"/>
        <w:ind w:firstLine="560" w:firstLineChars="200"/>
        <w:rPr>
          <w:rFonts w:eastAsiaTheme="minorEastAsia"/>
          <w:color w:val="000000" w:themeColor="text1"/>
          <w:sz w:val="28"/>
          <w:szCs w:val="28"/>
        </w:rPr>
      </w:pPr>
      <w:r>
        <w:rPr>
          <w:rFonts w:eastAsiaTheme="minorEastAsia"/>
          <w:color w:val="000000" w:themeColor="text1"/>
          <w:sz w:val="28"/>
          <w:szCs w:val="28"/>
        </w:rPr>
        <w:t>6</w:t>
      </w:r>
      <w:r>
        <w:rPr>
          <w:rFonts w:hint="eastAsia" w:eastAsiaTheme="minorEastAsia"/>
          <w:color w:val="000000" w:themeColor="text1"/>
          <w:sz w:val="28"/>
          <w:szCs w:val="28"/>
        </w:rPr>
        <w:t>.</w:t>
      </w:r>
      <w:r>
        <w:rPr>
          <w:rFonts w:eastAsiaTheme="minorEastAsia"/>
          <w:color w:val="000000" w:themeColor="text1"/>
          <w:sz w:val="28"/>
          <w:szCs w:val="28"/>
        </w:rPr>
        <w:t>防雷装置缺失或汽车卸车、分装作业未设有效的人体静电消除装置等均引发雷电和静电危害，进而造成火灾危险。</w:t>
      </w:r>
    </w:p>
    <w:p>
      <w:pPr>
        <w:tabs>
          <w:tab w:val="left" w:pos="3900"/>
        </w:tabs>
        <w:adjustRightInd w:val="0"/>
        <w:snapToGrid w:val="0"/>
        <w:spacing w:line="500" w:lineRule="exact"/>
        <w:ind w:firstLine="560" w:firstLineChars="200"/>
        <w:rPr>
          <w:rFonts w:eastAsiaTheme="minorEastAsia"/>
          <w:color w:val="000000" w:themeColor="text1"/>
          <w:sz w:val="28"/>
          <w:szCs w:val="28"/>
        </w:rPr>
      </w:pPr>
      <w:r>
        <w:rPr>
          <w:rFonts w:eastAsiaTheme="minorEastAsia"/>
          <w:color w:val="000000" w:themeColor="text1"/>
          <w:sz w:val="28"/>
          <w:szCs w:val="28"/>
        </w:rPr>
        <w:t>7</w:t>
      </w:r>
      <w:r>
        <w:rPr>
          <w:rFonts w:hint="eastAsia" w:eastAsiaTheme="minorEastAsia"/>
          <w:color w:val="000000" w:themeColor="text1"/>
          <w:sz w:val="28"/>
          <w:szCs w:val="28"/>
        </w:rPr>
        <w:t>.</w:t>
      </w:r>
      <w:r>
        <w:rPr>
          <w:rFonts w:eastAsiaTheme="minorEastAsia"/>
          <w:color w:val="000000" w:themeColor="text1"/>
          <w:sz w:val="28"/>
          <w:szCs w:val="28"/>
        </w:rPr>
        <w:t>其他引发事故的原因。</w:t>
      </w:r>
    </w:p>
    <w:p>
      <w:pPr>
        <w:pStyle w:val="19"/>
        <w:spacing w:afterLines="100" w:line="500" w:lineRule="exact"/>
        <w:rPr>
          <w:rFonts w:ascii="黑体" w:hAnsi="宋体" w:eastAsia="黑体"/>
          <w:color w:val="000000" w:themeColor="text1"/>
          <w:kern w:val="3"/>
          <w:sz w:val="28"/>
          <w:szCs w:val="28"/>
        </w:rPr>
      </w:pPr>
      <w:bookmarkStart w:id="1093" w:name="_Toc71710906"/>
      <w:bookmarkStart w:id="1094" w:name="_Toc29720"/>
      <w:bookmarkStart w:id="1095" w:name="_Toc14769"/>
      <w:bookmarkStart w:id="1096" w:name="_Toc71558473"/>
      <w:bookmarkStart w:id="1097" w:name="_Toc17215"/>
      <w:bookmarkStart w:id="1098" w:name="_Toc17510"/>
      <w:r>
        <w:rPr>
          <w:rFonts w:hint="eastAsia" w:ascii="黑体" w:hAnsi="宋体" w:eastAsia="黑体"/>
          <w:color w:val="000000" w:themeColor="text1"/>
          <w:kern w:val="3"/>
          <w:sz w:val="28"/>
          <w:szCs w:val="28"/>
        </w:rPr>
        <w:t>3.5.3.3设备危险性分析</w:t>
      </w:r>
      <w:bookmarkEnd w:id="1093"/>
      <w:bookmarkEnd w:id="1094"/>
      <w:bookmarkEnd w:id="1095"/>
      <w:bookmarkEnd w:id="1096"/>
      <w:bookmarkEnd w:id="1097"/>
      <w:bookmarkEnd w:id="1098"/>
    </w:p>
    <w:p>
      <w:pPr>
        <w:tabs>
          <w:tab w:val="left" w:pos="3900"/>
        </w:tabs>
        <w:adjustRightInd w:val="0"/>
        <w:snapToGrid w:val="0"/>
        <w:spacing w:line="500" w:lineRule="exact"/>
        <w:ind w:firstLine="560" w:firstLineChars="200"/>
        <w:rPr>
          <w:rFonts w:eastAsiaTheme="minorEastAsia"/>
          <w:color w:val="000000" w:themeColor="text1"/>
          <w:sz w:val="28"/>
          <w:szCs w:val="28"/>
        </w:rPr>
      </w:pPr>
      <w:r>
        <w:rPr>
          <w:rFonts w:eastAsiaTheme="minorEastAsia"/>
          <w:color w:val="000000" w:themeColor="text1"/>
          <w:sz w:val="28"/>
          <w:szCs w:val="28"/>
        </w:rPr>
        <w:t>该项目设有甲醇</w:t>
      </w:r>
      <w:r>
        <w:rPr>
          <w:rFonts w:hint="eastAsia" w:eastAsiaTheme="minorEastAsia"/>
          <w:color w:val="000000" w:themeColor="text1"/>
          <w:sz w:val="28"/>
          <w:szCs w:val="28"/>
        </w:rPr>
        <w:t>加注机</w:t>
      </w:r>
      <w:r>
        <w:rPr>
          <w:rFonts w:eastAsiaTheme="minorEastAsia"/>
          <w:color w:val="000000" w:themeColor="text1"/>
          <w:sz w:val="28"/>
          <w:szCs w:val="28"/>
        </w:rPr>
        <w:t>等，如甲醇</w:t>
      </w:r>
      <w:r>
        <w:rPr>
          <w:rFonts w:hint="eastAsia" w:eastAsiaTheme="minorEastAsia"/>
          <w:color w:val="000000" w:themeColor="text1"/>
          <w:sz w:val="28"/>
          <w:szCs w:val="28"/>
        </w:rPr>
        <w:t>加注机</w:t>
      </w:r>
      <w:r>
        <w:rPr>
          <w:rFonts w:eastAsiaTheme="minorEastAsia"/>
          <w:color w:val="000000" w:themeColor="text1"/>
          <w:sz w:val="28"/>
          <w:szCs w:val="28"/>
        </w:rPr>
        <w:t>及其安全附件缺失、损坏可能造成甲醇泄漏、机械伤害等安全事故，其主要引发原因分析如下：</w:t>
      </w:r>
    </w:p>
    <w:p>
      <w:pPr>
        <w:tabs>
          <w:tab w:val="left" w:pos="3900"/>
        </w:tabs>
        <w:adjustRightInd w:val="0"/>
        <w:snapToGrid w:val="0"/>
        <w:spacing w:line="500" w:lineRule="exact"/>
        <w:ind w:firstLine="560" w:firstLineChars="200"/>
        <w:rPr>
          <w:rFonts w:eastAsiaTheme="minorEastAsia"/>
          <w:color w:val="000000" w:themeColor="text1"/>
          <w:sz w:val="28"/>
          <w:szCs w:val="28"/>
        </w:rPr>
      </w:pPr>
      <w:r>
        <w:rPr>
          <w:rFonts w:eastAsiaTheme="minorEastAsia"/>
          <w:color w:val="000000" w:themeColor="text1"/>
          <w:sz w:val="28"/>
          <w:szCs w:val="28"/>
        </w:rPr>
        <w:t>1</w:t>
      </w:r>
      <w:r>
        <w:rPr>
          <w:rFonts w:hint="eastAsia" w:eastAsiaTheme="minorEastAsia"/>
          <w:color w:val="000000" w:themeColor="text1"/>
          <w:sz w:val="28"/>
          <w:szCs w:val="28"/>
        </w:rPr>
        <w:t>.</w:t>
      </w:r>
      <w:r>
        <w:rPr>
          <w:rFonts w:eastAsiaTheme="minorEastAsia"/>
          <w:color w:val="000000" w:themeColor="text1"/>
          <w:sz w:val="28"/>
          <w:szCs w:val="28"/>
        </w:rPr>
        <w:t>甲醇</w:t>
      </w:r>
      <w:r>
        <w:rPr>
          <w:rFonts w:hint="eastAsia" w:eastAsiaTheme="minorEastAsia"/>
          <w:color w:val="000000" w:themeColor="text1"/>
          <w:sz w:val="28"/>
          <w:szCs w:val="28"/>
        </w:rPr>
        <w:t>加注机</w:t>
      </w:r>
      <w:r>
        <w:rPr>
          <w:rFonts w:eastAsiaTheme="minorEastAsia"/>
          <w:color w:val="000000" w:themeColor="text1"/>
          <w:sz w:val="28"/>
          <w:szCs w:val="28"/>
        </w:rPr>
        <w:t>附件安装、质量缺陷，或甲醇</w:t>
      </w:r>
      <w:r>
        <w:rPr>
          <w:rFonts w:hint="eastAsia" w:eastAsiaTheme="minorEastAsia"/>
          <w:color w:val="000000" w:themeColor="text1"/>
          <w:sz w:val="28"/>
          <w:szCs w:val="28"/>
        </w:rPr>
        <w:t>加注机</w:t>
      </w:r>
      <w:r>
        <w:rPr>
          <w:rFonts w:eastAsiaTheme="minorEastAsia"/>
          <w:color w:val="000000" w:themeColor="text1"/>
          <w:sz w:val="28"/>
          <w:szCs w:val="28"/>
        </w:rPr>
        <w:t>的电机不防爆等有可能引发甲醇泄漏、火灾等危险。</w:t>
      </w:r>
    </w:p>
    <w:p>
      <w:pPr>
        <w:tabs>
          <w:tab w:val="left" w:pos="3900"/>
        </w:tabs>
        <w:adjustRightInd w:val="0"/>
        <w:snapToGrid w:val="0"/>
        <w:spacing w:line="500" w:lineRule="exact"/>
        <w:ind w:firstLine="560" w:firstLineChars="200"/>
        <w:rPr>
          <w:rFonts w:eastAsiaTheme="minorEastAsia"/>
          <w:color w:val="000000" w:themeColor="text1"/>
          <w:sz w:val="28"/>
          <w:szCs w:val="28"/>
        </w:rPr>
      </w:pPr>
      <w:r>
        <w:rPr>
          <w:rFonts w:eastAsiaTheme="minorEastAsia"/>
          <w:color w:val="000000" w:themeColor="text1"/>
          <w:sz w:val="28"/>
          <w:szCs w:val="28"/>
        </w:rPr>
        <w:t>2</w:t>
      </w:r>
      <w:r>
        <w:rPr>
          <w:rFonts w:hint="eastAsia" w:eastAsiaTheme="minorEastAsia"/>
          <w:color w:val="000000" w:themeColor="text1"/>
          <w:sz w:val="28"/>
          <w:szCs w:val="28"/>
        </w:rPr>
        <w:t>.</w:t>
      </w:r>
      <w:r>
        <w:rPr>
          <w:rFonts w:eastAsiaTheme="minorEastAsia"/>
          <w:color w:val="000000" w:themeColor="text1"/>
          <w:sz w:val="28"/>
          <w:szCs w:val="28"/>
        </w:rPr>
        <w:t>各连接的输送管道未设置接地体或接地体损坏或老化，未定期对接地体电阻值进行检测或接地体电阻值超标等会引发静电危害。</w:t>
      </w:r>
    </w:p>
    <w:p>
      <w:pPr>
        <w:tabs>
          <w:tab w:val="left" w:pos="3900"/>
        </w:tabs>
        <w:adjustRightInd w:val="0"/>
        <w:snapToGrid w:val="0"/>
        <w:spacing w:line="500" w:lineRule="exact"/>
        <w:ind w:firstLine="560" w:firstLineChars="200"/>
        <w:rPr>
          <w:rFonts w:eastAsiaTheme="minorEastAsia"/>
          <w:color w:val="000000" w:themeColor="text1"/>
          <w:sz w:val="28"/>
          <w:szCs w:val="28"/>
        </w:rPr>
      </w:pPr>
      <w:r>
        <w:rPr>
          <w:rFonts w:eastAsiaTheme="minorEastAsia"/>
          <w:color w:val="000000" w:themeColor="text1"/>
          <w:sz w:val="28"/>
          <w:szCs w:val="28"/>
        </w:rPr>
        <w:t>3</w:t>
      </w:r>
      <w:r>
        <w:rPr>
          <w:rFonts w:hint="eastAsia" w:eastAsiaTheme="minorEastAsia"/>
          <w:color w:val="000000" w:themeColor="text1"/>
          <w:sz w:val="28"/>
          <w:szCs w:val="28"/>
        </w:rPr>
        <w:t>.</w:t>
      </w:r>
      <w:r>
        <w:rPr>
          <w:rFonts w:eastAsiaTheme="minorEastAsia"/>
          <w:color w:val="000000" w:themeColor="text1"/>
          <w:sz w:val="28"/>
          <w:szCs w:val="28"/>
        </w:rPr>
        <w:t>各阀门、管道连接处密封不良，未定期对各附件进行检测、检验，或超期、超负荷使用等可能会引发甲醇泄漏。如作业区通风不良，作业人员未及时处理泄漏的甲醇或操作时未穿戴劳动防护用品等会引发中毒窒息、化学灼伤、火灾等事故。</w:t>
      </w:r>
    </w:p>
    <w:p>
      <w:pPr>
        <w:tabs>
          <w:tab w:val="left" w:pos="3900"/>
        </w:tabs>
        <w:adjustRightInd w:val="0"/>
        <w:snapToGrid w:val="0"/>
        <w:spacing w:line="500" w:lineRule="exact"/>
        <w:ind w:firstLine="560" w:firstLineChars="200"/>
        <w:rPr>
          <w:rFonts w:eastAsiaTheme="minorEastAsia"/>
          <w:color w:val="000000" w:themeColor="text1"/>
          <w:sz w:val="28"/>
          <w:szCs w:val="28"/>
        </w:rPr>
      </w:pPr>
      <w:r>
        <w:rPr>
          <w:rFonts w:hint="eastAsia" w:eastAsiaTheme="minorEastAsia"/>
          <w:color w:val="000000" w:themeColor="text1"/>
          <w:sz w:val="28"/>
          <w:szCs w:val="28"/>
        </w:rPr>
        <w:t>4.</w:t>
      </w:r>
      <w:r>
        <w:rPr>
          <w:rFonts w:eastAsiaTheme="minorEastAsia"/>
          <w:color w:val="000000" w:themeColor="text1"/>
          <w:sz w:val="28"/>
          <w:szCs w:val="28"/>
        </w:rPr>
        <w:t>用电线路敷设不规范、裸露等会引发触电。</w:t>
      </w:r>
    </w:p>
    <w:p>
      <w:pPr>
        <w:tabs>
          <w:tab w:val="left" w:pos="3900"/>
        </w:tabs>
        <w:adjustRightInd w:val="0"/>
        <w:snapToGrid w:val="0"/>
        <w:spacing w:line="500" w:lineRule="exact"/>
        <w:ind w:firstLine="560" w:firstLineChars="200"/>
        <w:rPr>
          <w:rFonts w:eastAsiaTheme="minorEastAsia"/>
          <w:color w:val="000000" w:themeColor="text1"/>
          <w:sz w:val="28"/>
          <w:szCs w:val="28"/>
        </w:rPr>
      </w:pPr>
      <w:r>
        <w:rPr>
          <w:rFonts w:hint="eastAsia" w:eastAsiaTheme="minorEastAsia"/>
          <w:color w:val="000000" w:themeColor="text1"/>
          <w:sz w:val="28"/>
          <w:szCs w:val="28"/>
        </w:rPr>
        <w:t>5.</w:t>
      </w:r>
      <w:r>
        <w:rPr>
          <w:rFonts w:eastAsiaTheme="minorEastAsia"/>
          <w:color w:val="000000" w:themeColor="text1"/>
          <w:sz w:val="28"/>
          <w:szCs w:val="28"/>
        </w:rPr>
        <w:t>引发事故的其他原因。</w:t>
      </w:r>
    </w:p>
    <w:p>
      <w:pPr>
        <w:pStyle w:val="19"/>
        <w:spacing w:afterLines="100" w:line="500" w:lineRule="exact"/>
        <w:rPr>
          <w:rFonts w:ascii="黑体" w:hAnsi="宋体" w:eastAsia="黑体"/>
          <w:color w:val="000000" w:themeColor="text1"/>
          <w:kern w:val="3"/>
          <w:sz w:val="28"/>
          <w:szCs w:val="28"/>
        </w:rPr>
      </w:pPr>
      <w:bookmarkStart w:id="1099" w:name="_Toc71710907"/>
      <w:bookmarkStart w:id="1100" w:name="_Toc16637"/>
      <w:bookmarkStart w:id="1101" w:name="_Toc20789"/>
      <w:bookmarkStart w:id="1102" w:name="_Toc71558474"/>
      <w:bookmarkStart w:id="1103" w:name="_Toc3937"/>
      <w:bookmarkStart w:id="1104" w:name="_Toc16856"/>
      <w:r>
        <w:rPr>
          <w:rFonts w:hint="eastAsia" w:ascii="黑体" w:hAnsi="宋体" w:eastAsia="黑体"/>
          <w:color w:val="000000" w:themeColor="text1"/>
          <w:kern w:val="3"/>
          <w:sz w:val="28"/>
          <w:szCs w:val="28"/>
        </w:rPr>
        <w:t>3.5.3.4甲醇输送管线等其他设备、设施危险性分析</w:t>
      </w:r>
      <w:bookmarkEnd w:id="1099"/>
      <w:bookmarkEnd w:id="1100"/>
      <w:bookmarkEnd w:id="1101"/>
      <w:bookmarkEnd w:id="1102"/>
      <w:bookmarkEnd w:id="1103"/>
      <w:bookmarkEnd w:id="1104"/>
    </w:p>
    <w:p>
      <w:pPr>
        <w:tabs>
          <w:tab w:val="left" w:pos="3900"/>
        </w:tabs>
        <w:adjustRightInd w:val="0"/>
        <w:snapToGrid w:val="0"/>
        <w:spacing w:line="500" w:lineRule="exact"/>
        <w:ind w:firstLine="560" w:firstLineChars="200"/>
        <w:rPr>
          <w:rFonts w:eastAsiaTheme="minorEastAsia"/>
          <w:color w:val="000000" w:themeColor="text1"/>
          <w:sz w:val="28"/>
          <w:szCs w:val="28"/>
        </w:rPr>
      </w:pPr>
      <w:r>
        <w:rPr>
          <w:rFonts w:eastAsiaTheme="minorEastAsia"/>
          <w:color w:val="000000" w:themeColor="text1"/>
          <w:sz w:val="28"/>
          <w:szCs w:val="28"/>
        </w:rPr>
        <w:t>1</w:t>
      </w:r>
      <w:r>
        <w:rPr>
          <w:rFonts w:hint="eastAsia" w:eastAsiaTheme="minorEastAsia"/>
          <w:color w:val="000000" w:themeColor="text1"/>
          <w:sz w:val="28"/>
          <w:szCs w:val="28"/>
        </w:rPr>
        <w:t>.</w:t>
      </w:r>
      <w:r>
        <w:rPr>
          <w:rFonts w:eastAsiaTheme="minorEastAsia"/>
          <w:color w:val="000000" w:themeColor="text1"/>
          <w:sz w:val="28"/>
          <w:szCs w:val="28"/>
        </w:rPr>
        <w:t>甲醇管道各段输送管道敷设不规范或安装、施工缺陷或超年限使用，防腐层脱落，存在锈蚀穿孔等易引发泄漏。</w:t>
      </w:r>
    </w:p>
    <w:p>
      <w:pPr>
        <w:tabs>
          <w:tab w:val="left" w:pos="3900"/>
        </w:tabs>
        <w:adjustRightInd w:val="0"/>
        <w:snapToGrid w:val="0"/>
        <w:spacing w:line="500" w:lineRule="exact"/>
        <w:ind w:firstLine="560" w:firstLineChars="200"/>
        <w:rPr>
          <w:rFonts w:eastAsiaTheme="minorEastAsia"/>
          <w:color w:val="000000" w:themeColor="text1"/>
          <w:sz w:val="28"/>
          <w:szCs w:val="28"/>
        </w:rPr>
      </w:pPr>
      <w:r>
        <w:rPr>
          <w:rFonts w:eastAsiaTheme="minorEastAsia"/>
          <w:color w:val="000000" w:themeColor="text1"/>
          <w:sz w:val="28"/>
          <w:szCs w:val="28"/>
        </w:rPr>
        <w:t>2</w:t>
      </w:r>
      <w:r>
        <w:rPr>
          <w:rFonts w:hint="eastAsia" w:eastAsiaTheme="minorEastAsia"/>
          <w:color w:val="000000" w:themeColor="text1"/>
          <w:sz w:val="28"/>
          <w:szCs w:val="28"/>
        </w:rPr>
        <w:t>.</w:t>
      </w:r>
      <w:r>
        <w:rPr>
          <w:rFonts w:eastAsiaTheme="minorEastAsia"/>
          <w:color w:val="000000" w:themeColor="text1"/>
          <w:sz w:val="28"/>
          <w:szCs w:val="28"/>
        </w:rPr>
        <w:t>未定期对输送</w:t>
      </w:r>
      <w:r>
        <w:rPr>
          <w:rFonts w:eastAsiaTheme="minorEastAsia"/>
          <w:color w:val="000000" w:themeColor="text1"/>
          <w:kern w:val="0"/>
          <w:sz w:val="28"/>
          <w:szCs w:val="28"/>
        </w:rPr>
        <w:t>甲醇的</w:t>
      </w:r>
      <w:r>
        <w:rPr>
          <w:rFonts w:eastAsiaTheme="minorEastAsia"/>
          <w:color w:val="000000" w:themeColor="text1"/>
          <w:sz w:val="28"/>
          <w:szCs w:val="28"/>
        </w:rPr>
        <w:t>管道进行维护、保养以及未及时更换老化或损坏的管道、管道与其对应储罐等设施及设备连接处密封垫失效、损坏和作业人员缺乏安全知识或其未执行安全操作规程等均有可能引发泄漏危险。</w:t>
      </w:r>
    </w:p>
    <w:p>
      <w:pPr>
        <w:tabs>
          <w:tab w:val="left" w:pos="3900"/>
        </w:tabs>
        <w:adjustRightInd w:val="0"/>
        <w:snapToGrid w:val="0"/>
        <w:spacing w:line="500" w:lineRule="exact"/>
        <w:ind w:firstLine="560" w:firstLineChars="200"/>
        <w:rPr>
          <w:rFonts w:eastAsiaTheme="minorEastAsia"/>
          <w:color w:val="000000" w:themeColor="text1"/>
          <w:sz w:val="28"/>
          <w:szCs w:val="28"/>
        </w:rPr>
      </w:pPr>
      <w:r>
        <w:rPr>
          <w:rFonts w:eastAsiaTheme="minorEastAsia"/>
          <w:color w:val="000000" w:themeColor="text1"/>
          <w:sz w:val="28"/>
          <w:szCs w:val="28"/>
        </w:rPr>
        <w:t>3</w:t>
      </w:r>
      <w:r>
        <w:rPr>
          <w:rFonts w:hint="eastAsia" w:eastAsiaTheme="minorEastAsia"/>
          <w:color w:val="000000" w:themeColor="text1"/>
          <w:sz w:val="28"/>
          <w:szCs w:val="28"/>
        </w:rPr>
        <w:t>.</w:t>
      </w:r>
      <w:r>
        <w:rPr>
          <w:rFonts w:eastAsiaTheme="minorEastAsia"/>
          <w:color w:val="000000" w:themeColor="text1"/>
          <w:sz w:val="28"/>
          <w:szCs w:val="28"/>
        </w:rPr>
        <w:t>发生火灾、检修、安装作业时未及时清除甲醇管道中的余料，或作业人员缺乏安全知识，穿带铁钉鞋进行作业或未执行安全操作规程等均有可能引发火灾、爆炸危险。</w:t>
      </w:r>
    </w:p>
    <w:p>
      <w:pPr>
        <w:tabs>
          <w:tab w:val="left" w:pos="3900"/>
        </w:tabs>
        <w:adjustRightInd w:val="0"/>
        <w:snapToGrid w:val="0"/>
        <w:spacing w:line="500" w:lineRule="exact"/>
        <w:ind w:firstLine="560" w:firstLineChars="200"/>
        <w:rPr>
          <w:rFonts w:eastAsiaTheme="minorEastAsia"/>
          <w:color w:val="000000" w:themeColor="text1"/>
          <w:sz w:val="28"/>
          <w:szCs w:val="28"/>
        </w:rPr>
      </w:pPr>
      <w:r>
        <w:rPr>
          <w:rFonts w:eastAsiaTheme="minorEastAsia"/>
          <w:color w:val="000000" w:themeColor="text1"/>
          <w:sz w:val="28"/>
          <w:szCs w:val="28"/>
        </w:rPr>
        <w:t>4</w:t>
      </w:r>
      <w:r>
        <w:rPr>
          <w:rFonts w:hint="eastAsia" w:eastAsiaTheme="minorEastAsia"/>
          <w:color w:val="000000" w:themeColor="text1"/>
          <w:sz w:val="28"/>
          <w:szCs w:val="28"/>
        </w:rPr>
        <w:t>.</w:t>
      </w:r>
      <w:r>
        <w:rPr>
          <w:rFonts w:eastAsiaTheme="minorEastAsia"/>
          <w:color w:val="000000" w:themeColor="text1"/>
          <w:sz w:val="28"/>
          <w:szCs w:val="28"/>
        </w:rPr>
        <w:t>甲醇输送管道的防雷防静电接地体电阻值超标，接地体材质缺陷等可能会引发雷电危害、静电危害而造成火灾危险。</w:t>
      </w:r>
    </w:p>
    <w:p>
      <w:pPr>
        <w:tabs>
          <w:tab w:val="left" w:pos="3900"/>
        </w:tabs>
        <w:adjustRightInd w:val="0"/>
        <w:snapToGrid w:val="0"/>
        <w:spacing w:line="500" w:lineRule="exact"/>
        <w:ind w:firstLine="560" w:firstLineChars="200"/>
        <w:rPr>
          <w:rFonts w:eastAsiaTheme="minorEastAsia"/>
          <w:color w:val="000000" w:themeColor="text1"/>
          <w:sz w:val="28"/>
          <w:szCs w:val="28"/>
        </w:rPr>
      </w:pPr>
      <w:r>
        <w:rPr>
          <w:rFonts w:eastAsiaTheme="minorEastAsia"/>
          <w:color w:val="000000" w:themeColor="text1"/>
          <w:sz w:val="28"/>
          <w:szCs w:val="28"/>
        </w:rPr>
        <w:t>5</w:t>
      </w:r>
      <w:r>
        <w:rPr>
          <w:rFonts w:hint="eastAsia" w:eastAsiaTheme="minorEastAsia"/>
          <w:color w:val="000000" w:themeColor="text1"/>
          <w:sz w:val="28"/>
          <w:szCs w:val="28"/>
        </w:rPr>
        <w:t>.</w:t>
      </w:r>
      <w:r>
        <w:rPr>
          <w:rFonts w:eastAsiaTheme="minorEastAsia"/>
          <w:color w:val="000000" w:themeColor="text1"/>
          <w:sz w:val="28"/>
          <w:szCs w:val="28"/>
        </w:rPr>
        <w:t>甲醇输送管道与其相邻建（构）筑物、设备的防火间距不足，或不足混乱等还可能受周边环境的影响进而发生火灾、其他爆炸危险。</w:t>
      </w:r>
    </w:p>
    <w:p>
      <w:pPr>
        <w:tabs>
          <w:tab w:val="left" w:pos="3900"/>
        </w:tabs>
        <w:adjustRightInd w:val="0"/>
        <w:snapToGrid w:val="0"/>
        <w:spacing w:line="500" w:lineRule="exact"/>
        <w:ind w:firstLine="560" w:firstLineChars="200"/>
        <w:rPr>
          <w:rFonts w:eastAsiaTheme="minorEastAsia"/>
          <w:color w:val="000000" w:themeColor="text1"/>
          <w:sz w:val="28"/>
          <w:szCs w:val="28"/>
        </w:rPr>
      </w:pPr>
      <w:r>
        <w:rPr>
          <w:rFonts w:eastAsiaTheme="minorEastAsia"/>
          <w:color w:val="000000" w:themeColor="text1"/>
          <w:sz w:val="28"/>
          <w:szCs w:val="28"/>
        </w:rPr>
        <w:t>6</w:t>
      </w:r>
      <w:r>
        <w:rPr>
          <w:rFonts w:hint="eastAsia" w:eastAsiaTheme="minorEastAsia"/>
          <w:color w:val="000000" w:themeColor="text1"/>
          <w:sz w:val="28"/>
          <w:szCs w:val="28"/>
        </w:rPr>
        <w:t>.</w:t>
      </w:r>
      <w:r>
        <w:rPr>
          <w:rFonts w:eastAsiaTheme="minorEastAsia"/>
          <w:color w:val="000000" w:themeColor="text1"/>
          <w:sz w:val="28"/>
          <w:szCs w:val="28"/>
        </w:rPr>
        <w:t>甲醇分装、卸车过程中如甲醇储罐的进出口管道处未设置紧急切断阀或失效可能导致紧急状态（如甲醇大量泄漏）下事故得不到迅速控制，既而导致事故影响和等级扩大。</w:t>
      </w:r>
    </w:p>
    <w:p>
      <w:pPr>
        <w:tabs>
          <w:tab w:val="left" w:pos="3900"/>
        </w:tabs>
        <w:adjustRightInd w:val="0"/>
        <w:snapToGrid w:val="0"/>
        <w:spacing w:line="500" w:lineRule="exact"/>
        <w:ind w:firstLine="560" w:firstLineChars="200"/>
        <w:rPr>
          <w:rFonts w:eastAsiaTheme="minorEastAsia"/>
          <w:color w:val="000000" w:themeColor="text1"/>
          <w:sz w:val="28"/>
          <w:szCs w:val="28"/>
        </w:rPr>
      </w:pPr>
      <w:r>
        <w:rPr>
          <w:rFonts w:eastAsiaTheme="minorEastAsia"/>
          <w:color w:val="000000" w:themeColor="text1"/>
          <w:sz w:val="28"/>
          <w:szCs w:val="28"/>
        </w:rPr>
        <w:t>7</w:t>
      </w:r>
      <w:r>
        <w:rPr>
          <w:rFonts w:hint="eastAsia" w:eastAsiaTheme="minorEastAsia"/>
          <w:color w:val="000000" w:themeColor="text1"/>
          <w:sz w:val="28"/>
          <w:szCs w:val="28"/>
        </w:rPr>
        <w:t>.</w:t>
      </w:r>
      <w:r>
        <w:rPr>
          <w:rFonts w:eastAsiaTheme="minorEastAsia"/>
          <w:color w:val="000000" w:themeColor="text1"/>
          <w:sz w:val="28"/>
          <w:szCs w:val="28"/>
        </w:rPr>
        <w:t>甲醇储罐区、装卸区未设置视频监控，或设置时，视频监控系统设置不完善，各区域监控摄像头设置不足或视频监控终端部不能有效显示等有可能因不能对各区车辆或人员以及储罐区、汽车装卸车区作业人员进行及时监控而引发火灾、中毒、车辆伤害等危险。</w:t>
      </w:r>
    </w:p>
    <w:p>
      <w:pPr>
        <w:tabs>
          <w:tab w:val="left" w:pos="3900"/>
        </w:tabs>
        <w:adjustRightInd w:val="0"/>
        <w:snapToGrid w:val="0"/>
        <w:spacing w:line="500" w:lineRule="exact"/>
        <w:ind w:firstLine="560" w:firstLineChars="200"/>
        <w:rPr>
          <w:rFonts w:eastAsiaTheme="minorEastAsia"/>
          <w:color w:val="000000" w:themeColor="text1"/>
          <w:sz w:val="28"/>
          <w:szCs w:val="28"/>
        </w:rPr>
      </w:pPr>
      <w:r>
        <w:rPr>
          <w:rFonts w:eastAsiaTheme="minorEastAsia"/>
          <w:color w:val="000000" w:themeColor="text1"/>
          <w:sz w:val="28"/>
          <w:szCs w:val="28"/>
        </w:rPr>
        <w:t>8</w:t>
      </w:r>
      <w:r>
        <w:rPr>
          <w:rFonts w:hint="eastAsia" w:eastAsiaTheme="minorEastAsia"/>
          <w:color w:val="000000" w:themeColor="text1"/>
          <w:sz w:val="28"/>
          <w:szCs w:val="28"/>
        </w:rPr>
        <w:t>.</w:t>
      </w:r>
      <w:r>
        <w:rPr>
          <w:rFonts w:eastAsiaTheme="minorEastAsia"/>
          <w:color w:val="000000" w:themeColor="text1"/>
          <w:sz w:val="28"/>
          <w:szCs w:val="28"/>
        </w:rPr>
        <w:t>如发生停电或通讯系统故障，也可能会对甲醇储存系统设备、设施运行产生一定的危险性。</w:t>
      </w:r>
    </w:p>
    <w:p>
      <w:pPr>
        <w:pStyle w:val="19"/>
        <w:spacing w:afterLines="100" w:line="500" w:lineRule="exact"/>
        <w:rPr>
          <w:rFonts w:ascii="黑体" w:hAnsi="宋体" w:eastAsia="黑体"/>
          <w:color w:val="000000" w:themeColor="text1"/>
          <w:kern w:val="3"/>
          <w:sz w:val="28"/>
          <w:szCs w:val="28"/>
        </w:rPr>
      </w:pPr>
      <w:bookmarkStart w:id="1105" w:name="_Toc6425"/>
      <w:bookmarkStart w:id="1106" w:name="_Toc2300"/>
      <w:bookmarkStart w:id="1107" w:name="_Toc17393"/>
      <w:bookmarkStart w:id="1108" w:name="_Toc16176"/>
      <w:bookmarkStart w:id="1109" w:name="_Toc7567"/>
      <w:bookmarkStart w:id="1110" w:name="_Toc6871"/>
      <w:bookmarkStart w:id="1111" w:name="_Toc10823"/>
      <w:bookmarkStart w:id="1112" w:name="_Toc16797"/>
      <w:bookmarkStart w:id="1113" w:name="_Toc24885"/>
      <w:bookmarkStart w:id="1114" w:name="_Toc1007"/>
      <w:r>
        <w:rPr>
          <w:rFonts w:hint="eastAsia" w:ascii="黑体" w:hAnsi="宋体" w:eastAsia="黑体"/>
          <w:color w:val="000000" w:themeColor="text1"/>
          <w:kern w:val="3"/>
          <w:sz w:val="28"/>
          <w:szCs w:val="28"/>
        </w:rPr>
        <w:t>3.5.4 公辅设施危险性分析</w:t>
      </w:r>
      <w:bookmarkEnd w:id="1105"/>
      <w:bookmarkEnd w:id="1106"/>
      <w:bookmarkEnd w:id="1107"/>
      <w:bookmarkEnd w:id="1108"/>
      <w:bookmarkEnd w:id="1109"/>
      <w:bookmarkEnd w:id="1110"/>
      <w:bookmarkEnd w:id="1111"/>
      <w:bookmarkEnd w:id="1112"/>
      <w:bookmarkEnd w:id="1113"/>
      <w:bookmarkEnd w:id="1114"/>
    </w:p>
    <w:p>
      <w:pPr>
        <w:pStyle w:val="19"/>
        <w:spacing w:afterLines="100" w:line="500" w:lineRule="exact"/>
        <w:rPr>
          <w:rFonts w:ascii="黑体" w:hAnsi="宋体" w:eastAsia="黑体"/>
          <w:color w:val="000000" w:themeColor="text1"/>
          <w:kern w:val="3"/>
          <w:sz w:val="28"/>
          <w:szCs w:val="28"/>
        </w:rPr>
      </w:pPr>
      <w:bookmarkStart w:id="1115" w:name="_Toc71558476"/>
      <w:bookmarkStart w:id="1116" w:name="_Toc12149"/>
      <w:bookmarkStart w:id="1117" w:name="_Toc21135"/>
      <w:bookmarkStart w:id="1118" w:name="_Toc71710909"/>
      <w:bookmarkStart w:id="1119" w:name="_Toc2761"/>
      <w:bookmarkStart w:id="1120" w:name="_Toc32721"/>
      <w:r>
        <w:rPr>
          <w:rFonts w:hint="eastAsia" w:ascii="黑体" w:hAnsi="宋体" w:eastAsia="黑体"/>
          <w:color w:val="000000" w:themeColor="text1"/>
          <w:kern w:val="3"/>
          <w:sz w:val="28"/>
          <w:szCs w:val="28"/>
        </w:rPr>
        <w:t>3.5.4.1供配电系统危险性分析</w:t>
      </w:r>
      <w:bookmarkEnd w:id="1115"/>
      <w:bookmarkEnd w:id="1116"/>
      <w:bookmarkEnd w:id="1117"/>
      <w:bookmarkEnd w:id="1118"/>
      <w:bookmarkEnd w:id="1119"/>
      <w:bookmarkEnd w:id="1120"/>
    </w:p>
    <w:p>
      <w:pPr>
        <w:tabs>
          <w:tab w:val="left" w:pos="3900"/>
        </w:tabs>
        <w:adjustRightInd w:val="0"/>
        <w:snapToGrid w:val="0"/>
        <w:spacing w:line="500" w:lineRule="exact"/>
        <w:ind w:firstLine="560" w:firstLineChars="200"/>
        <w:rPr>
          <w:rFonts w:eastAsiaTheme="minorEastAsia"/>
          <w:color w:val="000000" w:themeColor="text1"/>
          <w:sz w:val="28"/>
          <w:szCs w:val="28"/>
        </w:rPr>
      </w:pPr>
      <w:r>
        <w:rPr>
          <w:rFonts w:eastAsiaTheme="minorEastAsia"/>
          <w:color w:val="000000" w:themeColor="text1"/>
          <w:sz w:val="28"/>
          <w:szCs w:val="28"/>
        </w:rPr>
        <w:t>该项目供配电系统主要包括电缆线、照明灯具等，各供配电系统主要存在触电、电气火灾等危险。</w:t>
      </w:r>
    </w:p>
    <w:p>
      <w:pPr>
        <w:tabs>
          <w:tab w:val="left" w:pos="3900"/>
        </w:tabs>
        <w:adjustRightInd w:val="0"/>
        <w:snapToGrid w:val="0"/>
        <w:spacing w:line="500" w:lineRule="exact"/>
        <w:ind w:firstLine="562" w:firstLineChars="200"/>
        <w:rPr>
          <w:rFonts w:eastAsiaTheme="minorEastAsia"/>
          <w:b/>
          <w:bCs/>
          <w:color w:val="000000" w:themeColor="text1"/>
          <w:sz w:val="28"/>
          <w:szCs w:val="28"/>
        </w:rPr>
      </w:pPr>
      <w:bookmarkStart w:id="1121" w:name="_Toc19184"/>
      <w:r>
        <w:rPr>
          <w:rFonts w:eastAsiaTheme="minorEastAsia"/>
          <w:b/>
          <w:bCs/>
          <w:color w:val="000000" w:themeColor="text1"/>
          <w:sz w:val="28"/>
          <w:szCs w:val="28"/>
        </w:rPr>
        <w:t>1</w:t>
      </w:r>
      <w:r>
        <w:rPr>
          <w:rFonts w:hint="eastAsia" w:eastAsiaTheme="minorEastAsia"/>
          <w:b/>
          <w:bCs/>
          <w:color w:val="000000" w:themeColor="text1"/>
          <w:sz w:val="28"/>
          <w:szCs w:val="28"/>
        </w:rPr>
        <w:t>.</w:t>
      </w:r>
      <w:r>
        <w:rPr>
          <w:rFonts w:eastAsiaTheme="minorEastAsia"/>
          <w:b/>
          <w:bCs/>
          <w:color w:val="000000" w:themeColor="text1"/>
          <w:sz w:val="28"/>
          <w:szCs w:val="28"/>
        </w:rPr>
        <w:t>电气线路危险性分析</w:t>
      </w:r>
      <w:bookmarkEnd w:id="1121"/>
    </w:p>
    <w:p>
      <w:pPr>
        <w:tabs>
          <w:tab w:val="left" w:pos="3900"/>
        </w:tabs>
        <w:adjustRightInd w:val="0"/>
        <w:snapToGrid w:val="0"/>
        <w:spacing w:line="500" w:lineRule="exact"/>
        <w:ind w:firstLine="560" w:firstLineChars="200"/>
        <w:rPr>
          <w:rFonts w:eastAsiaTheme="minorEastAsia"/>
          <w:color w:val="000000" w:themeColor="text1"/>
          <w:sz w:val="28"/>
          <w:szCs w:val="28"/>
        </w:rPr>
      </w:pPr>
      <w:r>
        <w:rPr>
          <w:rFonts w:eastAsiaTheme="minorEastAsia"/>
          <w:color w:val="000000" w:themeColor="text1"/>
          <w:sz w:val="28"/>
          <w:szCs w:val="28"/>
        </w:rPr>
        <w:t>1）电气设施安装不符合规范，运行中发生短路、过电压、接地故障、接触失灵等均有可能产生电气火花、电弧或过热等，若防护不当，可能发生电气火灾或引燃周围的可燃物质。</w:t>
      </w:r>
    </w:p>
    <w:p>
      <w:pPr>
        <w:tabs>
          <w:tab w:val="left" w:pos="3900"/>
        </w:tabs>
        <w:adjustRightInd w:val="0"/>
        <w:snapToGrid w:val="0"/>
        <w:spacing w:line="500" w:lineRule="exact"/>
        <w:ind w:firstLine="560" w:firstLineChars="200"/>
        <w:rPr>
          <w:rFonts w:eastAsiaTheme="minorEastAsia"/>
          <w:color w:val="000000" w:themeColor="text1"/>
          <w:sz w:val="28"/>
          <w:szCs w:val="28"/>
        </w:rPr>
      </w:pPr>
      <w:r>
        <w:rPr>
          <w:rFonts w:eastAsiaTheme="minorEastAsia"/>
          <w:color w:val="000000" w:themeColor="text1"/>
          <w:sz w:val="28"/>
          <w:szCs w:val="28"/>
        </w:rPr>
        <w:t>2）罐区等处各处电气线路安装、架设不当，或运行环境差、安全措施不完备，未定期维护、违章操作和保护失灵等原因，若人体不慎触及带电体或过分靠近带电部分均有可能发生电击、电灼伤等触电危险。</w:t>
      </w:r>
    </w:p>
    <w:p>
      <w:pPr>
        <w:tabs>
          <w:tab w:val="left" w:pos="3900"/>
        </w:tabs>
        <w:adjustRightInd w:val="0"/>
        <w:snapToGrid w:val="0"/>
        <w:spacing w:line="500" w:lineRule="exact"/>
        <w:ind w:firstLine="560" w:firstLineChars="200"/>
        <w:rPr>
          <w:rFonts w:eastAsiaTheme="minorEastAsia"/>
          <w:color w:val="000000" w:themeColor="text1"/>
          <w:sz w:val="28"/>
          <w:szCs w:val="28"/>
        </w:rPr>
      </w:pPr>
      <w:r>
        <w:rPr>
          <w:rFonts w:eastAsiaTheme="minorEastAsia"/>
          <w:color w:val="000000" w:themeColor="text1"/>
          <w:sz w:val="28"/>
          <w:szCs w:val="28"/>
        </w:rPr>
        <w:t>3）架空电缆长期受水、酸碱腐蚀使保护层破坏，绝缘强度降低，引起电缆短路起火。</w:t>
      </w:r>
    </w:p>
    <w:p>
      <w:pPr>
        <w:tabs>
          <w:tab w:val="left" w:pos="3900"/>
        </w:tabs>
        <w:adjustRightInd w:val="0"/>
        <w:snapToGrid w:val="0"/>
        <w:spacing w:line="500" w:lineRule="exact"/>
        <w:ind w:firstLine="560" w:firstLineChars="200"/>
        <w:rPr>
          <w:rFonts w:eastAsiaTheme="minorEastAsia"/>
          <w:color w:val="000000" w:themeColor="text1"/>
          <w:sz w:val="28"/>
          <w:szCs w:val="28"/>
        </w:rPr>
      </w:pPr>
      <w:r>
        <w:rPr>
          <w:rFonts w:eastAsiaTheme="minorEastAsia"/>
          <w:color w:val="000000" w:themeColor="text1"/>
          <w:sz w:val="28"/>
          <w:szCs w:val="28"/>
        </w:rPr>
        <w:t>4）电气线路本身存在缺陷，在敷设时未设保护层或在运行中电气线路绝缘受到机械损伤，引起电气线路之间绝缘击穿而发生电弧。电弧高温能引燃电缆内的绝缘材料和电缆外层的麻布等。</w:t>
      </w:r>
    </w:p>
    <w:p>
      <w:pPr>
        <w:tabs>
          <w:tab w:val="left" w:pos="3900"/>
        </w:tabs>
        <w:adjustRightInd w:val="0"/>
        <w:snapToGrid w:val="0"/>
        <w:spacing w:line="500" w:lineRule="exact"/>
        <w:ind w:firstLine="560" w:firstLineChars="200"/>
        <w:rPr>
          <w:rFonts w:eastAsiaTheme="minorEastAsia"/>
          <w:color w:val="000000" w:themeColor="text1"/>
          <w:sz w:val="28"/>
          <w:szCs w:val="28"/>
        </w:rPr>
      </w:pPr>
      <w:r>
        <w:rPr>
          <w:rFonts w:eastAsiaTheme="minorEastAsia"/>
          <w:color w:val="000000" w:themeColor="text1"/>
          <w:sz w:val="28"/>
          <w:szCs w:val="28"/>
        </w:rPr>
        <w:t>5）电气线路绝缘材料腐蚀受损或机械受损等脱落后，人员赤身接触导电线。</w:t>
      </w:r>
    </w:p>
    <w:p>
      <w:pPr>
        <w:tabs>
          <w:tab w:val="left" w:pos="3900"/>
        </w:tabs>
        <w:adjustRightInd w:val="0"/>
        <w:snapToGrid w:val="0"/>
        <w:spacing w:line="500" w:lineRule="exact"/>
        <w:ind w:firstLine="560" w:firstLineChars="200"/>
        <w:rPr>
          <w:rFonts w:eastAsiaTheme="minorEastAsia"/>
          <w:color w:val="000000" w:themeColor="text1"/>
          <w:sz w:val="28"/>
          <w:szCs w:val="28"/>
        </w:rPr>
      </w:pPr>
      <w:r>
        <w:rPr>
          <w:rFonts w:eastAsiaTheme="minorEastAsia"/>
          <w:color w:val="000000" w:themeColor="text1"/>
          <w:sz w:val="28"/>
          <w:szCs w:val="28"/>
        </w:rPr>
        <w:t>6）长时间运行中，由于过负荷、过热等原因使电气线路绝缘加速老化，绝缘强度降低，引起电气线路相间或对地击穿短路起火。</w:t>
      </w:r>
    </w:p>
    <w:p>
      <w:pPr>
        <w:tabs>
          <w:tab w:val="left" w:pos="3900"/>
        </w:tabs>
        <w:adjustRightInd w:val="0"/>
        <w:snapToGrid w:val="0"/>
        <w:spacing w:line="500" w:lineRule="exact"/>
        <w:ind w:firstLine="560" w:firstLineChars="200"/>
        <w:rPr>
          <w:rFonts w:eastAsiaTheme="minorEastAsia"/>
          <w:color w:val="000000" w:themeColor="text1"/>
          <w:sz w:val="28"/>
          <w:szCs w:val="28"/>
        </w:rPr>
      </w:pPr>
      <w:r>
        <w:rPr>
          <w:rFonts w:eastAsiaTheme="minorEastAsia"/>
          <w:color w:val="000000" w:themeColor="text1"/>
          <w:sz w:val="28"/>
          <w:szCs w:val="28"/>
        </w:rPr>
        <w:t>7）电缆终端接头和中间接头接触不良发生短路事故，引起电缆着火。</w:t>
      </w:r>
    </w:p>
    <w:p>
      <w:pPr>
        <w:tabs>
          <w:tab w:val="left" w:pos="3900"/>
        </w:tabs>
        <w:adjustRightInd w:val="0"/>
        <w:snapToGrid w:val="0"/>
        <w:spacing w:line="500" w:lineRule="exact"/>
        <w:ind w:firstLine="560" w:firstLineChars="200"/>
        <w:rPr>
          <w:rFonts w:eastAsiaTheme="minorEastAsia"/>
          <w:color w:val="000000" w:themeColor="text1"/>
          <w:sz w:val="28"/>
          <w:szCs w:val="28"/>
        </w:rPr>
      </w:pPr>
      <w:r>
        <w:rPr>
          <w:rFonts w:eastAsiaTheme="minorEastAsia"/>
          <w:color w:val="000000" w:themeColor="text1"/>
          <w:sz w:val="28"/>
          <w:szCs w:val="28"/>
        </w:rPr>
        <w:t>8）开关设备及其他电气设备短路或接触电阻过大产生高温起火将附近电缆引燃和检修时高温焊渣等掉到电缆上引起着火或其他可燃、易燃物品着火后将附近电缆引燃。</w:t>
      </w:r>
    </w:p>
    <w:p>
      <w:pPr>
        <w:tabs>
          <w:tab w:val="left" w:pos="3900"/>
        </w:tabs>
        <w:adjustRightInd w:val="0"/>
        <w:snapToGrid w:val="0"/>
        <w:spacing w:line="500" w:lineRule="exact"/>
        <w:ind w:firstLine="560" w:firstLineChars="200"/>
        <w:rPr>
          <w:rFonts w:eastAsiaTheme="minorEastAsia"/>
          <w:color w:val="000000" w:themeColor="text1"/>
          <w:sz w:val="28"/>
          <w:szCs w:val="28"/>
        </w:rPr>
      </w:pPr>
      <w:r>
        <w:rPr>
          <w:rFonts w:eastAsiaTheme="minorEastAsia"/>
          <w:color w:val="000000" w:themeColor="text1"/>
          <w:sz w:val="28"/>
          <w:szCs w:val="28"/>
        </w:rPr>
        <w:t>9）电气设备及线路的日常管理、维护不当，电气设备、线路老化、绝缘破损、漏电且无接地接零保护。</w:t>
      </w:r>
    </w:p>
    <w:p>
      <w:pPr>
        <w:tabs>
          <w:tab w:val="left" w:pos="3900"/>
        </w:tabs>
        <w:adjustRightInd w:val="0"/>
        <w:snapToGrid w:val="0"/>
        <w:spacing w:line="500" w:lineRule="exact"/>
        <w:ind w:firstLine="562" w:firstLineChars="200"/>
        <w:rPr>
          <w:rFonts w:eastAsiaTheme="minorEastAsia"/>
          <w:b/>
          <w:color w:val="000000" w:themeColor="text1"/>
          <w:sz w:val="28"/>
          <w:szCs w:val="28"/>
        </w:rPr>
      </w:pPr>
      <w:bookmarkStart w:id="1122" w:name="_Toc11328"/>
      <w:r>
        <w:rPr>
          <w:rFonts w:eastAsiaTheme="minorEastAsia"/>
          <w:b/>
          <w:bCs/>
          <w:color w:val="000000" w:themeColor="text1"/>
          <w:sz w:val="28"/>
          <w:szCs w:val="28"/>
        </w:rPr>
        <w:t>2</w:t>
      </w:r>
      <w:r>
        <w:rPr>
          <w:rFonts w:hint="eastAsia" w:eastAsiaTheme="minorEastAsia"/>
          <w:b/>
          <w:bCs/>
          <w:color w:val="000000" w:themeColor="text1"/>
          <w:sz w:val="28"/>
          <w:szCs w:val="28"/>
        </w:rPr>
        <w:t>.</w:t>
      </w:r>
      <w:r>
        <w:rPr>
          <w:rFonts w:eastAsiaTheme="minorEastAsia"/>
          <w:b/>
          <w:bCs/>
          <w:color w:val="000000" w:themeColor="text1"/>
          <w:sz w:val="28"/>
          <w:szCs w:val="28"/>
        </w:rPr>
        <w:t>其它电气设备危险性分析</w:t>
      </w:r>
      <w:bookmarkEnd w:id="1122"/>
    </w:p>
    <w:p>
      <w:pPr>
        <w:tabs>
          <w:tab w:val="left" w:pos="3900"/>
        </w:tabs>
        <w:adjustRightInd w:val="0"/>
        <w:snapToGrid w:val="0"/>
        <w:spacing w:line="500" w:lineRule="exact"/>
        <w:ind w:firstLine="560" w:firstLineChars="200"/>
        <w:rPr>
          <w:rFonts w:eastAsiaTheme="minorEastAsia"/>
          <w:color w:val="000000" w:themeColor="text1"/>
          <w:sz w:val="28"/>
          <w:szCs w:val="28"/>
        </w:rPr>
      </w:pPr>
      <w:r>
        <w:rPr>
          <w:rFonts w:eastAsiaTheme="minorEastAsia"/>
          <w:color w:val="000000" w:themeColor="text1"/>
          <w:sz w:val="28"/>
          <w:szCs w:val="28"/>
        </w:rPr>
        <w:t>1）罐区等爆炸危险区域的灯具、开关等电气设备不防爆或防爆等级不足、失效等易造成火灾爆炸危险。</w:t>
      </w:r>
    </w:p>
    <w:p>
      <w:pPr>
        <w:tabs>
          <w:tab w:val="left" w:pos="3900"/>
        </w:tabs>
        <w:adjustRightInd w:val="0"/>
        <w:snapToGrid w:val="0"/>
        <w:spacing w:line="500" w:lineRule="exact"/>
        <w:ind w:firstLine="560" w:firstLineChars="200"/>
        <w:rPr>
          <w:rFonts w:eastAsiaTheme="minorEastAsia"/>
          <w:color w:val="000000" w:themeColor="text1"/>
          <w:sz w:val="28"/>
          <w:szCs w:val="28"/>
        </w:rPr>
      </w:pPr>
      <w:r>
        <w:rPr>
          <w:rFonts w:eastAsiaTheme="minorEastAsia"/>
          <w:color w:val="000000" w:themeColor="text1"/>
          <w:sz w:val="28"/>
          <w:szCs w:val="28"/>
        </w:rPr>
        <w:t>2）罐区等处未设事故应急照明，特别是在晚上发生泄漏、中毒等事故时，可能会因突然停电，给操作等人员造成撤离、疏散困难而造成更大程度的危害。</w:t>
      </w:r>
    </w:p>
    <w:p>
      <w:pPr>
        <w:tabs>
          <w:tab w:val="left" w:pos="3900"/>
        </w:tabs>
        <w:adjustRightInd w:val="0"/>
        <w:snapToGrid w:val="0"/>
        <w:spacing w:line="500" w:lineRule="exact"/>
        <w:ind w:firstLine="560" w:firstLineChars="200"/>
        <w:rPr>
          <w:rFonts w:eastAsiaTheme="minorEastAsia"/>
          <w:color w:val="000000" w:themeColor="text1"/>
          <w:sz w:val="28"/>
          <w:szCs w:val="28"/>
        </w:rPr>
      </w:pPr>
      <w:r>
        <w:rPr>
          <w:rFonts w:eastAsiaTheme="minorEastAsia"/>
          <w:color w:val="000000" w:themeColor="text1"/>
          <w:sz w:val="28"/>
          <w:szCs w:val="28"/>
        </w:rPr>
        <w:t>3）电气设备及线路的日常管理、维护不当，电气设备、线路老化、绝缘破损、漏电。</w:t>
      </w:r>
    </w:p>
    <w:p>
      <w:pPr>
        <w:tabs>
          <w:tab w:val="left" w:pos="3900"/>
        </w:tabs>
        <w:adjustRightInd w:val="0"/>
        <w:snapToGrid w:val="0"/>
        <w:spacing w:line="500" w:lineRule="exact"/>
        <w:ind w:firstLine="560" w:firstLineChars="200"/>
        <w:rPr>
          <w:rFonts w:eastAsiaTheme="minorEastAsia"/>
          <w:color w:val="000000" w:themeColor="text1"/>
          <w:sz w:val="28"/>
          <w:szCs w:val="28"/>
        </w:rPr>
      </w:pPr>
      <w:r>
        <w:rPr>
          <w:rFonts w:eastAsiaTheme="minorEastAsia"/>
          <w:color w:val="000000" w:themeColor="text1"/>
          <w:sz w:val="28"/>
          <w:szCs w:val="28"/>
        </w:rPr>
        <w:t>4）电器开关损坏、漏电，超标使用保险丝、空气开关等。</w:t>
      </w:r>
    </w:p>
    <w:p>
      <w:pPr>
        <w:tabs>
          <w:tab w:val="left" w:pos="3900"/>
        </w:tabs>
        <w:adjustRightInd w:val="0"/>
        <w:snapToGrid w:val="0"/>
        <w:spacing w:line="500" w:lineRule="exact"/>
        <w:ind w:firstLine="560" w:firstLineChars="200"/>
        <w:rPr>
          <w:rFonts w:eastAsiaTheme="minorEastAsia"/>
          <w:color w:val="000000" w:themeColor="text1"/>
          <w:sz w:val="28"/>
          <w:szCs w:val="28"/>
        </w:rPr>
      </w:pPr>
      <w:r>
        <w:rPr>
          <w:rFonts w:eastAsiaTheme="minorEastAsia"/>
          <w:color w:val="000000" w:themeColor="text1"/>
          <w:sz w:val="28"/>
          <w:szCs w:val="28"/>
        </w:rPr>
        <w:t>5）条件不允许而带电作业或施工中误合电闸送电。</w:t>
      </w:r>
    </w:p>
    <w:p>
      <w:pPr>
        <w:tabs>
          <w:tab w:val="left" w:pos="3900"/>
        </w:tabs>
        <w:adjustRightInd w:val="0"/>
        <w:snapToGrid w:val="0"/>
        <w:spacing w:line="500" w:lineRule="exact"/>
        <w:ind w:firstLine="560" w:firstLineChars="200"/>
        <w:rPr>
          <w:rFonts w:eastAsiaTheme="minorEastAsia"/>
          <w:color w:val="000000" w:themeColor="text1"/>
          <w:sz w:val="28"/>
          <w:szCs w:val="28"/>
        </w:rPr>
      </w:pPr>
      <w:r>
        <w:rPr>
          <w:rFonts w:eastAsiaTheme="minorEastAsia"/>
          <w:color w:val="000000" w:themeColor="text1"/>
          <w:sz w:val="28"/>
          <w:szCs w:val="28"/>
        </w:rPr>
        <w:t>6）断路器失效、设备无接地接零或失效，作业人员缺乏用电常识等</w:t>
      </w:r>
    </w:p>
    <w:p>
      <w:pPr>
        <w:pStyle w:val="19"/>
        <w:spacing w:afterLines="100" w:line="500" w:lineRule="exact"/>
        <w:rPr>
          <w:rFonts w:ascii="黑体" w:hAnsi="宋体" w:eastAsia="黑体"/>
          <w:color w:val="000000" w:themeColor="text1"/>
          <w:kern w:val="3"/>
          <w:sz w:val="28"/>
          <w:szCs w:val="28"/>
        </w:rPr>
      </w:pPr>
      <w:bookmarkStart w:id="1123" w:name="_Toc16111"/>
      <w:bookmarkStart w:id="1124" w:name="_Toc71558477"/>
      <w:bookmarkStart w:id="1125" w:name="_Toc9008"/>
      <w:bookmarkStart w:id="1126" w:name="_Toc29694"/>
      <w:bookmarkStart w:id="1127" w:name="_Toc71710910"/>
      <w:bookmarkStart w:id="1128" w:name="_Toc3197"/>
      <w:r>
        <w:rPr>
          <w:rFonts w:hint="eastAsia" w:ascii="黑体" w:hAnsi="宋体" w:eastAsia="黑体"/>
          <w:color w:val="000000" w:themeColor="text1"/>
          <w:kern w:val="3"/>
          <w:sz w:val="28"/>
          <w:szCs w:val="28"/>
        </w:rPr>
        <w:t>3.5.4.2给排水系统危险性分析</w:t>
      </w:r>
      <w:bookmarkEnd w:id="1123"/>
      <w:bookmarkEnd w:id="1124"/>
      <w:bookmarkEnd w:id="1125"/>
      <w:bookmarkEnd w:id="1126"/>
      <w:bookmarkEnd w:id="1127"/>
      <w:bookmarkEnd w:id="1128"/>
    </w:p>
    <w:p>
      <w:pPr>
        <w:tabs>
          <w:tab w:val="left" w:pos="3900"/>
        </w:tabs>
        <w:adjustRightInd w:val="0"/>
        <w:snapToGrid w:val="0"/>
        <w:spacing w:line="500" w:lineRule="exact"/>
        <w:ind w:firstLine="560" w:firstLineChars="200"/>
        <w:rPr>
          <w:rFonts w:eastAsiaTheme="minorEastAsia"/>
          <w:color w:val="000000" w:themeColor="text1"/>
          <w:sz w:val="28"/>
          <w:szCs w:val="28"/>
        </w:rPr>
      </w:pPr>
      <w:r>
        <w:rPr>
          <w:rFonts w:eastAsiaTheme="minorEastAsia"/>
          <w:color w:val="000000" w:themeColor="text1"/>
          <w:sz w:val="28"/>
          <w:szCs w:val="28"/>
        </w:rPr>
        <w:t>该项目给水主要是生活用水和消防用水，排水主要是雨水和含油污水，其给排水系统主要存在以下危险：</w:t>
      </w:r>
    </w:p>
    <w:p>
      <w:pPr>
        <w:tabs>
          <w:tab w:val="left" w:pos="3900"/>
        </w:tabs>
        <w:adjustRightInd w:val="0"/>
        <w:snapToGrid w:val="0"/>
        <w:spacing w:line="500" w:lineRule="exact"/>
        <w:ind w:firstLine="560" w:firstLineChars="200"/>
        <w:rPr>
          <w:rFonts w:eastAsiaTheme="minorEastAsia"/>
          <w:color w:val="000000" w:themeColor="text1"/>
          <w:sz w:val="28"/>
          <w:szCs w:val="28"/>
        </w:rPr>
      </w:pPr>
      <w:r>
        <w:rPr>
          <w:rFonts w:eastAsiaTheme="minorEastAsia"/>
          <w:color w:val="000000" w:themeColor="text1"/>
          <w:sz w:val="28"/>
          <w:szCs w:val="28"/>
        </w:rPr>
        <w:t>1</w:t>
      </w:r>
      <w:r>
        <w:rPr>
          <w:rFonts w:hint="eastAsia" w:eastAsiaTheme="minorEastAsia"/>
          <w:color w:val="000000" w:themeColor="text1"/>
          <w:sz w:val="28"/>
          <w:szCs w:val="28"/>
        </w:rPr>
        <w:t>.</w:t>
      </w:r>
      <w:r>
        <w:rPr>
          <w:rFonts w:eastAsiaTheme="minorEastAsia"/>
          <w:color w:val="000000" w:themeColor="text1"/>
          <w:sz w:val="28"/>
          <w:szCs w:val="28"/>
        </w:rPr>
        <w:t>项目罐区、装卸区消防用水供给供给不足，如运行中出现甲醇泄漏、火灾等紧急事故需要消防水处理时，如出现断水、消防水源供水不足或供水水压较小等，会导致事故未能及时得到控制，造成事故范围进一步扩大。</w:t>
      </w:r>
    </w:p>
    <w:p>
      <w:pPr>
        <w:tabs>
          <w:tab w:val="left" w:pos="3900"/>
        </w:tabs>
        <w:adjustRightInd w:val="0"/>
        <w:snapToGrid w:val="0"/>
        <w:spacing w:line="500" w:lineRule="exact"/>
        <w:ind w:firstLine="560" w:firstLineChars="200"/>
        <w:rPr>
          <w:rFonts w:eastAsiaTheme="minorEastAsia"/>
          <w:color w:val="000000" w:themeColor="text1"/>
          <w:sz w:val="28"/>
          <w:szCs w:val="28"/>
        </w:rPr>
      </w:pPr>
      <w:r>
        <w:rPr>
          <w:rFonts w:eastAsiaTheme="minorEastAsia"/>
          <w:color w:val="000000" w:themeColor="text1"/>
          <w:sz w:val="28"/>
          <w:szCs w:val="28"/>
        </w:rPr>
        <w:t>2</w:t>
      </w:r>
      <w:r>
        <w:rPr>
          <w:rFonts w:hint="eastAsia" w:eastAsiaTheme="minorEastAsia"/>
          <w:color w:val="000000" w:themeColor="text1"/>
          <w:sz w:val="28"/>
          <w:szCs w:val="28"/>
        </w:rPr>
        <w:t>.</w:t>
      </w:r>
      <w:r>
        <w:rPr>
          <w:rFonts w:eastAsiaTheme="minorEastAsia"/>
          <w:color w:val="000000" w:themeColor="text1"/>
          <w:sz w:val="28"/>
          <w:szCs w:val="28"/>
        </w:rPr>
        <w:t>罐区未设置隔油池或设置的事故池失效，导致罐区含油污水排出后，遇到点火源，致使外部点火源随油污回燃至罐区，引发火灾事故。</w:t>
      </w:r>
    </w:p>
    <w:p>
      <w:pPr>
        <w:tabs>
          <w:tab w:val="left" w:pos="3900"/>
        </w:tabs>
        <w:adjustRightInd w:val="0"/>
        <w:snapToGrid w:val="0"/>
        <w:spacing w:line="500" w:lineRule="exact"/>
        <w:ind w:firstLine="560" w:firstLineChars="200"/>
        <w:rPr>
          <w:rFonts w:eastAsiaTheme="minorEastAsia"/>
          <w:color w:val="000000" w:themeColor="text1"/>
          <w:sz w:val="28"/>
          <w:szCs w:val="28"/>
        </w:rPr>
      </w:pPr>
      <w:r>
        <w:rPr>
          <w:rFonts w:eastAsiaTheme="minorEastAsia"/>
          <w:color w:val="000000" w:themeColor="text1"/>
          <w:sz w:val="28"/>
          <w:szCs w:val="28"/>
        </w:rPr>
        <w:t>3</w:t>
      </w:r>
      <w:r>
        <w:rPr>
          <w:rFonts w:hint="eastAsia" w:eastAsiaTheme="minorEastAsia"/>
          <w:color w:val="000000" w:themeColor="text1"/>
          <w:sz w:val="28"/>
          <w:szCs w:val="28"/>
        </w:rPr>
        <w:t>.</w:t>
      </w:r>
      <w:r>
        <w:rPr>
          <w:rFonts w:eastAsiaTheme="minorEastAsia"/>
          <w:color w:val="000000" w:themeColor="text1"/>
          <w:sz w:val="28"/>
          <w:szCs w:val="28"/>
        </w:rPr>
        <w:t>罐区、装卸区靠近边坡处未设有效排水设施，在暴雨天气时，排水设施不起作用，有可能造成罐区、装卸边坡滑坡而造成甲醇储存、装卸系统设备、设施损坏以及建（构）筑物倾倒、坍塌危险。</w:t>
      </w:r>
    </w:p>
    <w:p>
      <w:pPr>
        <w:pStyle w:val="19"/>
        <w:spacing w:afterLines="100" w:line="500" w:lineRule="exact"/>
        <w:rPr>
          <w:rFonts w:ascii="黑体" w:hAnsi="宋体" w:eastAsia="黑体"/>
          <w:color w:val="000000" w:themeColor="text1"/>
          <w:kern w:val="3"/>
          <w:sz w:val="28"/>
          <w:szCs w:val="28"/>
        </w:rPr>
      </w:pPr>
      <w:bookmarkStart w:id="1129" w:name="_Toc29862"/>
      <w:bookmarkStart w:id="1130" w:name="_Toc17049"/>
      <w:bookmarkStart w:id="1131" w:name="_Toc19004"/>
      <w:bookmarkStart w:id="1132" w:name="_Toc752"/>
      <w:bookmarkStart w:id="1133" w:name="_Toc71558478"/>
      <w:bookmarkStart w:id="1134" w:name="_Toc71710911"/>
      <w:r>
        <w:rPr>
          <w:rFonts w:hint="eastAsia" w:ascii="黑体" w:hAnsi="宋体" w:eastAsia="黑体"/>
          <w:color w:val="000000" w:themeColor="text1"/>
          <w:kern w:val="3"/>
          <w:sz w:val="28"/>
          <w:szCs w:val="28"/>
        </w:rPr>
        <w:t>3.5.4.3消防系统危险性分析</w:t>
      </w:r>
      <w:bookmarkEnd w:id="1129"/>
      <w:bookmarkEnd w:id="1130"/>
      <w:bookmarkEnd w:id="1131"/>
      <w:bookmarkEnd w:id="1132"/>
      <w:bookmarkEnd w:id="1133"/>
      <w:bookmarkEnd w:id="1134"/>
    </w:p>
    <w:p>
      <w:pPr>
        <w:tabs>
          <w:tab w:val="left" w:pos="3900"/>
        </w:tabs>
        <w:adjustRightInd w:val="0"/>
        <w:snapToGrid w:val="0"/>
        <w:spacing w:line="500" w:lineRule="exact"/>
        <w:ind w:firstLine="560" w:firstLineChars="200"/>
        <w:rPr>
          <w:rFonts w:eastAsiaTheme="minorEastAsia"/>
          <w:color w:val="000000" w:themeColor="text1"/>
          <w:sz w:val="28"/>
          <w:szCs w:val="28"/>
        </w:rPr>
      </w:pPr>
      <w:r>
        <w:rPr>
          <w:rFonts w:eastAsiaTheme="minorEastAsia"/>
          <w:color w:val="000000" w:themeColor="text1"/>
          <w:sz w:val="28"/>
          <w:szCs w:val="28"/>
        </w:rPr>
        <w:t>该项目消防系统主要由消防水栓、灭火器、消防沙以及消防队伍等组成，其消防系统主要存在以下危险：</w:t>
      </w:r>
    </w:p>
    <w:p>
      <w:pPr>
        <w:tabs>
          <w:tab w:val="left" w:pos="3900"/>
        </w:tabs>
        <w:adjustRightInd w:val="0"/>
        <w:snapToGrid w:val="0"/>
        <w:spacing w:line="500" w:lineRule="exact"/>
        <w:ind w:firstLine="560" w:firstLineChars="200"/>
        <w:rPr>
          <w:rFonts w:eastAsiaTheme="minorEastAsia"/>
          <w:color w:val="000000" w:themeColor="text1"/>
          <w:sz w:val="28"/>
          <w:szCs w:val="28"/>
        </w:rPr>
      </w:pPr>
      <w:r>
        <w:rPr>
          <w:rFonts w:eastAsiaTheme="minorEastAsia"/>
          <w:color w:val="000000" w:themeColor="text1"/>
          <w:sz w:val="28"/>
          <w:szCs w:val="28"/>
        </w:rPr>
        <w:t>1</w:t>
      </w:r>
      <w:r>
        <w:rPr>
          <w:rFonts w:hint="eastAsia" w:eastAsiaTheme="minorEastAsia"/>
          <w:color w:val="000000" w:themeColor="text1"/>
          <w:sz w:val="28"/>
          <w:szCs w:val="28"/>
        </w:rPr>
        <w:t>.</w:t>
      </w:r>
      <w:r>
        <w:rPr>
          <w:rFonts w:eastAsiaTheme="minorEastAsia"/>
          <w:color w:val="000000" w:themeColor="text1"/>
          <w:sz w:val="28"/>
          <w:szCs w:val="28"/>
        </w:rPr>
        <w:t>甲醇罐区、装卸区消防器材配置不足或因维护、保养不当、使用后未及时充装、恢复或排放位置不合理或被盗等原因导致火灾等事故发生时延误救援，使事故进一步扩大。</w:t>
      </w:r>
    </w:p>
    <w:p>
      <w:pPr>
        <w:tabs>
          <w:tab w:val="left" w:pos="3900"/>
        </w:tabs>
        <w:adjustRightInd w:val="0"/>
        <w:snapToGrid w:val="0"/>
        <w:spacing w:line="500" w:lineRule="exact"/>
        <w:ind w:firstLine="560" w:firstLineChars="200"/>
        <w:rPr>
          <w:rFonts w:eastAsiaTheme="minorEastAsia"/>
          <w:color w:val="000000" w:themeColor="text1"/>
          <w:sz w:val="28"/>
          <w:szCs w:val="28"/>
        </w:rPr>
      </w:pPr>
      <w:r>
        <w:rPr>
          <w:rFonts w:eastAsiaTheme="minorEastAsia"/>
          <w:color w:val="000000" w:themeColor="text1"/>
          <w:sz w:val="28"/>
          <w:szCs w:val="28"/>
        </w:rPr>
        <w:t>2</w:t>
      </w:r>
      <w:r>
        <w:rPr>
          <w:rFonts w:hint="eastAsia" w:eastAsiaTheme="minorEastAsia"/>
          <w:color w:val="000000" w:themeColor="text1"/>
          <w:sz w:val="28"/>
          <w:szCs w:val="28"/>
        </w:rPr>
        <w:t>.</w:t>
      </w:r>
      <w:r>
        <w:rPr>
          <w:rFonts w:eastAsiaTheme="minorEastAsia"/>
          <w:color w:val="000000" w:themeColor="text1"/>
          <w:sz w:val="28"/>
          <w:szCs w:val="28"/>
        </w:rPr>
        <w:t>甲醇罐区、装卸区消防水管网为厂区原有，如不能覆盖项目区，或对应供水时间不能满足规范要求，各区域出现火灾等紧急事故需用消防水处理时，如出现供水不足，供水压力较小或断水等现象时，会导致事故范围进一步扩大。</w:t>
      </w:r>
    </w:p>
    <w:p>
      <w:pPr>
        <w:tabs>
          <w:tab w:val="left" w:pos="3900"/>
        </w:tabs>
        <w:adjustRightInd w:val="0"/>
        <w:snapToGrid w:val="0"/>
        <w:spacing w:line="500" w:lineRule="exact"/>
        <w:ind w:firstLine="560" w:firstLineChars="200"/>
        <w:rPr>
          <w:rFonts w:eastAsiaTheme="minorEastAsia"/>
          <w:color w:val="000000" w:themeColor="text1"/>
          <w:sz w:val="28"/>
          <w:szCs w:val="28"/>
        </w:rPr>
      </w:pPr>
      <w:r>
        <w:rPr>
          <w:rFonts w:eastAsiaTheme="minorEastAsia"/>
          <w:color w:val="000000" w:themeColor="text1"/>
          <w:sz w:val="28"/>
          <w:szCs w:val="28"/>
        </w:rPr>
        <w:t>3</w:t>
      </w:r>
      <w:r>
        <w:rPr>
          <w:rFonts w:hint="eastAsia" w:eastAsiaTheme="minorEastAsia"/>
          <w:color w:val="000000" w:themeColor="text1"/>
          <w:sz w:val="28"/>
          <w:szCs w:val="28"/>
        </w:rPr>
        <w:t>.</w:t>
      </w:r>
      <w:r>
        <w:rPr>
          <w:rFonts w:eastAsiaTheme="minorEastAsia"/>
          <w:color w:val="000000" w:themeColor="text1"/>
          <w:sz w:val="28"/>
          <w:szCs w:val="28"/>
        </w:rPr>
        <w:t>未定期对各区域消防栓、消防水道进行检查，如消防栓破损，消防水道不通，如发生火灾等事故时，未能及时扑灭初期火灾而事故范围扩大。</w:t>
      </w:r>
    </w:p>
    <w:p>
      <w:pPr>
        <w:tabs>
          <w:tab w:val="left" w:pos="3900"/>
        </w:tabs>
        <w:adjustRightInd w:val="0"/>
        <w:snapToGrid w:val="0"/>
        <w:spacing w:line="500" w:lineRule="exact"/>
        <w:ind w:firstLine="560" w:firstLineChars="200"/>
        <w:rPr>
          <w:rFonts w:eastAsiaTheme="minorEastAsia"/>
          <w:color w:val="000000" w:themeColor="text1"/>
          <w:sz w:val="28"/>
          <w:szCs w:val="28"/>
        </w:rPr>
      </w:pPr>
      <w:r>
        <w:rPr>
          <w:rFonts w:eastAsiaTheme="minorEastAsia"/>
          <w:color w:val="000000" w:themeColor="text1"/>
          <w:sz w:val="28"/>
          <w:szCs w:val="28"/>
        </w:rPr>
        <w:t>4</w:t>
      </w:r>
      <w:r>
        <w:rPr>
          <w:rFonts w:hint="eastAsia" w:eastAsiaTheme="minorEastAsia"/>
          <w:color w:val="000000" w:themeColor="text1"/>
          <w:sz w:val="28"/>
          <w:szCs w:val="28"/>
        </w:rPr>
        <w:t>.</w:t>
      </w:r>
      <w:r>
        <w:rPr>
          <w:rFonts w:eastAsiaTheme="minorEastAsia"/>
          <w:color w:val="000000" w:themeColor="text1"/>
          <w:sz w:val="28"/>
          <w:szCs w:val="28"/>
        </w:rPr>
        <w:t>当项目各区发生的火灾、其他爆炸事故，消防应急救援人员施救不当或不在消防应急救援人员的控制范围内时，而依托的外部消防力量，因未能及时到达等其他原因，延误救援时机，导致事故进一步扩大。</w:t>
      </w:r>
    </w:p>
    <w:p>
      <w:pPr>
        <w:pStyle w:val="19"/>
        <w:spacing w:afterLines="100" w:line="500" w:lineRule="exact"/>
        <w:rPr>
          <w:rFonts w:ascii="黑体" w:hAnsi="宋体" w:eastAsia="黑体"/>
          <w:color w:val="000000" w:themeColor="text1"/>
          <w:kern w:val="3"/>
          <w:sz w:val="28"/>
          <w:szCs w:val="28"/>
        </w:rPr>
      </w:pPr>
      <w:bookmarkStart w:id="1135" w:name="_Toc30460"/>
      <w:bookmarkStart w:id="1136" w:name="_Toc13950"/>
      <w:bookmarkStart w:id="1137" w:name="_Toc26766"/>
      <w:bookmarkStart w:id="1138" w:name="_Toc28569"/>
      <w:bookmarkStart w:id="1139" w:name="_Toc22549"/>
      <w:bookmarkStart w:id="1140" w:name="_Toc3695"/>
      <w:bookmarkStart w:id="1141" w:name="_Toc10065"/>
      <w:bookmarkStart w:id="1142" w:name="_Toc24321"/>
      <w:bookmarkStart w:id="1143" w:name="_Toc22542"/>
      <w:bookmarkStart w:id="1144" w:name="_Toc13426"/>
      <w:r>
        <w:rPr>
          <w:rFonts w:hint="eastAsia" w:ascii="黑体" w:hAnsi="宋体" w:eastAsia="黑体"/>
          <w:color w:val="000000" w:themeColor="text1"/>
          <w:kern w:val="3"/>
          <w:sz w:val="28"/>
          <w:szCs w:val="28"/>
        </w:rPr>
        <w:t>3.5.5 主要作业过程危险性分析</w:t>
      </w:r>
      <w:bookmarkEnd w:id="1135"/>
      <w:bookmarkEnd w:id="1136"/>
      <w:bookmarkEnd w:id="1137"/>
      <w:bookmarkEnd w:id="1138"/>
      <w:bookmarkEnd w:id="1139"/>
      <w:bookmarkEnd w:id="1140"/>
      <w:bookmarkEnd w:id="1141"/>
      <w:bookmarkEnd w:id="1142"/>
      <w:bookmarkEnd w:id="1143"/>
      <w:bookmarkEnd w:id="1144"/>
    </w:p>
    <w:p>
      <w:pPr>
        <w:pStyle w:val="19"/>
        <w:spacing w:afterLines="100" w:line="500" w:lineRule="exact"/>
        <w:rPr>
          <w:rFonts w:ascii="黑体" w:hAnsi="宋体" w:eastAsia="黑体"/>
          <w:color w:val="000000" w:themeColor="text1"/>
          <w:kern w:val="3"/>
          <w:sz w:val="28"/>
          <w:szCs w:val="28"/>
        </w:rPr>
      </w:pPr>
      <w:bookmarkStart w:id="1145" w:name="_Toc71710913"/>
      <w:bookmarkStart w:id="1146" w:name="_Toc8372"/>
      <w:bookmarkStart w:id="1147" w:name="_Toc20974"/>
      <w:bookmarkStart w:id="1148" w:name="_Toc28452"/>
      <w:bookmarkStart w:id="1149" w:name="_Toc19369"/>
      <w:bookmarkStart w:id="1150" w:name="_Toc71558480"/>
      <w:r>
        <w:rPr>
          <w:rFonts w:hint="eastAsia" w:ascii="黑体" w:hAnsi="宋体" w:eastAsia="黑体"/>
          <w:color w:val="000000" w:themeColor="text1"/>
          <w:kern w:val="3"/>
          <w:sz w:val="28"/>
          <w:szCs w:val="28"/>
        </w:rPr>
        <w:t>3.5.5.1 甲醇卸车过程危险性分析</w:t>
      </w:r>
      <w:bookmarkEnd w:id="1145"/>
      <w:bookmarkEnd w:id="1146"/>
      <w:bookmarkEnd w:id="1147"/>
      <w:bookmarkEnd w:id="1148"/>
      <w:bookmarkEnd w:id="1149"/>
      <w:bookmarkEnd w:id="1150"/>
    </w:p>
    <w:p>
      <w:pPr>
        <w:tabs>
          <w:tab w:val="left" w:pos="3900"/>
        </w:tabs>
        <w:adjustRightInd w:val="0"/>
        <w:snapToGrid w:val="0"/>
        <w:spacing w:line="500" w:lineRule="exact"/>
        <w:ind w:firstLine="560" w:firstLineChars="200"/>
        <w:rPr>
          <w:rFonts w:eastAsiaTheme="minorEastAsia"/>
          <w:color w:val="000000" w:themeColor="text1"/>
          <w:sz w:val="28"/>
          <w:szCs w:val="28"/>
        </w:rPr>
      </w:pPr>
      <w:r>
        <w:rPr>
          <w:rFonts w:eastAsiaTheme="minorEastAsia"/>
          <w:color w:val="000000" w:themeColor="text1"/>
          <w:sz w:val="28"/>
          <w:szCs w:val="28"/>
        </w:rPr>
        <w:t>1</w:t>
      </w:r>
      <w:r>
        <w:rPr>
          <w:rFonts w:hint="eastAsia" w:eastAsiaTheme="minorEastAsia"/>
          <w:color w:val="000000" w:themeColor="text1"/>
          <w:sz w:val="28"/>
          <w:szCs w:val="28"/>
        </w:rPr>
        <w:t>.</w:t>
      </w:r>
      <w:r>
        <w:rPr>
          <w:rFonts w:eastAsiaTheme="minorEastAsia"/>
          <w:color w:val="000000" w:themeColor="text1"/>
          <w:sz w:val="28"/>
          <w:szCs w:val="28"/>
        </w:rPr>
        <w:t>甲醇储罐设置的液位计存在缺陷，未实现远传或卸车时对液位监测不及时、快速接头紧固栓松动等原因，均可能造成跑冒，引起泄漏。</w:t>
      </w:r>
    </w:p>
    <w:p>
      <w:pPr>
        <w:tabs>
          <w:tab w:val="left" w:pos="3900"/>
        </w:tabs>
        <w:adjustRightInd w:val="0"/>
        <w:snapToGrid w:val="0"/>
        <w:spacing w:line="500" w:lineRule="exact"/>
        <w:ind w:firstLine="560" w:firstLineChars="200"/>
        <w:rPr>
          <w:rFonts w:eastAsiaTheme="minorEastAsia"/>
          <w:color w:val="000000" w:themeColor="text1"/>
          <w:sz w:val="28"/>
          <w:szCs w:val="28"/>
        </w:rPr>
      </w:pPr>
      <w:r>
        <w:rPr>
          <w:rFonts w:eastAsiaTheme="minorEastAsia"/>
          <w:color w:val="000000" w:themeColor="text1"/>
          <w:sz w:val="28"/>
          <w:szCs w:val="28"/>
        </w:rPr>
        <w:t>2</w:t>
      </w:r>
      <w:r>
        <w:rPr>
          <w:rFonts w:hint="eastAsia" w:eastAsiaTheme="minorEastAsia"/>
          <w:color w:val="000000" w:themeColor="text1"/>
          <w:sz w:val="28"/>
          <w:szCs w:val="28"/>
        </w:rPr>
        <w:t>.</w:t>
      </w:r>
      <w:r>
        <w:rPr>
          <w:rFonts w:eastAsiaTheme="minorEastAsia"/>
          <w:color w:val="000000" w:themeColor="text1"/>
          <w:sz w:val="28"/>
          <w:szCs w:val="28"/>
        </w:rPr>
        <w:t>卸车作业人员教育培训不到位，安全意识差，卸车管道与卸车口连接不当等，导致大量油蒸气溢出而引发火灾、中毒窒息、化学灼伤等危险。</w:t>
      </w:r>
    </w:p>
    <w:p>
      <w:pPr>
        <w:tabs>
          <w:tab w:val="left" w:pos="3900"/>
        </w:tabs>
        <w:adjustRightInd w:val="0"/>
        <w:snapToGrid w:val="0"/>
        <w:spacing w:line="500" w:lineRule="exact"/>
        <w:ind w:firstLine="560" w:firstLineChars="200"/>
        <w:rPr>
          <w:rFonts w:eastAsiaTheme="minorEastAsia"/>
          <w:color w:val="000000" w:themeColor="text1"/>
          <w:sz w:val="28"/>
          <w:szCs w:val="28"/>
        </w:rPr>
      </w:pPr>
      <w:r>
        <w:rPr>
          <w:rFonts w:eastAsiaTheme="minorEastAsia"/>
          <w:color w:val="000000" w:themeColor="text1"/>
          <w:sz w:val="28"/>
          <w:szCs w:val="28"/>
        </w:rPr>
        <w:t>3</w:t>
      </w:r>
      <w:r>
        <w:rPr>
          <w:rFonts w:hint="eastAsia" w:eastAsiaTheme="minorEastAsia"/>
          <w:color w:val="000000" w:themeColor="text1"/>
          <w:sz w:val="28"/>
          <w:szCs w:val="28"/>
        </w:rPr>
        <w:t>.</w:t>
      </w:r>
      <w:r>
        <w:rPr>
          <w:rFonts w:eastAsiaTheme="minorEastAsia"/>
          <w:color w:val="000000" w:themeColor="text1"/>
          <w:sz w:val="28"/>
          <w:szCs w:val="28"/>
        </w:rPr>
        <w:t>卸油时采用喷溅式、卸油中罐车无静电接地等均有可能造成静电积聚放电，点燃油蒸气，引起火灾、其他爆炸事故。</w:t>
      </w:r>
    </w:p>
    <w:p>
      <w:pPr>
        <w:tabs>
          <w:tab w:val="left" w:pos="3900"/>
        </w:tabs>
        <w:adjustRightInd w:val="0"/>
        <w:snapToGrid w:val="0"/>
        <w:spacing w:line="500" w:lineRule="exact"/>
        <w:ind w:firstLine="560" w:firstLineChars="200"/>
        <w:rPr>
          <w:rFonts w:eastAsiaTheme="minorEastAsia"/>
          <w:color w:val="000000" w:themeColor="text1"/>
          <w:sz w:val="28"/>
          <w:szCs w:val="28"/>
        </w:rPr>
      </w:pPr>
      <w:r>
        <w:rPr>
          <w:rFonts w:eastAsiaTheme="minorEastAsia"/>
          <w:color w:val="000000" w:themeColor="text1"/>
          <w:sz w:val="28"/>
          <w:szCs w:val="28"/>
        </w:rPr>
        <w:t>4</w:t>
      </w:r>
      <w:r>
        <w:rPr>
          <w:rFonts w:hint="eastAsia" w:eastAsiaTheme="minorEastAsia"/>
          <w:color w:val="000000" w:themeColor="text1"/>
          <w:sz w:val="28"/>
          <w:szCs w:val="28"/>
        </w:rPr>
        <w:t>.</w:t>
      </w:r>
      <w:r>
        <w:rPr>
          <w:rFonts w:eastAsiaTheme="minorEastAsia"/>
          <w:color w:val="000000" w:themeColor="text1"/>
          <w:sz w:val="28"/>
          <w:szCs w:val="28"/>
        </w:rPr>
        <w:t>未结合甲醇储罐的设置而设置卸车防溢阀或其未与储罐液位未实现报警联锁设置，在卸车过程中，如作业人员疏忽大意等有可能造成满罐而引发大量泄漏危险。</w:t>
      </w:r>
    </w:p>
    <w:p>
      <w:pPr>
        <w:tabs>
          <w:tab w:val="left" w:pos="3900"/>
        </w:tabs>
        <w:adjustRightInd w:val="0"/>
        <w:snapToGrid w:val="0"/>
        <w:spacing w:line="500" w:lineRule="exact"/>
        <w:ind w:firstLine="560" w:firstLineChars="200"/>
        <w:rPr>
          <w:rFonts w:eastAsiaTheme="minorEastAsia"/>
          <w:color w:val="000000" w:themeColor="text1"/>
          <w:sz w:val="28"/>
          <w:szCs w:val="28"/>
        </w:rPr>
      </w:pPr>
      <w:r>
        <w:rPr>
          <w:rFonts w:eastAsiaTheme="minorEastAsia"/>
          <w:color w:val="000000" w:themeColor="text1"/>
          <w:sz w:val="28"/>
          <w:szCs w:val="28"/>
        </w:rPr>
        <w:t>5</w:t>
      </w:r>
      <w:r>
        <w:rPr>
          <w:rFonts w:hint="eastAsia" w:eastAsiaTheme="minorEastAsia"/>
          <w:color w:val="000000" w:themeColor="text1"/>
          <w:sz w:val="28"/>
          <w:szCs w:val="28"/>
        </w:rPr>
        <w:t>.</w:t>
      </w:r>
      <w:r>
        <w:rPr>
          <w:rFonts w:eastAsiaTheme="minorEastAsia"/>
          <w:color w:val="000000" w:themeColor="text1"/>
          <w:sz w:val="28"/>
          <w:szCs w:val="28"/>
        </w:rPr>
        <w:t>卸车区未设置有效车档，无相应安全警示措施等还可能会引发车辆伤害，如卸车未完时，还会造成甲醇泄漏。</w:t>
      </w:r>
    </w:p>
    <w:p>
      <w:pPr>
        <w:tabs>
          <w:tab w:val="left" w:pos="3900"/>
        </w:tabs>
        <w:adjustRightInd w:val="0"/>
        <w:snapToGrid w:val="0"/>
        <w:spacing w:line="500" w:lineRule="exact"/>
        <w:ind w:firstLine="560" w:firstLineChars="200"/>
        <w:rPr>
          <w:rFonts w:eastAsiaTheme="minorEastAsia"/>
          <w:color w:val="000000" w:themeColor="text1"/>
          <w:sz w:val="28"/>
          <w:szCs w:val="28"/>
        </w:rPr>
      </w:pPr>
      <w:r>
        <w:rPr>
          <w:rFonts w:eastAsiaTheme="minorEastAsia"/>
          <w:color w:val="000000" w:themeColor="text1"/>
          <w:sz w:val="28"/>
          <w:szCs w:val="28"/>
        </w:rPr>
        <w:t>6</w:t>
      </w:r>
      <w:r>
        <w:rPr>
          <w:rFonts w:hint="eastAsia" w:eastAsiaTheme="minorEastAsia"/>
          <w:color w:val="000000" w:themeColor="text1"/>
          <w:sz w:val="28"/>
          <w:szCs w:val="28"/>
        </w:rPr>
        <w:t>.</w:t>
      </w:r>
      <w:r>
        <w:rPr>
          <w:rFonts w:eastAsiaTheme="minorEastAsia"/>
          <w:color w:val="000000" w:themeColor="text1"/>
          <w:sz w:val="28"/>
          <w:szCs w:val="28"/>
        </w:rPr>
        <w:t>卸车时，如发生甲醇泄漏或油蒸气从罐体通气管排出，周围空气中油蒸气的浓度迅速上升，如人员吸入过量的油蒸气，可能引起中毒事故。</w:t>
      </w:r>
    </w:p>
    <w:p>
      <w:pPr>
        <w:tabs>
          <w:tab w:val="left" w:pos="3900"/>
        </w:tabs>
        <w:adjustRightInd w:val="0"/>
        <w:snapToGrid w:val="0"/>
        <w:spacing w:line="500" w:lineRule="exact"/>
        <w:ind w:firstLine="560" w:firstLineChars="200"/>
        <w:rPr>
          <w:rFonts w:eastAsiaTheme="minorEastAsia"/>
          <w:color w:val="000000" w:themeColor="text1"/>
          <w:sz w:val="28"/>
          <w:szCs w:val="28"/>
        </w:rPr>
      </w:pPr>
      <w:r>
        <w:rPr>
          <w:rFonts w:eastAsiaTheme="minorEastAsia"/>
          <w:color w:val="000000" w:themeColor="text1"/>
          <w:sz w:val="28"/>
          <w:szCs w:val="28"/>
        </w:rPr>
        <w:t>7</w:t>
      </w:r>
      <w:r>
        <w:rPr>
          <w:rFonts w:hint="eastAsia" w:eastAsiaTheme="minorEastAsia"/>
          <w:color w:val="000000" w:themeColor="text1"/>
          <w:sz w:val="28"/>
          <w:szCs w:val="28"/>
        </w:rPr>
        <w:t>.</w:t>
      </w:r>
      <w:r>
        <w:rPr>
          <w:rFonts w:eastAsiaTheme="minorEastAsia"/>
          <w:color w:val="000000" w:themeColor="text1"/>
          <w:sz w:val="28"/>
          <w:szCs w:val="28"/>
        </w:rPr>
        <w:t>其他引发事故的原因，如</w:t>
      </w:r>
      <w:r>
        <w:rPr>
          <w:color w:val="000000" w:themeColor="text1"/>
          <w:sz w:val="28"/>
          <w:szCs w:val="28"/>
        </w:rPr>
        <w:t>卸车过程中，卸车人员缺乏安全知识，在储罐区及输送管线处吸烟、打手机、使用明火等或作业人员违章操作、思想麻痹，如违章操作、穿着化纤服、铁钉鞋等均可增加发生火灾等事故的几率。</w:t>
      </w:r>
    </w:p>
    <w:p>
      <w:pPr>
        <w:pStyle w:val="19"/>
        <w:spacing w:afterLines="100" w:line="500" w:lineRule="exact"/>
        <w:rPr>
          <w:rFonts w:ascii="黑体" w:hAnsi="宋体" w:eastAsia="黑体"/>
          <w:color w:val="000000" w:themeColor="text1"/>
          <w:kern w:val="3"/>
          <w:sz w:val="28"/>
          <w:szCs w:val="28"/>
        </w:rPr>
      </w:pPr>
      <w:bookmarkStart w:id="1151" w:name="_Toc4105"/>
      <w:bookmarkStart w:id="1152" w:name="_Toc26405"/>
      <w:bookmarkStart w:id="1153" w:name="_Toc27907"/>
      <w:bookmarkStart w:id="1154" w:name="_Toc71710914"/>
      <w:bookmarkStart w:id="1155" w:name="_Toc13876"/>
      <w:bookmarkStart w:id="1156" w:name="_Toc71558481"/>
      <w:r>
        <w:rPr>
          <w:rFonts w:hint="eastAsia" w:ascii="黑体" w:hAnsi="宋体" w:eastAsia="黑体"/>
          <w:color w:val="000000" w:themeColor="text1"/>
          <w:kern w:val="3"/>
          <w:sz w:val="28"/>
          <w:szCs w:val="28"/>
        </w:rPr>
        <w:t>3.5.5.2甲醇储存过程危险性分析</w:t>
      </w:r>
      <w:bookmarkEnd w:id="1151"/>
      <w:bookmarkEnd w:id="1152"/>
      <w:bookmarkEnd w:id="1153"/>
      <w:bookmarkEnd w:id="1154"/>
      <w:bookmarkEnd w:id="1155"/>
      <w:bookmarkEnd w:id="1156"/>
    </w:p>
    <w:p>
      <w:pPr>
        <w:tabs>
          <w:tab w:val="left" w:pos="3900"/>
        </w:tabs>
        <w:adjustRightInd w:val="0"/>
        <w:snapToGrid w:val="0"/>
        <w:spacing w:line="500" w:lineRule="exact"/>
        <w:ind w:firstLine="560" w:firstLineChars="200"/>
        <w:rPr>
          <w:rFonts w:eastAsiaTheme="minorEastAsia"/>
          <w:color w:val="000000" w:themeColor="text1"/>
          <w:sz w:val="28"/>
          <w:szCs w:val="28"/>
        </w:rPr>
      </w:pPr>
      <w:r>
        <w:rPr>
          <w:rFonts w:eastAsiaTheme="minorEastAsia"/>
          <w:color w:val="000000" w:themeColor="text1"/>
          <w:sz w:val="28"/>
          <w:szCs w:val="28"/>
        </w:rPr>
        <w:t>1</w:t>
      </w:r>
      <w:r>
        <w:rPr>
          <w:rFonts w:hint="eastAsia" w:eastAsiaTheme="minorEastAsia"/>
          <w:color w:val="000000" w:themeColor="text1"/>
          <w:sz w:val="28"/>
          <w:szCs w:val="28"/>
        </w:rPr>
        <w:t>.</w:t>
      </w:r>
      <w:r>
        <w:rPr>
          <w:rFonts w:eastAsiaTheme="minorEastAsia"/>
          <w:color w:val="000000" w:themeColor="text1"/>
          <w:sz w:val="28"/>
          <w:szCs w:val="28"/>
        </w:rPr>
        <w:t>进入甲醇罐区人员违章使用易产生火花工具、吸烟、扔烟头、使用明火，穿带铁钉鞋子等均可能会引发火灾危险。</w:t>
      </w:r>
    </w:p>
    <w:p>
      <w:pPr>
        <w:tabs>
          <w:tab w:val="left" w:pos="3900"/>
        </w:tabs>
        <w:adjustRightInd w:val="0"/>
        <w:snapToGrid w:val="0"/>
        <w:spacing w:line="500" w:lineRule="exact"/>
        <w:ind w:firstLine="560" w:firstLineChars="200"/>
        <w:rPr>
          <w:rFonts w:eastAsiaTheme="minorEastAsia"/>
          <w:color w:val="000000" w:themeColor="text1"/>
          <w:sz w:val="28"/>
          <w:szCs w:val="28"/>
        </w:rPr>
      </w:pPr>
      <w:r>
        <w:rPr>
          <w:rFonts w:eastAsiaTheme="minorEastAsia"/>
          <w:color w:val="000000" w:themeColor="text1"/>
          <w:sz w:val="28"/>
          <w:szCs w:val="28"/>
        </w:rPr>
        <w:t>2</w:t>
      </w:r>
      <w:r>
        <w:rPr>
          <w:rFonts w:hint="eastAsia" w:eastAsiaTheme="minorEastAsia"/>
          <w:color w:val="000000" w:themeColor="text1"/>
          <w:sz w:val="28"/>
          <w:szCs w:val="28"/>
        </w:rPr>
        <w:t>.</w:t>
      </w:r>
      <w:r>
        <w:rPr>
          <w:rFonts w:eastAsiaTheme="minorEastAsia"/>
          <w:color w:val="000000" w:themeColor="text1"/>
          <w:sz w:val="28"/>
          <w:szCs w:val="28"/>
        </w:rPr>
        <w:t>甲醇罐区的死角或低洼处有油蒸汽集聚、罐区未设置风向标、作业人员未穿戴有效的劳动防护用品等均可能会引发火灾、中毒窒息危险。</w:t>
      </w:r>
    </w:p>
    <w:p>
      <w:pPr>
        <w:tabs>
          <w:tab w:val="left" w:pos="3900"/>
        </w:tabs>
        <w:adjustRightInd w:val="0"/>
        <w:snapToGrid w:val="0"/>
        <w:spacing w:line="500" w:lineRule="exact"/>
        <w:ind w:firstLine="560" w:firstLineChars="200"/>
        <w:rPr>
          <w:rFonts w:eastAsiaTheme="minorEastAsia"/>
          <w:color w:val="000000" w:themeColor="text1"/>
          <w:sz w:val="28"/>
          <w:szCs w:val="28"/>
        </w:rPr>
      </w:pPr>
      <w:r>
        <w:rPr>
          <w:rFonts w:eastAsiaTheme="minorEastAsia"/>
          <w:color w:val="000000" w:themeColor="text1"/>
          <w:sz w:val="28"/>
          <w:szCs w:val="28"/>
        </w:rPr>
        <w:t>3</w:t>
      </w:r>
      <w:r>
        <w:rPr>
          <w:rFonts w:hint="eastAsia" w:eastAsiaTheme="minorEastAsia"/>
          <w:color w:val="000000" w:themeColor="text1"/>
          <w:sz w:val="28"/>
          <w:szCs w:val="28"/>
        </w:rPr>
        <w:t>.</w:t>
      </w:r>
      <w:r>
        <w:rPr>
          <w:rFonts w:eastAsiaTheme="minorEastAsia"/>
          <w:color w:val="000000" w:themeColor="text1"/>
          <w:sz w:val="28"/>
          <w:szCs w:val="28"/>
        </w:rPr>
        <w:t>罐区电气线路未穿管或埋地敷设时未按规范要求设置可能会引发火灾、触电事故。</w:t>
      </w:r>
    </w:p>
    <w:p>
      <w:pPr>
        <w:pStyle w:val="5"/>
        <w:keepLines w:val="0"/>
        <w:adjustRightInd w:val="0"/>
        <w:snapToGrid w:val="0"/>
        <w:spacing w:before="0" w:after="0" w:line="500" w:lineRule="exact"/>
        <w:rPr>
          <w:rFonts w:ascii="Times New Roman" w:hAnsi="Times New Roman"/>
          <w:bCs w:val="0"/>
          <w:snapToGrid w:val="0"/>
          <w:color w:val="000000" w:themeColor="text1"/>
          <w:szCs w:val="24"/>
        </w:rPr>
      </w:pPr>
      <w:bookmarkStart w:id="1157" w:name="_Toc19539"/>
      <w:bookmarkStart w:id="1158" w:name="_Toc3105"/>
      <w:bookmarkStart w:id="1159" w:name="_Toc965"/>
      <w:bookmarkStart w:id="1160" w:name="_Toc18119"/>
      <w:bookmarkStart w:id="1161" w:name="_Toc71558482"/>
      <w:bookmarkStart w:id="1162" w:name="_Toc71710915"/>
      <w:r>
        <w:rPr>
          <w:rFonts w:ascii="Times New Roman" w:hAnsi="Times New Roman"/>
          <w:bCs w:val="0"/>
          <w:snapToGrid w:val="0"/>
          <w:color w:val="000000" w:themeColor="text1"/>
          <w:szCs w:val="24"/>
        </w:rPr>
        <w:t>3.5.5.3甲醇分装过程危险性分析</w:t>
      </w:r>
      <w:bookmarkEnd w:id="1157"/>
      <w:bookmarkEnd w:id="1158"/>
      <w:bookmarkEnd w:id="1159"/>
      <w:bookmarkEnd w:id="1160"/>
      <w:bookmarkEnd w:id="1161"/>
      <w:bookmarkEnd w:id="1162"/>
    </w:p>
    <w:p>
      <w:pPr>
        <w:tabs>
          <w:tab w:val="left" w:pos="3900"/>
        </w:tabs>
        <w:adjustRightInd w:val="0"/>
        <w:snapToGrid w:val="0"/>
        <w:spacing w:line="500" w:lineRule="exact"/>
        <w:ind w:firstLine="560" w:firstLineChars="200"/>
        <w:rPr>
          <w:rFonts w:eastAsiaTheme="minorEastAsia"/>
          <w:color w:val="000000" w:themeColor="text1"/>
          <w:sz w:val="28"/>
          <w:szCs w:val="28"/>
        </w:rPr>
      </w:pPr>
      <w:r>
        <w:rPr>
          <w:rFonts w:hint="eastAsia" w:eastAsiaTheme="minorEastAsia"/>
          <w:color w:val="000000" w:themeColor="text1"/>
          <w:sz w:val="28"/>
          <w:szCs w:val="28"/>
        </w:rPr>
        <w:t>1.</w:t>
      </w:r>
      <w:r>
        <w:rPr>
          <w:rFonts w:eastAsiaTheme="minorEastAsia"/>
          <w:color w:val="000000" w:themeColor="text1"/>
          <w:sz w:val="28"/>
          <w:szCs w:val="28"/>
        </w:rPr>
        <w:t>分装过程中使用的器具没有除静电设施或者作业区内有人员吸烟、使用明火等，遇泄漏甲醇蒸气而引发安全事故。</w:t>
      </w:r>
    </w:p>
    <w:p>
      <w:pPr>
        <w:tabs>
          <w:tab w:val="left" w:pos="3900"/>
        </w:tabs>
        <w:adjustRightInd w:val="0"/>
        <w:snapToGrid w:val="0"/>
        <w:spacing w:line="500" w:lineRule="exact"/>
        <w:ind w:firstLine="560" w:firstLineChars="200"/>
        <w:rPr>
          <w:rFonts w:eastAsiaTheme="minorEastAsia"/>
          <w:color w:val="000000" w:themeColor="text1"/>
          <w:sz w:val="28"/>
          <w:szCs w:val="28"/>
        </w:rPr>
      </w:pPr>
      <w:r>
        <w:rPr>
          <w:rFonts w:hint="eastAsia" w:eastAsiaTheme="minorEastAsia"/>
          <w:color w:val="000000" w:themeColor="text1"/>
          <w:sz w:val="28"/>
          <w:szCs w:val="28"/>
        </w:rPr>
        <w:t>2.</w:t>
      </w:r>
      <w:r>
        <w:rPr>
          <w:rFonts w:eastAsiaTheme="minorEastAsia"/>
          <w:color w:val="000000" w:themeColor="text1"/>
          <w:sz w:val="28"/>
          <w:szCs w:val="28"/>
        </w:rPr>
        <w:t>分装作业过程中采用磅秤计量，如磅秤计量不准确，相差过大，会造成装桶过满而造成甲醇外溢危险。</w:t>
      </w:r>
    </w:p>
    <w:p>
      <w:pPr>
        <w:tabs>
          <w:tab w:val="left" w:pos="3900"/>
        </w:tabs>
        <w:adjustRightInd w:val="0"/>
        <w:snapToGrid w:val="0"/>
        <w:spacing w:line="500" w:lineRule="exact"/>
        <w:ind w:firstLine="560" w:firstLineChars="200"/>
        <w:rPr>
          <w:rFonts w:eastAsiaTheme="minorEastAsia"/>
          <w:color w:val="000000" w:themeColor="text1"/>
          <w:sz w:val="28"/>
          <w:szCs w:val="28"/>
        </w:rPr>
      </w:pPr>
      <w:r>
        <w:rPr>
          <w:rFonts w:hint="eastAsia" w:eastAsiaTheme="minorEastAsia"/>
          <w:color w:val="000000" w:themeColor="text1"/>
          <w:sz w:val="28"/>
          <w:szCs w:val="28"/>
        </w:rPr>
        <w:t>3.</w:t>
      </w:r>
      <w:r>
        <w:rPr>
          <w:rFonts w:eastAsiaTheme="minorEastAsia"/>
          <w:color w:val="000000" w:themeColor="text1"/>
          <w:sz w:val="28"/>
          <w:szCs w:val="28"/>
        </w:rPr>
        <w:t>分装过程中作业人员离岗，会造成装桶过满而造成甲醇外溢危险。</w:t>
      </w:r>
    </w:p>
    <w:p>
      <w:pPr>
        <w:tabs>
          <w:tab w:val="left" w:pos="3900"/>
        </w:tabs>
        <w:adjustRightInd w:val="0"/>
        <w:snapToGrid w:val="0"/>
        <w:spacing w:line="500" w:lineRule="exact"/>
        <w:ind w:firstLine="560" w:firstLineChars="200"/>
        <w:rPr>
          <w:rFonts w:eastAsiaTheme="minorEastAsia"/>
          <w:color w:val="000000" w:themeColor="text1"/>
          <w:sz w:val="28"/>
          <w:szCs w:val="28"/>
        </w:rPr>
      </w:pPr>
      <w:r>
        <w:rPr>
          <w:rFonts w:hint="eastAsia" w:eastAsiaTheme="minorEastAsia"/>
          <w:color w:val="000000" w:themeColor="text1"/>
          <w:sz w:val="28"/>
          <w:szCs w:val="28"/>
        </w:rPr>
        <w:t>4.</w:t>
      </w:r>
      <w:r>
        <w:rPr>
          <w:rFonts w:eastAsiaTheme="minorEastAsia"/>
          <w:color w:val="000000" w:themeColor="text1"/>
          <w:sz w:val="28"/>
          <w:szCs w:val="28"/>
        </w:rPr>
        <w:t>分装作业时，作业人员违章作业，未佩戴防毒口罩等防护发生中毒等危险。</w:t>
      </w:r>
    </w:p>
    <w:p>
      <w:pPr>
        <w:pStyle w:val="5"/>
        <w:keepLines w:val="0"/>
        <w:adjustRightInd w:val="0"/>
        <w:snapToGrid w:val="0"/>
        <w:spacing w:before="0" w:after="0" w:line="500" w:lineRule="exact"/>
        <w:rPr>
          <w:rFonts w:ascii="Times New Roman" w:hAnsi="Times New Roman"/>
          <w:bCs w:val="0"/>
          <w:snapToGrid w:val="0"/>
          <w:color w:val="000000" w:themeColor="text1"/>
          <w:szCs w:val="24"/>
        </w:rPr>
      </w:pPr>
      <w:bookmarkStart w:id="1163" w:name="_Toc71558483"/>
      <w:bookmarkStart w:id="1164" w:name="_Toc71710916"/>
      <w:bookmarkStart w:id="1165" w:name="_Toc32503"/>
      <w:bookmarkStart w:id="1166" w:name="_Toc10925"/>
      <w:bookmarkStart w:id="1167" w:name="_Toc32454"/>
      <w:bookmarkStart w:id="1168" w:name="_Toc25169"/>
      <w:r>
        <w:rPr>
          <w:rFonts w:ascii="Times New Roman" w:hAnsi="Times New Roman"/>
          <w:bCs w:val="0"/>
          <w:snapToGrid w:val="0"/>
          <w:color w:val="000000" w:themeColor="text1"/>
          <w:szCs w:val="24"/>
        </w:rPr>
        <w:t>3.5.5.4</w:t>
      </w:r>
      <w:bookmarkEnd w:id="1163"/>
      <w:bookmarkEnd w:id="1164"/>
      <w:r>
        <w:rPr>
          <w:rFonts w:ascii="Times New Roman" w:hAnsi="Times New Roman"/>
          <w:bCs w:val="0"/>
          <w:snapToGrid w:val="0"/>
          <w:color w:val="000000" w:themeColor="text1"/>
          <w:szCs w:val="24"/>
        </w:rPr>
        <w:t>甲醇装车过程危险性分析</w:t>
      </w:r>
      <w:bookmarkEnd w:id="1165"/>
      <w:bookmarkEnd w:id="1166"/>
      <w:bookmarkEnd w:id="1167"/>
      <w:bookmarkEnd w:id="1168"/>
    </w:p>
    <w:p>
      <w:pPr>
        <w:tabs>
          <w:tab w:val="left" w:pos="3900"/>
        </w:tabs>
        <w:adjustRightInd w:val="0"/>
        <w:snapToGrid w:val="0"/>
        <w:spacing w:line="500" w:lineRule="exact"/>
        <w:ind w:firstLine="560" w:firstLineChars="200"/>
        <w:rPr>
          <w:rFonts w:eastAsiaTheme="minorEastAsia"/>
          <w:color w:val="000000" w:themeColor="text1"/>
          <w:sz w:val="28"/>
          <w:szCs w:val="28"/>
        </w:rPr>
      </w:pPr>
      <w:r>
        <w:rPr>
          <w:rFonts w:eastAsiaTheme="minorEastAsia"/>
          <w:color w:val="000000" w:themeColor="text1"/>
          <w:sz w:val="28"/>
          <w:szCs w:val="28"/>
        </w:rPr>
        <w:t>1</w:t>
      </w:r>
      <w:r>
        <w:rPr>
          <w:rFonts w:hint="eastAsia" w:eastAsiaTheme="minorEastAsia"/>
          <w:color w:val="000000" w:themeColor="text1"/>
          <w:sz w:val="28"/>
          <w:szCs w:val="28"/>
        </w:rPr>
        <w:t>.</w:t>
      </w:r>
      <w:r>
        <w:rPr>
          <w:rFonts w:eastAsiaTheme="minorEastAsia"/>
          <w:color w:val="000000" w:themeColor="text1"/>
          <w:sz w:val="28"/>
          <w:szCs w:val="28"/>
        </w:rPr>
        <w:t>进入汽车装车区的车辆没有按规定熄火或其排烟管管口未安装阻火器等遇甲醇蒸气而引发火灾等事故。</w:t>
      </w:r>
    </w:p>
    <w:p>
      <w:pPr>
        <w:tabs>
          <w:tab w:val="left" w:pos="3900"/>
        </w:tabs>
        <w:adjustRightInd w:val="0"/>
        <w:snapToGrid w:val="0"/>
        <w:spacing w:line="500" w:lineRule="exact"/>
        <w:ind w:firstLine="560" w:firstLineChars="200"/>
        <w:rPr>
          <w:rFonts w:eastAsiaTheme="minorEastAsia"/>
          <w:color w:val="000000" w:themeColor="text1"/>
          <w:sz w:val="28"/>
          <w:szCs w:val="28"/>
        </w:rPr>
      </w:pPr>
      <w:r>
        <w:rPr>
          <w:rFonts w:eastAsiaTheme="minorEastAsia"/>
          <w:color w:val="000000" w:themeColor="text1"/>
          <w:sz w:val="28"/>
          <w:szCs w:val="28"/>
        </w:rPr>
        <w:t>2</w:t>
      </w:r>
      <w:r>
        <w:rPr>
          <w:rFonts w:hint="eastAsia" w:eastAsiaTheme="minorEastAsia"/>
          <w:color w:val="000000" w:themeColor="text1"/>
          <w:sz w:val="28"/>
          <w:szCs w:val="28"/>
        </w:rPr>
        <w:t>.</w:t>
      </w:r>
      <w:r>
        <w:rPr>
          <w:rFonts w:eastAsiaTheme="minorEastAsia"/>
          <w:color w:val="000000" w:themeColor="text1"/>
          <w:sz w:val="28"/>
          <w:szCs w:val="28"/>
        </w:rPr>
        <w:t>运输甲醇的车辆无危险化学品运输资质或汽车罐车未定期进行检测，向不合格罐车装车时，有可能发生甲醇泄漏、火灾等危险。</w:t>
      </w:r>
    </w:p>
    <w:p>
      <w:pPr>
        <w:tabs>
          <w:tab w:val="left" w:pos="3900"/>
        </w:tabs>
        <w:adjustRightInd w:val="0"/>
        <w:snapToGrid w:val="0"/>
        <w:spacing w:line="500" w:lineRule="exact"/>
        <w:ind w:firstLine="560" w:firstLineChars="200"/>
        <w:rPr>
          <w:rFonts w:eastAsiaTheme="minorEastAsia"/>
          <w:color w:val="000000" w:themeColor="text1"/>
          <w:sz w:val="28"/>
          <w:szCs w:val="28"/>
        </w:rPr>
      </w:pPr>
      <w:r>
        <w:rPr>
          <w:rFonts w:eastAsiaTheme="minorEastAsia"/>
          <w:color w:val="000000" w:themeColor="text1"/>
          <w:sz w:val="28"/>
          <w:szCs w:val="28"/>
        </w:rPr>
        <w:t>3</w:t>
      </w:r>
      <w:r>
        <w:rPr>
          <w:rFonts w:hint="eastAsia" w:eastAsiaTheme="minorEastAsia"/>
          <w:color w:val="000000" w:themeColor="text1"/>
          <w:sz w:val="28"/>
          <w:szCs w:val="28"/>
        </w:rPr>
        <w:t>.</w:t>
      </w:r>
      <w:r>
        <w:rPr>
          <w:rFonts w:eastAsiaTheme="minorEastAsia"/>
          <w:color w:val="000000" w:themeColor="text1"/>
          <w:sz w:val="28"/>
          <w:szCs w:val="28"/>
        </w:rPr>
        <w:t>汽车罐车因未采取防溜措施，溜走后，拉断装车管线造成泄漏或装车人员擅离岗位，造成无人操控车辆被撞毁装车设施而发生泄漏。</w:t>
      </w:r>
    </w:p>
    <w:p>
      <w:pPr>
        <w:tabs>
          <w:tab w:val="left" w:pos="3900"/>
        </w:tabs>
        <w:adjustRightInd w:val="0"/>
        <w:snapToGrid w:val="0"/>
        <w:spacing w:line="500" w:lineRule="exact"/>
        <w:ind w:firstLine="560" w:firstLineChars="200"/>
        <w:rPr>
          <w:rFonts w:eastAsiaTheme="minorEastAsia"/>
          <w:color w:val="000000" w:themeColor="text1"/>
          <w:kern w:val="0"/>
          <w:sz w:val="28"/>
          <w:szCs w:val="28"/>
        </w:rPr>
      </w:pPr>
      <w:r>
        <w:rPr>
          <w:rFonts w:eastAsiaTheme="minorEastAsia"/>
          <w:color w:val="000000" w:themeColor="text1"/>
          <w:sz w:val="28"/>
          <w:szCs w:val="28"/>
        </w:rPr>
        <w:t>4</w:t>
      </w:r>
      <w:r>
        <w:rPr>
          <w:rFonts w:hint="eastAsia" w:eastAsiaTheme="minorEastAsia"/>
          <w:color w:val="000000" w:themeColor="text1"/>
          <w:sz w:val="28"/>
          <w:szCs w:val="28"/>
        </w:rPr>
        <w:t>.</w:t>
      </w:r>
      <w:r>
        <w:rPr>
          <w:rFonts w:eastAsiaTheme="minorEastAsia"/>
          <w:color w:val="000000" w:themeColor="text1"/>
          <w:sz w:val="28"/>
          <w:szCs w:val="28"/>
        </w:rPr>
        <w:t>甲醇装车过程中，进入装车区的司机等人员在装车过程中吸烟、使用明火等，遇泄漏甲醇蒸气而引发安全事故。</w:t>
      </w:r>
    </w:p>
    <w:p>
      <w:pPr>
        <w:pStyle w:val="19"/>
        <w:spacing w:afterLines="100" w:line="500" w:lineRule="exact"/>
        <w:rPr>
          <w:rFonts w:ascii="黑体" w:hAnsi="宋体" w:eastAsia="黑体"/>
          <w:color w:val="000000" w:themeColor="text1"/>
          <w:kern w:val="3"/>
          <w:sz w:val="28"/>
          <w:szCs w:val="28"/>
        </w:rPr>
      </w:pPr>
      <w:bookmarkStart w:id="1169" w:name="_Toc3789"/>
      <w:bookmarkStart w:id="1170" w:name="_Toc6810"/>
      <w:bookmarkStart w:id="1171" w:name="_Toc1565"/>
      <w:bookmarkStart w:id="1172" w:name="_Toc27023"/>
      <w:bookmarkStart w:id="1173" w:name="_Toc26837"/>
      <w:bookmarkStart w:id="1174" w:name="_Toc13831"/>
      <w:bookmarkStart w:id="1175" w:name="_Toc30482"/>
      <w:bookmarkStart w:id="1176" w:name="_Toc29619"/>
      <w:bookmarkStart w:id="1177" w:name="_Toc4549"/>
      <w:bookmarkStart w:id="1178" w:name="_Toc492886679"/>
      <w:bookmarkStart w:id="1179" w:name="_Toc13967"/>
      <w:bookmarkStart w:id="1180" w:name="_Toc24463"/>
      <w:r>
        <w:rPr>
          <w:rFonts w:hint="eastAsia" w:ascii="黑体" w:hAnsi="宋体" w:eastAsia="黑体"/>
          <w:color w:val="000000" w:themeColor="text1"/>
          <w:kern w:val="3"/>
          <w:sz w:val="28"/>
          <w:szCs w:val="28"/>
        </w:rPr>
        <w:t>3.5.6特殊作业过程中的危险、有害因素分析</w:t>
      </w:r>
      <w:bookmarkEnd w:id="1169"/>
      <w:bookmarkEnd w:id="1170"/>
      <w:bookmarkEnd w:id="1171"/>
      <w:bookmarkEnd w:id="1172"/>
      <w:bookmarkEnd w:id="1173"/>
      <w:bookmarkEnd w:id="1174"/>
      <w:bookmarkEnd w:id="1175"/>
      <w:bookmarkEnd w:id="1176"/>
      <w:bookmarkEnd w:id="1177"/>
      <w:bookmarkEnd w:id="1178"/>
      <w:bookmarkEnd w:id="1179"/>
      <w:bookmarkEnd w:id="1180"/>
    </w:p>
    <w:p>
      <w:pPr>
        <w:spacing w:line="500" w:lineRule="exact"/>
        <w:ind w:firstLine="560" w:firstLineChars="200"/>
        <w:rPr>
          <w:color w:val="000000" w:themeColor="text1"/>
          <w:sz w:val="28"/>
          <w:szCs w:val="28"/>
        </w:rPr>
      </w:pPr>
      <w:bookmarkStart w:id="1181" w:name="_Toc24088"/>
      <w:bookmarkStart w:id="1182" w:name="_Toc345765776"/>
      <w:bookmarkStart w:id="1183" w:name="_Toc26133"/>
      <w:bookmarkStart w:id="1184" w:name="_Toc19300"/>
      <w:bookmarkStart w:id="1185" w:name="_Toc2892"/>
      <w:bookmarkStart w:id="1186" w:name="_Toc24724"/>
      <w:bookmarkStart w:id="1187" w:name="_Toc23771"/>
      <w:bookmarkStart w:id="1188" w:name="_Toc32609"/>
      <w:bookmarkStart w:id="1189" w:name="_Toc7975"/>
      <w:r>
        <w:rPr>
          <w:rFonts w:hint="eastAsia"/>
          <w:color w:val="000000" w:themeColor="text1"/>
          <w:sz w:val="28"/>
          <w:szCs w:val="28"/>
        </w:rPr>
        <w:t>根据该项目涉及的设备、设施及其管线等处出现故障需要检修、维护时，有可能需要动火作业、高处作业、临时用电等特殊作业过程，在此过程中危险因素较多，如企业管理不到位，安全措施设置不当等易发生容器爆炸、中毒、窒息、火灾爆炸、高处坠落、烫伤、物体打击、机械伤害、噪声等危险，其引发事故主要原因分析如下：</w:t>
      </w:r>
    </w:p>
    <w:p>
      <w:pPr>
        <w:pStyle w:val="19"/>
        <w:spacing w:afterLines="100" w:line="500" w:lineRule="exact"/>
        <w:rPr>
          <w:rFonts w:ascii="黑体" w:hAnsi="宋体" w:eastAsia="黑体"/>
          <w:color w:val="000000" w:themeColor="text1"/>
          <w:kern w:val="3"/>
          <w:sz w:val="28"/>
          <w:szCs w:val="28"/>
        </w:rPr>
      </w:pPr>
      <w:r>
        <w:rPr>
          <w:rFonts w:hint="eastAsia" w:ascii="黑体" w:hAnsi="宋体" w:eastAsia="黑体"/>
          <w:color w:val="000000" w:themeColor="text1"/>
          <w:kern w:val="3"/>
          <w:sz w:val="28"/>
          <w:szCs w:val="28"/>
        </w:rPr>
        <w:t>3.5.6.1动火作业危险性分析</w:t>
      </w:r>
    </w:p>
    <w:p>
      <w:pPr>
        <w:spacing w:line="500" w:lineRule="exact"/>
        <w:ind w:firstLine="560" w:firstLineChars="200"/>
        <w:rPr>
          <w:color w:val="000000" w:themeColor="text1"/>
          <w:sz w:val="28"/>
          <w:szCs w:val="28"/>
        </w:rPr>
      </w:pPr>
      <w:r>
        <w:rPr>
          <w:rFonts w:hint="eastAsia"/>
          <w:color w:val="000000" w:themeColor="text1"/>
          <w:sz w:val="28"/>
          <w:szCs w:val="28"/>
        </w:rPr>
        <w:t>在进行设备检修、安装过程常常需要进行</w:t>
      </w:r>
      <w:r>
        <w:rPr>
          <w:color w:val="000000" w:themeColor="text1"/>
          <w:sz w:val="28"/>
          <w:szCs w:val="28"/>
        </w:rPr>
        <w:t>电焊、气焊（割）等进行可能产生火焰、火花和炽热表面的</w:t>
      </w:r>
      <w:r>
        <w:rPr>
          <w:rFonts w:hint="eastAsia"/>
          <w:color w:val="000000" w:themeColor="text1"/>
          <w:sz w:val="28"/>
          <w:szCs w:val="28"/>
        </w:rPr>
        <w:t>动火作业，其动火作业可能造成火灾、爆炸、灼烫等危险。造成事故的主要原因分析如下：</w:t>
      </w:r>
    </w:p>
    <w:p>
      <w:pPr>
        <w:numPr>
          <w:ilvl w:val="0"/>
          <w:numId w:val="8"/>
        </w:numPr>
        <w:spacing w:line="500" w:lineRule="exact"/>
        <w:ind w:firstLine="560" w:firstLineChars="200"/>
        <w:rPr>
          <w:color w:val="000000" w:themeColor="text1"/>
          <w:sz w:val="28"/>
          <w:szCs w:val="28"/>
        </w:rPr>
      </w:pPr>
      <w:r>
        <w:rPr>
          <w:rFonts w:hint="eastAsia"/>
          <w:color w:val="000000" w:themeColor="text1"/>
          <w:sz w:val="28"/>
          <w:szCs w:val="28"/>
        </w:rPr>
        <w:t>动火作业未设专人监火或监护人员脱岗。</w:t>
      </w:r>
    </w:p>
    <w:p>
      <w:pPr>
        <w:numPr>
          <w:ilvl w:val="0"/>
          <w:numId w:val="8"/>
        </w:numPr>
        <w:spacing w:line="500" w:lineRule="exact"/>
        <w:ind w:firstLine="560" w:firstLineChars="200"/>
        <w:rPr>
          <w:color w:val="000000" w:themeColor="text1"/>
          <w:sz w:val="28"/>
          <w:szCs w:val="28"/>
        </w:rPr>
      </w:pPr>
      <w:r>
        <w:rPr>
          <w:rFonts w:hint="eastAsia"/>
          <w:color w:val="000000" w:themeColor="text1"/>
          <w:sz w:val="28"/>
          <w:szCs w:val="28"/>
        </w:rPr>
        <w:t>动火作业区未设警戒线，未设安全警示标志，作业现场未配备相应的消防器材或配备的消防器材不满足现场应急需求。</w:t>
      </w:r>
    </w:p>
    <w:p>
      <w:pPr>
        <w:numPr>
          <w:ilvl w:val="0"/>
          <w:numId w:val="8"/>
        </w:numPr>
        <w:spacing w:line="500" w:lineRule="exact"/>
        <w:ind w:firstLine="560" w:firstLineChars="200"/>
        <w:rPr>
          <w:color w:val="000000" w:themeColor="text1"/>
          <w:sz w:val="28"/>
          <w:szCs w:val="28"/>
        </w:rPr>
      </w:pPr>
      <w:r>
        <w:rPr>
          <w:rFonts w:hint="eastAsia"/>
          <w:color w:val="000000" w:themeColor="text1"/>
          <w:sz w:val="28"/>
          <w:szCs w:val="28"/>
        </w:rPr>
        <w:t>作业前未清除动火现场及周围的瓶装气体、易燃物或未采取其他有效的安全防火措施。</w:t>
      </w:r>
    </w:p>
    <w:p>
      <w:pPr>
        <w:numPr>
          <w:ilvl w:val="0"/>
          <w:numId w:val="8"/>
        </w:numPr>
        <w:spacing w:line="500" w:lineRule="exact"/>
        <w:ind w:firstLine="560" w:firstLineChars="200"/>
        <w:rPr>
          <w:color w:val="000000" w:themeColor="text1"/>
          <w:sz w:val="28"/>
          <w:szCs w:val="28"/>
        </w:rPr>
      </w:pPr>
      <w:r>
        <w:rPr>
          <w:rFonts w:hint="eastAsia"/>
          <w:color w:val="000000" w:themeColor="text1"/>
          <w:sz w:val="28"/>
          <w:szCs w:val="28"/>
        </w:rPr>
        <w:t>在低温液体贮槽或瓶装气体存放区进行动火作业会引发容器爆炸。</w:t>
      </w:r>
    </w:p>
    <w:p>
      <w:pPr>
        <w:numPr>
          <w:ilvl w:val="0"/>
          <w:numId w:val="8"/>
        </w:numPr>
        <w:spacing w:line="500" w:lineRule="exact"/>
        <w:ind w:firstLine="560" w:firstLineChars="200"/>
        <w:rPr>
          <w:color w:val="000000" w:themeColor="text1"/>
          <w:sz w:val="28"/>
          <w:szCs w:val="28"/>
        </w:rPr>
      </w:pPr>
      <w:r>
        <w:rPr>
          <w:rFonts w:hint="eastAsia"/>
          <w:color w:val="000000" w:themeColor="text1"/>
          <w:sz w:val="28"/>
          <w:szCs w:val="28"/>
        </w:rPr>
        <w:t>动火点周围或其下方的地面有可燃物、空洞、地沟时，未采取清除或封盖等措施，或动火期间，距动火点30m、15m范围内分别有易燃蒸气、可燃液体和排放，或距动火点10m范围内及动火点下方有可燃溶剂清洗或喷漆等作业。</w:t>
      </w:r>
    </w:p>
    <w:p>
      <w:pPr>
        <w:numPr>
          <w:ilvl w:val="0"/>
          <w:numId w:val="8"/>
        </w:numPr>
        <w:spacing w:line="500" w:lineRule="exact"/>
        <w:ind w:firstLine="560" w:firstLineChars="200"/>
        <w:rPr>
          <w:color w:val="000000" w:themeColor="text1"/>
          <w:sz w:val="28"/>
          <w:szCs w:val="28"/>
        </w:rPr>
      </w:pPr>
      <w:r>
        <w:rPr>
          <w:rFonts w:hint="eastAsia"/>
          <w:color w:val="000000" w:themeColor="text1"/>
          <w:sz w:val="28"/>
          <w:szCs w:val="28"/>
        </w:rPr>
        <w:t>进入低温液体贮槽等有限空间动火时，未采取排风措施等会导致人员中毒、窒息。</w:t>
      </w:r>
    </w:p>
    <w:p>
      <w:pPr>
        <w:numPr>
          <w:ilvl w:val="0"/>
          <w:numId w:val="8"/>
        </w:numPr>
        <w:spacing w:line="500" w:lineRule="exact"/>
        <w:ind w:firstLine="560" w:firstLineChars="200"/>
        <w:rPr>
          <w:color w:val="000000" w:themeColor="text1"/>
          <w:sz w:val="28"/>
          <w:szCs w:val="28"/>
        </w:rPr>
      </w:pPr>
      <w:r>
        <w:rPr>
          <w:color w:val="000000" w:themeColor="text1"/>
          <w:sz w:val="28"/>
          <w:szCs w:val="28"/>
        </w:rPr>
        <w:t>使用气焊、气割动火作业时，</w:t>
      </w:r>
      <w:r>
        <w:rPr>
          <w:rFonts w:hint="eastAsia"/>
          <w:color w:val="000000" w:themeColor="text1"/>
          <w:sz w:val="28"/>
          <w:szCs w:val="28"/>
        </w:rPr>
        <w:t>氧气瓶未直立放置等使用不规范，或动火作业完毕后未清理现场，未确认无残留火种后离开。</w:t>
      </w:r>
    </w:p>
    <w:p>
      <w:pPr>
        <w:numPr>
          <w:ilvl w:val="0"/>
          <w:numId w:val="8"/>
        </w:numPr>
        <w:spacing w:line="500" w:lineRule="exact"/>
        <w:ind w:firstLine="560" w:firstLineChars="200"/>
        <w:rPr>
          <w:color w:val="000000" w:themeColor="text1"/>
          <w:sz w:val="28"/>
          <w:szCs w:val="28"/>
        </w:rPr>
      </w:pPr>
      <w:r>
        <w:rPr>
          <w:rFonts w:hint="eastAsia"/>
          <w:color w:val="000000" w:themeColor="text1"/>
          <w:sz w:val="28"/>
          <w:szCs w:val="28"/>
        </w:rPr>
        <w:t>人员违章作业。</w:t>
      </w:r>
    </w:p>
    <w:p>
      <w:pPr>
        <w:pStyle w:val="19"/>
        <w:spacing w:afterLines="100" w:line="500" w:lineRule="exact"/>
        <w:rPr>
          <w:rFonts w:ascii="黑体" w:hAnsi="宋体" w:eastAsia="黑体"/>
          <w:color w:val="000000" w:themeColor="text1"/>
          <w:kern w:val="3"/>
          <w:sz w:val="28"/>
          <w:szCs w:val="28"/>
        </w:rPr>
      </w:pPr>
      <w:r>
        <w:rPr>
          <w:rFonts w:hint="eastAsia" w:ascii="黑体" w:hAnsi="宋体" w:eastAsia="黑体"/>
          <w:color w:val="000000" w:themeColor="text1"/>
          <w:kern w:val="3"/>
          <w:sz w:val="28"/>
          <w:szCs w:val="28"/>
        </w:rPr>
        <w:t>3.5.6.2临时用电作业危险性分析</w:t>
      </w:r>
    </w:p>
    <w:p>
      <w:pPr>
        <w:spacing w:line="500" w:lineRule="exact"/>
        <w:ind w:firstLine="560" w:firstLineChars="200"/>
        <w:rPr>
          <w:color w:val="000000" w:themeColor="text1"/>
          <w:sz w:val="28"/>
          <w:szCs w:val="28"/>
        </w:rPr>
      </w:pPr>
      <w:r>
        <w:rPr>
          <w:rFonts w:hint="eastAsia"/>
          <w:color w:val="000000" w:themeColor="text1"/>
          <w:sz w:val="28"/>
          <w:szCs w:val="28"/>
        </w:rPr>
        <w:t>站内运行过程中有可能会涉及临时用电作业，在此过程中可能因违章操作等原因而引发触电、电气火灾等危险，其引发事故主要原因分析如下：</w:t>
      </w:r>
    </w:p>
    <w:p>
      <w:pPr>
        <w:numPr>
          <w:ilvl w:val="0"/>
          <w:numId w:val="9"/>
        </w:numPr>
        <w:spacing w:line="500" w:lineRule="exact"/>
        <w:ind w:firstLine="560" w:firstLineChars="200"/>
        <w:rPr>
          <w:color w:val="000000" w:themeColor="text1"/>
          <w:sz w:val="28"/>
          <w:szCs w:val="28"/>
        </w:rPr>
      </w:pPr>
      <w:r>
        <w:rPr>
          <w:rFonts w:hint="eastAsia"/>
          <w:color w:val="000000" w:themeColor="text1"/>
          <w:sz w:val="28"/>
          <w:szCs w:val="28"/>
        </w:rPr>
        <w:t>临时用电线路未设置保护开关，或使用前未检查电气装置和保护设施的可靠性或为接地。</w:t>
      </w:r>
    </w:p>
    <w:p>
      <w:pPr>
        <w:numPr>
          <w:ilvl w:val="0"/>
          <w:numId w:val="9"/>
        </w:numPr>
        <w:spacing w:line="500" w:lineRule="exact"/>
        <w:ind w:firstLine="560" w:firstLineChars="200"/>
        <w:rPr>
          <w:color w:val="000000" w:themeColor="text1"/>
          <w:sz w:val="28"/>
          <w:szCs w:val="28"/>
        </w:rPr>
      </w:pPr>
      <w:r>
        <w:rPr>
          <w:rFonts w:hint="eastAsia"/>
          <w:color w:val="000000" w:themeColor="text1"/>
          <w:sz w:val="28"/>
          <w:szCs w:val="28"/>
        </w:rPr>
        <w:t>临时用电线路经过有高温、振动、腐蚀、积水等区域时有接头，且未采取相应的保护措施。</w:t>
      </w:r>
    </w:p>
    <w:p>
      <w:pPr>
        <w:numPr>
          <w:ilvl w:val="0"/>
          <w:numId w:val="9"/>
        </w:numPr>
        <w:spacing w:line="500" w:lineRule="exact"/>
        <w:ind w:firstLine="560" w:firstLineChars="200"/>
        <w:rPr>
          <w:color w:val="000000" w:themeColor="text1"/>
          <w:sz w:val="28"/>
          <w:szCs w:val="28"/>
        </w:rPr>
      </w:pPr>
      <w:r>
        <w:rPr>
          <w:rFonts w:hint="eastAsia"/>
          <w:color w:val="000000" w:themeColor="text1"/>
          <w:sz w:val="28"/>
          <w:szCs w:val="28"/>
        </w:rPr>
        <w:t>临时用电架空线设置不规范，未采用绝缘铜芯线，且未架设在专用电杆或支架上。</w:t>
      </w:r>
    </w:p>
    <w:p>
      <w:pPr>
        <w:numPr>
          <w:ilvl w:val="0"/>
          <w:numId w:val="9"/>
        </w:numPr>
        <w:spacing w:line="500" w:lineRule="exact"/>
        <w:ind w:firstLine="560" w:firstLineChars="200"/>
        <w:rPr>
          <w:color w:val="000000" w:themeColor="text1"/>
          <w:sz w:val="28"/>
          <w:szCs w:val="28"/>
        </w:rPr>
      </w:pPr>
      <w:r>
        <w:rPr>
          <w:rFonts w:hint="eastAsia"/>
          <w:color w:val="000000" w:themeColor="text1"/>
          <w:sz w:val="28"/>
          <w:szCs w:val="28"/>
        </w:rPr>
        <w:t>在特别潮湿的场所或槽内等金属设备内作业时，临时照明行灯的电压不符合规范要求，超过12V。</w:t>
      </w:r>
    </w:p>
    <w:p>
      <w:pPr>
        <w:numPr>
          <w:ilvl w:val="0"/>
          <w:numId w:val="9"/>
        </w:numPr>
        <w:spacing w:line="500" w:lineRule="exact"/>
        <w:ind w:firstLine="560" w:firstLineChars="200"/>
        <w:rPr>
          <w:color w:val="000000" w:themeColor="text1"/>
          <w:sz w:val="28"/>
          <w:szCs w:val="28"/>
        </w:rPr>
      </w:pPr>
      <w:r>
        <w:rPr>
          <w:rFonts w:hint="eastAsia"/>
          <w:color w:val="000000" w:themeColor="text1"/>
          <w:sz w:val="28"/>
          <w:szCs w:val="28"/>
        </w:rPr>
        <w:t>用电结束后，未及时拆除临时用电线路。</w:t>
      </w:r>
    </w:p>
    <w:p>
      <w:pPr>
        <w:numPr>
          <w:ilvl w:val="0"/>
          <w:numId w:val="9"/>
        </w:numPr>
        <w:spacing w:line="500" w:lineRule="exact"/>
        <w:ind w:firstLine="560" w:firstLineChars="200"/>
        <w:rPr>
          <w:color w:val="000000" w:themeColor="text1"/>
          <w:sz w:val="28"/>
          <w:szCs w:val="28"/>
        </w:rPr>
      </w:pPr>
      <w:r>
        <w:rPr>
          <w:rFonts w:hint="eastAsia"/>
          <w:color w:val="000000" w:themeColor="text1"/>
          <w:sz w:val="28"/>
          <w:szCs w:val="28"/>
        </w:rPr>
        <w:t>作业人员未持证上岗，违章作业等其他原因。</w:t>
      </w:r>
    </w:p>
    <w:p>
      <w:pPr>
        <w:pStyle w:val="19"/>
        <w:spacing w:afterLines="100" w:line="500" w:lineRule="exact"/>
        <w:rPr>
          <w:rFonts w:ascii="黑体" w:hAnsi="宋体" w:eastAsia="黑体"/>
          <w:color w:val="000000" w:themeColor="text1"/>
          <w:kern w:val="3"/>
          <w:sz w:val="28"/>
          <w:szCs w:val="28"/>
        </w:rPr>
      </w:pPr>
      <w:r>
        <w:rPr>
          <w:rFonts w:hint="eastAsia" w:ascii="黑体" w:hAnsi="宋体" w:eastAsia="黑体"/>
          <w:color w:val="000000" w:themeColor="text1"/>
          <w:kern w:val="3"/>
          <w:sz w:val="28"/>
          <w:szCs w:val="28"/>
        </w:rPr>
        <w:t>3.5.5.3高处作业危险性分析</w:t>
      </w:r>
    </w:p>
    <w:p>
      <w:pPr>
        <w:spacing w:line="500" w:lineRule="exact"/>
        <w:ind w:firstLine="560" w:firstLineChars="200"/>
        <w:rPr>
          <w:color w:val="000000" w:themeColor="text1"/>
          <w:sz w:val="28"/>
          <w:szCs w:val="28"/>
        </w:rPr>
      </w:pPr>
      <w:r>
        <w:rPr>
          <w:rFonts w:hint="eastAsia"/>
          <w:color w:val="000000" w:themeColor="text1"/>
          <w:sz w:val="28"/>
          <w:szCs w:val="28"/>
        </w:rPr>
        <w:t>该项目液氧（低温液体）贮槽较高，对其检维修或装卸处等处需高处作业时，有发生高处坠落、物体打击的可能，其主要引发原因分析如下：</w:t>
      </w:r>
    </w:p>
    <w:p>
      <w:pPr>
        <w:numPr>
          <w:ilvl w:val="0"/>
          <w:numId w:val="10"/>
        </w:numPr>
        <w:spacing w:line="500" w:lineRule="exact"/>
        <w:ind w:firstLine="560" w:firstLineChars="200"/>
        <w:rPr>
          <w:color w:val="000000" w:themeColor="text1"/>
          <w:sz w:val="28"/>
          <w:szCs w:val="28"/>
        </w:rPr>
      </w:pPr>
      <w:r>
        <w:rPr>
          <w:rFonts w:hint="eastAsia"/>
          <w:color w:val="000000" w:themeColor="text1"/>
          <w:sz w:val="28"/>
          <w:szCs w:val="28"/>
        </w:rPr>
        <w:t>作业前未办理高处作业</w:t>
      </w:r>
      <w:r>
        <w:rPr>
          <w:color w:val="000000" w:themeColor="text1"/>
          <w:sz w:val="28"/>
          <w:szCs w:val="28"/>
        </w:rPr>
        <w:t>安全作业证</w:t>
      </w:r>
      <w:r>
        <w:rPr>
          <w:rFonts w:hint="eastAsia"/>
          <w:color w:val="000000" w:themeColor="text1"/>
          <w:sz w:val="28"/>
          <w:szCs w:val="28"/>
        </w:rPr>
        <w:t>，未对作业存在的危险有害因素进行充分辨识，未制定相应处理措施。</w:t>
      </w:r>
    </w:p>
    <w:p>
      <w:pPr>
        <w:numPr>
          <w:ilvl w:val="0"/>
          <w:numId w:val="10"/>
        </w:numPr>
        <w:spacing w:line="500" w:lineRule="exact"/>
        <w:ind w:firstLine="560" w:firstLineChars="200"/>
        <w:rPr>
          <w:color w:val="000000" w:themeColor="text1"/>
          <w:sz w:val="28"/>
          <w:szCs w:val="28"/>
        </w:rPr>
      </w:pPr>
      <w:r>
        <w:rPr>
          <w:rFonts w:hint="eastAsia"/>
          <w:color w:val="000000" w:themeColor="text1"/>
          <w:sz w:val="28"/>
          <w:szCs w:val="28"/>
        </w:rPr>
        <w:t>作业区未划分警戒区，未设监护人员，未设警示标志。</w:t>
      </w:r>
    </w:p>
    <w:p>
      <w:pPr>
        <w:numPr>
          <w:ilvl w:val="0"/>
          <w:numId w:val="10"/>
        </w:numPr>
        <w:spacing w:line="500" w:lineRule="exact"/>
        <w:ind w:firstLine="560" w:firstLineChars="200"/>
        <w:rPr>
          <w:color w:val="000000" w:themeColor="text1"/>
          <w:sz w:val="28"/>
          <w:szCs w:val="28"/>
        </w:rPr>
      </w:pPr>
      <w:r>
        <w:rPr>
          <w:rFonts w:hint="eastAsia"/>
          <w:color w:val="000000" w:themeColor="text1"/>
          <w:sz w:val="28"/>
          <w:szCs w:val="28"/>
        </w:rPr>
        <w:t>高处作业脚手架、</w:t>
      </w:r>
      <w:r>
        <w:rPr>
          <w:color w:val="000000" w:themeColor="text1"/>
          <w:sz w:val="28"/>
          <w:szCs w:val="28"/>
        </w:rPr>
        <w:t>吊笼、梯子、防护围栏、挡脚板</w:t>
      </w:r>
      <w:r>
        <w:rPr>
          <w:rFonts w:hint="eastAsia"/>
          <w:color w:val="000000" w:themeColor="text1"/>
          <w:sz w:val="28"/>
          <w:szCs w:val="28"/>
        </w:rPr>
        <w:t>等质量不良，使用前未经检查。</w:t>
      </w:r>
    </w:p>
    <w:p>
      <w:pPr>
        <w:numPr>
          <w:ilvl w:val="0"/>
          <w:numId w:val="10"/>
        </w:numPr>
        <w:spacing w:line="500" w:lineRule="exact"/>
        <w:ind w:firstLine="560" w:firstLineChars="200"/>
        <w:rPr>
          <w:color w:val="000000" w:themeColor="text1"/>
          <w:sz w:val="28"/>
          <w:szCs w:val="28"/>
        </w:rPr>
      </w:pPr>
      <w:r>
        <w:rPr>
          <w:rFonts w:hint="eastAsia"/>
          <w:color w:val="000000" w:themeColor="text1"/>
          <w:sz w:val="28"/>
          <w:szCs w:val="28"/>
        </w:rPr>
        <w:t>在高处作业时作业人员未按要求佩戴安全带（绳）、疲劳过度或酒后作业、未采取安全防护措施和使用可靠的安全保护装置等。</w:t>
      </w:r>
    </w:p>
    <w:p>
      <w:pPr>
        <w:numPr>
          <w:ilvl w:val="0"/>
          <w:numId w:val="10"/>
        </w:numPr>
        <w:spacing w:line="500" w:lineRule="exact"/>
        <w:ind w:firstLine="560" w:firstLineChars="200"/>
        <w:rPr>
          <w:color w:val="000000" w:themeColor="text1"/>
          <w:sz w:val="28"/>
          <w:szCs w:val="28"/>
        </w:rPr>
      </w:pPr>
      <w:r>
        <w:rPr>
          <w:rFonts w:hint="eastAsia"/>
          <w:color w:val="000000" w:themeColor="text1"/>
          <w:sz w:val="28"/>
          <w:szCs w:val="28"/>
        </w:rPr>
        <w:t>在6级以上大风、大雾天气进行高处作业。</w:t>
      </w:r>
    </w:p>
    <w:p>
      <w:pPr>
        <w:numPr>
          <w:ilvl w:val="0"/>
          <w:numId w:val="10"/>
        </w:numPr>
        <w:spacing w:line="500" w:lineRule="exact"/>
        <w:ind w:firstLine="560" w:firstLineChars="200"/>
        <w:rPr>
          <w:color w:val="000000" w:themeColor="text1"/>
          <w:sz w:val="28"/>
          <w:szCs w:val="28"/>
        </w:rPr>
      </w:pPr>
      <w:r>
        <w:rPr>
          <w:rFonts w:hint="eastAsia"/>
          <w:color w:val="000000" w:themeColor="text1"/>
          <w:sz w:val="28"/>
          <w:szCs w:val="28"/>
        </w:rPr>
        <w:t>高处作业人员</w:t>
      </w:r>
      <w:r>
        <w:rPr>
          <w:color w:val="000000" w:themeColor="text1"/>
          <w:sz w:val="28"/>
          <w:szCs w:val="28"/>
        </w:rPr>
        <w:t>患有职业禁忌</w:t>
      </w:r>
      <w:r>
        <w:rPr>
          <w:rFonts w:hint="eastAsia"/>
          <w:color w:val="000000" w:themeColor="text1"/>
          <w:sz w:val="28"/>
          <w:szCs w:val="28"/>
        </w:rPr>
        <w:t>，</w:t>
      </w:r>
      <w:r>
        <w:rPr>
          <w:color w:val="000000" w:themeColor="text1"/>
          <w:sz w:val="28"/>
          <w:szCs w:val="28"/>
        </w:rPr>
        <w:t>如高血压、心脏病、贫血病</w:t>
      </w:r>
      <w:r>
        <w:rPr>
          <w:rFonts w:hint="eastAsia"/>
          <w:color w:val="000000" w:themeColor="text1"/>
          <w:sz w:val="28"/>
          <w:szCs w:val="28"/>
        </w:rPr>
        <w:t>、</w:t>
      </w:r>
      <w:r>
        <w:rPr>
          <w:color w:val="000000" w:themeColor="text1"/>
          <w:sz w:val="28"/>
          <w:szCs w:val="28"/>
        </w:rPr>
        <w:t>疲劳过度、视力不佳</w:t>
      </w:r>
      <w:r>
        <w:rPr>
          <w:rFonts w:hint="eastAsia"/>
          <w:color w:val="000000" w:themeColor="text1"/>
          <w:sz w:val="28"/>
          <w:szCs w:val="28"/>
        </w:rPr>
        <w:t>等。</w:t>
      </w:r>
    </w:p>
    <w:p>
      <w:pPr>
        <w:numPr>
          <w:ilvl w:val="0"/>
          <w:numId w:val="10"/>
        </w:numPr>
        <w:spacing w:line="500" w:lineRule="exact"/>
        <w:ind w:firstLine="560" w:firstLineChars="200"/>
        <w:rPr>
          <w:color w:val="000000" w:themeColor="text1"/>
          <w:sz w:val="28"/>
          <w:szCs w:val="28"/>
        </w:rPr>
      </w:pPr>
      <w:r>
        <w:rPr>
          <w:rFonts w:hint="eastAsia"/>
          <w:color w:val="000000" w:themeColor="text1"/>
          <w:sz w:val="28"/>
          <w:szCs w:val="28"/>
        </w:rPr>
        <w:t>高处作业下方未设防坠物措施，工具、零件、螺丝等坠下造成物体，高空抛物、物件设备摆放不稳，倾覆等易造成物体打击事故。</w:t>
      </w:r>
    </w:p>
    <w:p>
      <w:pPr>
        <w:pStyle w:val="19"/>
        <w:spacing w:afterLines="100" w:line="500" w:lineRule="exact"/>
        <w:rPr>
          <w:rFonts w:ascii="黑体" w:hAnsi="宋体" w:eastAsia="黑体"/>
          <w:color w:val="000000" w:themeColor="text1"/>
          <w:kern w:val="3"/>
          <w:sz w:val="28"/>
          <w:szCs w:val="28"/>
        </w:rPr>
      </w:pPr>
      <w:r>
        <w:rPr>
          <w:rFonts w:hint="eastAsia" w:ascii="黑体" w:hAnsi="宋体" w:eastAsia="黑体"/>
          <w:color w:val="000000" w:themeColor="text1"/>
          <w:kern w:val="3"/>
          <w:sz w:val="28"/>
          <w:szCs w:val="28"/>
        </w:rPr>
        <w:t>3.5.5.4有限空间作业危险性分析</w:t>
      </w:r>
    </w:p>
    <w:p>
      <w:pPr>
        <w:spacing w:line="500" w:lineRule="exact"/>
        <w:ind w:firstLine="560" w:firstLineChars="200"/>
        <w:rPr>
          <w:color w:val="000000" w:themeColor="text1"/>
          <w:sz w:val="28"/>
          <w:szCs w:val="28"/>
        </w:rPr>
      </w:pPr>
      <w:r>
        <w:rPr>
          <w:rFonts w:hint="eastAsia"/>
          <w:color w:val="000000" w:themeColor="text1"/>
          <w:sz w:val="28"/>
          <w:szCs w:val="28"/>
        </w:rPr>
        <w:t>该项目低温液体贮槽内部等</w:t>
      </w:r>
      <w:r>
        <w:rPr>
          <w:color w:val="000000" w:themeColor="text1"/>
          <w:sz w:val="28"/>
          <w:szCs w:val="28"/>
        </w:rPr>
        <w:t>属</w:t>
      </w:r>
      <w:r>
        <w:rPr>
          <w:rFonts w:hint="eastAsia"/>
          <w:color w:val="000000" w:themeColor="text1"/>
          <w:sz w:val="28"/>
          <w:szCs w:val="28"/>
        </w:rPr>
        <w:t>有</w:t>
      </w:r>
      <w:r>
        <w:rPr>
          <w:color w:val="000000" w:themeColor="text1"/>
          <w:sz w:val="28"/>
          <w:szCs w:val="28"/>
        </w:rPr>
        <w:t>限空间，</w:t>
      </w:r>
      <w:r>
        <w:rPr>
          <w:rFonts w:hint="eastAsia"/>
          <w:color w:val="000000" w:themeColor="text1"/>
          <w:sz w:val="28"/>
          <w:szCs w:val="28"/>
        </w:rPr>
        <w:t>在对其检修需要进入槽内进行作业时有可能引发中毒、窒息、触电等危险，造成事故的主要原因分析如下：</w:t>
      </w:r>
    </w:p>
    <w:p>
      <w:pPr>
        <w:numPr>
          <w:ilvl w:val="0"/>
          <w:numId w:val="11"/>
        </w:numPr>
        <w:spacing w:line="500" w:lineRule="exact"/>
        <w:ind w:firstLine="560" w:firstLineChars="200"/>
        <w:rPr>
          <w:color w:val="000000" w:themeColor="text1"/>
          <w:sz w:val="28"/>
          <w:szCs w:val="28"/>
        </w:rPr>
      </w:pPr>
      <w:r>
        <w:rPr>
          <w:rFonts w:hint="eastAsia"/>
          <w:color w:val="000000" w:themeColor="text1"/>
          <w:sz w:val="28"/>
          <w:szCs w:val="28"/>
        </w:rPr>
        <w:t>进入有限空间前未进行通风或通风时间不足，未对有限空间内</w:t>
      </w:r>
      <w:r>
        <w:rPr>
          <w:color w:val="000000" w:themeColor="text1"/>
          <w:sz w:val="28"/>
          <w:szCs w:val="28"/>
        </w:rPr>
        <w:t>气体采样分析</w:t>
      </w:r>
      <w:r>
        <w:rPr>
          <w:rFonts w:hint="eastAsia"/>
          <w:color w:val="000000" w:themeColor="text1"/>
          <w:sz w:val="28"/>
          <w:szCs w:val="28"/>
        </w:rPr>
        <w:t>或分析时间超过规定分析间隔时间，进入作业人员未佩戴空气呼吸器等劳动防护用品时，易引发中毒窒息危险。</w:t>
      </w:r>
    </w:p>
    <w:p>
      <w:pPr>
        <w:numPr>
          <w:ilvl w:val="0"/>
          <w:numId w:val="11"/>
        </w:numPr>
        <w:spacing w:line="500" w:lineRule="exact"/>
        <w:ind w:firstLine="560" w:firstLineChars="200"/>
        <w:rPr>
          <w:color w:val="000000" w:themeColor="text1"/>
          <w:sz w:val="28"/>
          <w:szCs w:val="28"/>
        </w:rPr>
      </w:pPr>
      <w:r>
        <w:rPr>
          <w:rFonts w:hint="eastAsia"/>
          <w:color w:val="000000" w:themeColor="text1"/>
          <w:sz w:val="28"/>
          <w:szCs w:val="28"/>
        </w:rPr>
        <w:t>有</w:t>
      </w:r>
      <w:r>
        <w:rPr>
          <w:color w:val="000000" w:themeColor="text1"/>
          <w:sz w:val="28"/>
          <w:szCs w:val="28"/>
        </w:rPr>
        <w:t>限空间</w:t>
      </w:r>
      <w:r>
        <w:rPr>
          <w:rFonts w:hint="eastAsia"/>
          <w:color w:val="000000" w:themeColor="text1"/>
          <w:sz w:val="28"/>
          <w:szCs w:val="28"/>
        </w:rPr>
        <w:t>内</w:t>
      </w:r>
      <w:r>
        <w:rPr>
          <w:color w:val="000000" w:themeColor="text1"/>
          <w:sz w:val="28"/>
          <w:szCs w:val="28"/>
        </w:rPr>
        <w:t>照明电压</w:t>
      </w:r>
      <w:r>
        <w:rPr>
          <w:rFonts w:hint="eastAsia"/>
          <w:color w:val="000000" w:themeColor="text1"/>
          <w:sz w:val="28"/>
          <w:szCs w:val="28"/>
        </w:rPr>
        <w:t>过高，未使用安全电压或进行电焊作业时，未设漏电保护装置或作业人员站在潮湿环境下进行手持电动工具作业或电焊作业均易引起人员触电危险。</w:t>
      </w:r>
    </w:p>
    <w:p>
      <w:pPr>
        <w:numPr>
          <w:ilvl w:val="0"/>
          <w:numId w:val="11"/>
        </w:numPr>
        <w:spacing w:line="500" w:lineRule="exact"/>
        <w:ind w:firstLine="560" w:firstLineChars="200"/>
        <w:rPr>
          <w:color w:val="000000" w:themeColor="text1"/>
          <w:sz w:val="28"/>
          <w:szCs w:val="28"/>
        </w:rPr>
      </w:pPr>
      <w:r>
        <w:rPr>
          <w:rFonts w:hint="eastAsia"/>
          <w:color w:val="000000" w:themeColor="text1"/>
          <w:sz w:val="28"/>
          <w:szCs w:val="28"/>
        </w:rPr>
        <w:t>作业前，有限空间外未设置安全警示标识，未配备氧气呼吸器、消防器材和清水等应急用品，或进行有限空间作业时未设置监护人员或监护人员脱岗，监护人员未配备与作业人员联络工具，会增加发生事故的几率，且事故发生后有可能导致事故范围扩大。</w:t>
      </w:r>
    </w:p>
    <w:p>
      <w:pPr>
        <w:numPr>
          <w:ilvl w:val="0"/>
          <w:numId w:val="11"/>
        </w:numPr>
        <w:spacing w:line="500" w:lineRule="exact"/>
        <w:ind w:firstLine="560" w:firstLineChars="200"/>
        <w:rPr>
          <w:color w:val="000000" w:themeColor="text1"/>
          <w:sz w:val="28"/>
          <w:szCs w:val="28"/>
        </w:rPr>
      </w:pPr>
      <w:r>
        <w:rPr>
          <w:rFonts w:hint="eastAsia"/>
          <w:color w:val="000000" w:themeColor="text1"/>
          <w:sz w:val="28"/>
          <w:szCs w:val="28"/>
        </w:rPr>
        <w:t>作业人员违章作业等其它原因而引发中毒窒息等危险。</w:t>
      </w:r>
    </w:p>
    <w:p>
      <w:pPr>
        <w:pStyle w:val="19"/>
        <w:spacing w:afterLines="100" w:line="500" w:lineRule="exact"/>
        <w:rPr>
          <w:rFonts w:ascii="黑体" w:hAnsi="宋体" w:eastAsia="黑体"/>
          <w:color w:val="000000" w:themeColor="text1"/>
          <w:kern w:val="3"/>
          <w:sz w:val="28"/>
          <w:szCs w:val="28"/>
        </w:rPr>
      </w:pPr>
      <w:r>
        <w:rPr>
          <w:rFonts w:hint="eastAsia" w:ascii="黑体" w:hAnsi="宋体" w:eastAsia="黑体"/>
          <w:color w:val="000000" w:themeColor="text1"/>
          <w:kern w:val="3"/>
          <w:sz w:val="28"/>
          <w:szCs w:val="28"/>
        </w:rPr>
        <w:t>3.5.5.5吊装作业危险性分析</w:t>
      </w:r>
    </w:p>
    <w:p>
      <w:pPr>
        <w:spacing w:line="500" w:lineRule="exact"/>
        <w:ind w:firstLine="560" w:firstLineChars="200"/>
        <w:rPr>
          <w:color w:val="000000" w:themeColor="text1"/>
          <w:sz w:val="28"/>
          <w:szCs w:val="28"/>
        </w:rPr>
      </w:pPr>
      <w:r>
        <w:rPr>
          <w:rFonts w:hint="eastAsia"/>
          <w:color w:val="000000" w:themeColor="text1"/>
          <w:sz w:val="28"/>
          <w:szCs w:val="28"/>
        </w:rPr>
        <w:t>该公司对地上立式低温贮槽等设备、设施进行检修、安装等需要进行吊装作业时有可能发生起重伤害等危险，其引发事故的主要原因分析如下：</w:t>
      </w:r>
    </w:p>
    <w:p>
      <w:pPr>
        <w:numPr>
          <w:ilvl w:val="0"/>
          <w:numId w:val="12"/>
        </w:numPr>
        <w:spacing w:line="500" w:lineRule="exact"/>
        <w:ind w:firstLine="560" w:firstLineChars="200"/>
        <w:rPr>
          <w:color w:val="000000" w:themeColor="text1"/>
          <w:sz w:val="28"/>
          <w:szCs w:val="28"/>
        </w:rPr>
      </w:pPr>
      <w:r>
        <w:rPr>
          <w:color w:val="000000" w:themeColor="text1"/>
          <w:sz w:val="28"/>
          <w:szCs w:val="28"/>
        </w:rPr>
        <w:t>吊装区域内</w:t>
      </w:r>
      <w:r>
        <w:rPr>
          <w:rFonts w:hint="eastAsia"/>
          <w:color w:val="000000" w:themeColor="text1"/>
          <w:sz w:val="28"/>
          <w:szCs w:val="28"/>
        </w:rPr>
        <w:t>未划定警戒区域，吊装现场未设专人监护、未设置安全警示标志或设置的安全警示标识不符合相关规范要求等。</w:t>
      </w:r>
    </w:p>
    <w:p>
      <w:pPr>
        <w:numPr>
          <w:ilvl w:val="0"/>
          <w:numId w:val="12"/>
        </w:numPr>
        <w:spacing w:line="500" w:lineRule="exact"/>
        <w:ind w:firstLine="560" w:firstLineChars="200"/>
        <w:rPr>
          <w:color w:val="000000" w:themeColor="text1"/>
          <w:sz w:val="28"/>
          <w:szCs w:val="28"/>
        </w:rPr>
      </w:pPr>
      <w:r>
        <w:rPr>
          <w:rFonts w:hint="eastAsia"/>
          <w:color w:val="000000" w:themeColor="text1"/>
          <w:sz w:val="28"/>
          <w:szCs w:val="28"/>
        </w:rPr>
        <w:t>吊装作业人员无证或未设吊运指挥人员，指挥人员站立于起吊区域。</w:t>
      </w:r>
    </w:p>
    <w:p>
      <w:pPr>
        <w:numPr>
          <w:ilvl w:val="0"/>
          <w:numId w:val="12"/>
        </w:numPr>
        <w:spacing w:line="500" w:lineRule="exact"/>
        <w:ind w:firstLine="560" w:firstLineChars="200"/>
        <w:rPr>
          <w:color w:val="000000" w:themeColor="text1"/>
          <w:sz w:val="28"/>
          <w:szCs w:val="28"/>
        </w:rPr>
      </w:pPr>
      <w:r>
        <w:rPr>
          <w:rFonts w:hint="eastAsia"/>
          <w:color w:val="000000" w:themeColor="text1"/>
          <w:sz w:val="28"/>
          <w:szCs w:val="28"/>
        </w:rPr>
        <w:t>进行三级以上或作业特殊情况下进行吊装作业时，未编制吊装作业方案，或编制的吊装方案未进行审批程序。</w:t>
      </w:r>
    </w:p>
    <w:p>
      <w:pPr>
        <w:numPr>
          <w:ilvl w:val="0"/>
          <w:numId w:val="12"/>
        </w:numPr>
        <w:spacing w:line="500" w:lineRule="exact"/>
        <w:ind w:firstLine="560" w:firstLineChars="200"/>
        <w:rPr>
          <w:color w:val="000000" w:themeColor="text1"/>
          <w:sz w:val="28"/>
          <w:szCs w:val="28"/>
        </w:rPr>
      </w:pPr>
      <w:r>
        <w:rPr>
          <w:rFonts w:hint="eastAsia"/>
          <w:color w:val="000000" w:themeColor="text1"/>
          <w:sz w:val="28"/>
          <w:szCs w:val="28"/>
        </w:rPr>
        <w:t>使用未经检测合格或安全附件缺失的起重设备进行吊装作业以及超限起吊；在利用起重设备进行检修时，可能因起吊负荷不匹配、脱钩或钢丝绳折断、升高限位器、行程开关、刹车装置失效等。</w:t>
      </w:r>
    </w:p>
    <w:p>
      <w:pPr>
        <w:numPr>
          <w:ilvl w:val="0"/>
          <w:numId w:val="12"/>
        </w:numPr>
        <w:spacing w:line="500" w:lineRule="exact"/>
        <w:ind w:firstLine="560" w:firstLineChars="200"/>
        <w:rPr>
          <w:color w:val="000000" w:themeColor="text1"/>
          <w:sz w:val="28"/>
          <w:szCs w:val="28"/>
        </w:rPr>
      </w:pPr>
      <w:r>
        <w:rPr>
          <w:rFonts w:hint="eastAsia"/>
          <w:color w:val="000000" w:themeColor="text1"/>
          <w:sz w:val="28"/>
          <w:szCs w:val="28"/>
        </w:rPr>
        <w:t>未对吊装作业场所、环境进行充分的危险因素辨识，未经过办证审批或起吊前未对</w:t>
      </w:r>
      <w:r>
        <w:rPr>
          <w:color w:val="000000" w:themeColor="text1"/>
          <w:sz w:val="28"/>
          <w:szCs w:val="28"/>
        </w:rPr>
        <w:t>起重吊装机械</w:t>
      </w:r>
      <w:r>
        <w:rPr>
          <w:rFonts w:hint="eastAsia"/>
          <w:color w:val="000000" w:themeColor="text1"/>
          <w:sz w:val="28"/>
          <w:szCs w:val="28"/>
        </w:rPr>
        <w:t>、</w:t>
      </w:r>
      <w:r>
        <w:rPr>
          <w:color w:val="000000" w:themeColor="text1"/>
          <w:sz w:val="28"/>
          <w:szCs w:val="28"/>
        </w:rPr>
        <w:t>吊具</w:t>
      </w:r>
      <w:r>
        <w:rPr>
          <w:rFonts w:hint="eastAsia"/>
          <w:color w:val="000000" w:themeColor="text1"/>
          <w:sz w:val="28"/>
          <w:szCs w:val="28"/>
        </w:rPr>
        <w:t>等进行安全确认。</w:t>
      </w:r>
    </w:p>
    <w:p>
      <w:pPr>
        <w:numPr>
          <w:ilvl w:val="0"/>
          <w:numId w:val="12"/>
        </w:numPr>
        <w:spacing w:line="500" w:lineRule="exact"/>
        <w:ind w:firstLine="560" w:firstLineChars="200"/>
        <w:rPr>
          <w:color w:val="000000" w:themeColor="text1"/>
          <w:kern w:val="0"/>
          <w:sz w:val="28"/>
          <w:szCs w:val="28"/>
        </w:rPr>
      </w:pPr>
      <w:r>
        <w:rPr>
          <w:rFonts w:hint="eastAsia"/>
          <w:color w:val="000000" w:themeColor="text1"/>
          <w:kern w:val="0"/>
          <w:sz w:val="28"/>
          <w:szCs w:val="28"/>
        </w:rPr>
        <w:t>吊装前未进行试吊，或试吊过程中发现问题未及时排除继续吊装。</w:t>
      </w:r>
    </w:p>
    <w:p>
      <w:pPr>
        <w:numPr>
          <w:ilvl w:val="0"/>
          <w:numId w:val="12"/>
        </w:numPr>
        <w:spacing w:line="500" w:lineRule="exact"/>
        <w:ind w:firstLine="560" w:firstLineChars="200"/>
        <w:rPr>
          <w:color w:val="000000" w:themeColor="text1"/>
          <w:sz w:val="28"/>
          <w:szCs w:val="28"/>
        </w:rPr>
      </w:pPr>
      <w:r>
        <w:rPr>
          <w:rFonts w:hint="eastAsia"/>
          <w:color w:val="000000" w:themeColor="text1"/>
          <w:kern w:val="0"/>
          <w:sz w:val="28"/>
          <w:szCs w:val="28"/>
        </w:rPr>
        <w:t>其他原因。</w:t>
      </w:r>
    </w:p>
    <w:p>
      <w:pPr>
        <w:pStyle w:val="19"/>
        <w:spacing w:afterLines="100" w:line="500" w:lineRule="exact"/>
        <w:rPr>
          <w:rFonts w:ascii="黑体" w:hAnsi="宋体" w:eastAsia="黑体"/>
          <w:color w:val="000000" w:themeColor="text1"/>
          <w:kern w:val="3"/>
          <w:sz w:val="28"/>
          <w:szCs w:val="28"/>
        </w:rPr>
      </w:pPr>
      <w:r>
        <w:rPr>
          <w:rFonts w:hint="eastAsia" w:ascii="黑体" w:hAnsi="宋体" w:eastAsia="黑体"/>
          <w:color w:val="000000" w:themeColor="text1"/>
          <w:kern w:val="3"/>
          <w:sz w:val="28"/>
          <w:szCs w:val="28"/>
        </w:rPr>
        <w:t>3.5.5.6动土作业危险性分析</w:t>
      </w:r>
    </w:p>
    <w:p>
      <w:pPr>
        <w:spacing w:line="500" w:lineRule="exact"/>
        <w:ind w:firstLine="560" w:firstLineChars="200"/>
        <w:rPr>
          <w:color w:val="000000" w:themeColor="text1"/>
          <w:sz w:val="28"/>
          <w:szCs w:val="28"/>
        </w:rPr>
      </w:pPr>
      <w:r>
        <w:rPr>
          <w:rFonts w:hint="eastAsia"/>
          <w:color w:val="000000" w:themeColor="text1"/>
          <w:sz w:val="28"/>
          <w:szCs w:val="28"/>
        </w:rPr>
        <w:t>该公司运行过程中涉及动土作业过程中有可能因以下原因发生坍塌、滑坡、高处坠落、机械伤害等危险：</w:t>
      </w:r>
    </w:p>
    <w:p>
      <w:pPr>
        <w:spacing w:line="500" w:lineRule="exact"/>
        <w:ind w:firstLine="560" w:firstLineChars="200"/>
        <w:rPr>
          <w:color w:val="000000" w:themeColor="text1"/>
          <w:sz w:val="28"/>
          <w:szCs w:val="28"/>
        </w:rPr>
      </w:pPr>
      <w:r>
        <w:rPr>
          <w:rFonts w:hint="eastAsia"/>
          <w:color w:val="000000" w:themeColor="text1"/>
          <w:sz w:val="28"/>
          <w:szCs w:val="28"/>
        </w:rPr>
        <w:t>1.</w:t>
      </w:r>
      <w:r>
        <w:rPr>
          <w:rFonts w:hint="eastAsia"/>
          <w:color w:val="000000" w:themeColor="text1"/>
          <w:kern w:val="0"/>
          <w:sz w:val="28"/>
          <w:szCs w:val="28"/>
        </w:rPr>
        <w:t>动土作业前，未检查工具、现场支撑是否牢固、完好，或发现问题时未及时处理。</w:t>
      </w:r>
    </w:p>
    <w:p>
      <w:pPr>
        <w:spacing w:line="500" w:lineRule="exact"/>
        <w:ind w:firstLine="560" w:firstLineChars="200"/>
        <w:rPr>
          <w:color w:val="000000" w:themeColor="text1"/>
          <w:sz w:val="28"/>
          <w:szCs w:val="28"/>
        </w:rPr>
      </w:pPr>
      <w:r>
        <w:rPr>
          <w:rFonts w:hint="eastAsia"/>
          <w:color w:val="000000" w:themeColor="text1"/>
          <w:sz w:val="28"/>
          <w:szCs w:val="28"/>
        </w:rPr>
        <w:t>2.</w:t>
      </w:r>
      <w:r>
        <w:rPr>
          <w:rFonts w:hint="eastAsia"/>
          <w:color w:val="000000" w:themeColor="text1"/>
          <w:kern w:val="0"/>
          <w:sz w:val="28"/>
          <w:szCs w:val="28"/>
        </w:rPr>
        <w:t>作业现场未根据需要设护栏、盖板或警告标志，夜间未悬挂警示灯。</w:t>
      </w:r>
    </w:p>
    <w:p>
      <w:pPr>
        <w:spacing w:line="500" w:lineRule="exact"/>
        <w:ind w:firstLine="560" w:firstLineChars="200"/>
        <w:rPr>
          <w:color w:val="000000" w:themeColor="text1"/>
          <w:sz w:val="28"/>
          <w:szCs w:val="28"/>
        </w:rPr>
      </w:pPr>
      <w:r>
        <w:rPr>
          <w:rFonts w:hint="eastAsia"/>
          <w:color w:val="000000" w:themeColor="text1"/>
          <w:sz w:val="28"/>
          <w:szCs w:val="28"/>
        </w:rPr>
        <w:t>3.</w:t>
      </w:r>
      <w:r>
        <w:rPr>
          <w:rFonts w:hint="eastAsia"/>
          <w:color w:val="000000" w:themeColor="text1"/>
          <w:kern w:val="0"/>
          <w:sz w:val="28"/>
          <w:szCs w:val="28"/>
        </w:rPr>
        <w:t>在破土开挖前，未先做好地面或地下排水，以致地面水渗入作业面造成塌方。</w:t>
      </w:r>
    </w:p>
    <w:p>
      <w:pPr>
        <w:spacing w:line="500" w:lineRule="exact"/>
        <w:ind w:firstLine="560" w:firstLineChars="200"/>
        <w:rPr>
          <w:color w:val="000000" w:themeColor="text1"/>
          <w:kern w:val="0"/>
          <w:sz w:val="28"/>
          <w:szCs w:val="28"/>
        </w:rPr>
      </w:pPr>
      <w:r>
        <w:rPr>
          <w:rFonts w:hint="eastAsia"/>
          <w:color w:val="000000" w:themeColor="text1"/>
          <w:kern w:val="0"/>
          <w:sz w:val="28"/>
          <w:szCs w:val="28"/>
        </w:rPr>
        <w:t>4.作业前未先了解隐蔽设施的分布情况，需动地下隐蔽设施时，未使用适当工具挖掘，损坏埋地电缆、管线或不能辨认物品时而继续动土作业。</w:t>
      </w:r>
    </w:p>
    <w:p>
      <w:pPr>
        <w:spacing w:line="500" w:lineRule="exact"/>
        <w:ind w:firstLine="560" w:firstLineChars="200"/>
        <w:rPr>
          <w:color w:val="000000" w:themeColor="text1"/>
          <w:kern w:val="0"/>
          <w:sz w:val="28"/>
          <w:szCs w:val="28"/>
        </w:rPr>
      </w:pPr>
      <w:r>
        <w:rPr>
          <w:rFonts w:hint="eastAsia"/>
          <w:color w:val="000000" w:themeColor="text1"/>
          <w:kern w:val="0"/>
          <w:sz w:val="28"/>
          <w:szCs w:val="28"/>
        </w:rPr>
        <w:t>5.动土作业时，未设专人监护，或未按规范要求进行挖掘坑、槽、沟等作业造成坠落危险。</w:t>
      </w:r>
    </w:p>
    <w:p>
      <w:pPr>
        <w:spacing w:line="500" w:lineRule="exact"/>
        <w:ind w:firstLine="560" w:firstLineChars="200"/>
        <w:rPr>
          <w:color w:val="000000" w:themeColor="text1"/>
          <w:sz w:val="28"/>
          <w:szCs w:val="28"/>
        </w:rPr>
      </w:pPr>
      <w:r>
        <w:rPr>
          <w:rFonts w:hint="eastAsia"/>
          <w:color w:val="000000" w:themeColor="text1"/>
          <w:sz w:val="28"/>
          <w:szCs w:val="28"/>
        </w:rPr>
        <w:t>6.</w:t>
      </w:r>
      <w:r>
        <w:rPr>
          <w:rFonts w:hint="eastAsia"/>
          <w:color w:val="000000" w:themeColor="text1"/>
          <w:kern w:val="0"/>
          <w:sz w:val="28"/>
          <w:szCs w:val="28"/>
        </w:rPr>
        <w:t>在沟（槽、坑）下作业时，未按规定坡度顺序进行，或使用机械挖掘时进入机械旋转半径内，或2人以上作业人员同时挖土时距离较近造成坍塌危险。</w:t>
      </w:r>
    </w:p>
    <w:p>
      <w:pPr>
        <w:spacing w:line="500" w:lineRule="exact"/>
        <w:ind w:firstLine="560" w:firstLineChars="200"/>
        <w:rPr>
          <w:color w:val="000000" w:themeColor="text1"/>
          <w:sz w:val="28"/>
          <w:szCs w:val="28"/>
        </w:rPr>
      </w:pPr>
      <w:r>
        <w:rPr>
          <w:rFonts w:hint="eastAsia"/>
          <w:color w:val="000000" w:themeColor="text1"/>
          <w:kern w:val="0"/>
          <w:sz w:val="28"/>
          <w:szCs w:val="28"/>
        </w:rPr>
        <w:t>7.作业人员发现异常时，未立即撤离作业现场，或施工结束后未及时回填土石，未恢复地面设施。</w:t>
      </w:r>
    </w:p>
    <w:p>
      <w:pPr>
        <w:pStyle w:val="19"/>
        <w:spacing w:afterLines="100" w:line="500" w:lineRule="exact"/>
        <w:rPr>
          <w:rFonts w:ascii="黑体" w:hAnsi="宋体" w:eastAsia="黑体"/>
          <w:color w:val="000000" w:themeColor="text1"/>
          <w:kern w:val="3"/>
          <w:sz w:val="28"/>
          <w:szCs w:val="28"/>
        </w:rPr>
      </w:pPr>
      <w:r>
        <w:rPr>
          <w:rFonts w:hint="eastAsia" w:ascii="黑体" w:hAnsi="宋体" w:eastAsia="黑体"/>
          <w:color w:val="000000" w:themeColor="text1"/>
          <w:kern w:val="3"/>
          <w:sz w:val="28"/>
          <w:szCs w:val="28"/>
        </w:rPr>
        <w:t>3.5.5.7断路作业危险性分析</w:t>
      </w:r>
    </w:p>
    <w:p>
      <w:pPr>
        <w:spacing w:line="500" w:lineRule="exact"/>
        <w:ind w:firstLine="560" w:firstLineChars="200"/>
        <w:rPr>
          <w:color w:val="000000" w:themeColor="text1"/>
          <w:sz w:val="28"/>
          <w:szCs w:val="28"/>
        </w:rPr>
      </w:pPr>
      <w:r>
        <w:rPr>
          <w:rFonts w:hint="eastAsia"/>
          <w:color w:val="000000" w:themeColor="text1"/>
          <w:sz w:val="28"/>
          <w:szCs w:val="28"/>
        </w:rPr>
        <w:t>公司运行过程中需进行断路作业时，如作业前未制定相应的交通组织方案，未在断路的路口或相关道路上设置交通警示标志，或作业点不满足应急救援要求，有可能引发车辆伤害或发生物料泄漏时，未能及时得到救援而引发中毒、火灾爆炸等事故。</w:t>
      </w:r>
    </w:p>
    <w:p>
      <w:pPr>
        <w:pStyle w:val="19"/>
        <w:spacing w:afterLines="100" w:line="500" w:lineRule="exact"/>
        <w:rPr>
          <w:rFonts w:ascii="黑体" w:hAnsi="宋体" w:eastAsia="黑体"/>
          <w:color w:val="000000" w:themeColor="text1"/>
          <w:kern w:val="3"/>
          <w:sz w:val="28"/>
          <w:szCs w:val="28"/>
        </w:rPr>
      </w:pPr>
      <w:bookmarkStart w:id="1190" w:name="_Toc29353"/>
      <w:bookmarkStart w:id="1191" w:name="_Toc18395"/>
      <w:bookmarkStart w:id="1192" w:name="_Toc26726"/>
      <w:bookmarkStart w:id="1193" w:name="_Toc12698"/>
      <w:r>
        <w:rPr>
          <w:rFonts w:hint="eastAsia" w:ascii="黑体" w:hAnsi="宋体" w:eastAsia="黑体"/>
          <w:color w:val="000000" w:themeColor="text1"/>
          <w:kern w:val="3"/>
          <w:sz w:val="28"/>
          <w:szCs w:val="28"/>
        </w:rPr>
        <w:t>3.5.7设备检修作业危险性分析</w:t>
      </w:r>
      <w:bookmarkEnd w:id="1190"/>
      <w:bookmarkEnd w:id="1191"/>
      <w:bookmarkEnd w:id="1192"/>
      <w:bookmarkEnd w:id="1193"/>
    </w:p>
    <w:p>
      <w:pPr>
        <w:spacing w:line="500" w:lineRule="exact"/>
        <w:ind w:firstLine="560" w:firstLineChars="200"/>
        <w:rPr>
          <w:color w:val="000000" w:themeColor="text1"/>
          <w:sz w:val="28"/>
          <w:szCs w:val="28"/>
        </w:rPr>
      </w:pPr>
      <w:r>
        <w:rPr>
          <w:rFonts w:hint="eastAsia"/>
          <w:color w:val="000000" w:themeColor="text1"/>
          <w:sz w:val="28"/>
          <w:szCs w:val="28"/>
        </w:rPr>
        <w:t>结合该项目各设备、设施以及相应操作特点，在对其进行检修作业过程中可能会引发火灾爆炸、中毒窒息、机械伤害、物体打击、冻伤、触电等，其主要引发原因分析如下：</w:t>
      </w:r>
    </w:p>
    <w:p>
      <w:pPr>
        <w:numPr>
          <w:ilvl w:val="0"/>
          <w:numId w:val="13"/>
        </w:numPr>
        <w:spacing w:line="500" w:lineRule="exact"/>
        <w:ind w:firstLine="560" w:firstLineChars="200"/>
        <w:rPr>
          <w:color w:val="000000" w:themeColor="text1"/>
          <w:sz w:val="28"/>
          <w:szCs w:val="28"/>
        </w:rPr>
      </w:pPr>
      <w:r>
        <w:rPr>
          <w:rFonts w:hint="eastAsia"/>
          <w:color w:val="000000" w:themeColor="text1"/>
          <w:sz w:val="28"/>
          <w:szCs w:val="28"/>
        </w:rPr>
        <w:t>外协检修单位无相关资质，不具备检修作业和安全管理能力或检修作业责任未落实，与相关单位未签订安全协议。</w:t>
      </w:r>
    </w:p>
    <w:p>
      <w:pPr>
        <w:numPr>
          <w:ilvl w:val="0"/>
          <w:numId w:val="13"/>
        </w:numPr>
        <w:spacing w:line="500" w:lineRule="exact"/>
        <w:ind w:firstLine="560" w:firstLineChars="200"/>
        <w:rPr>
          <w:color w:val="000000" w:themeColor="text1"/>
          <w:sz w:val="28"/>
          <w:szCs w:val="28"/>
        </w:rPr>
      </w:pPr>
      <w:r>
        <w:rPr>
          <w:rFonts w:hint="eastAsia"/>
          <w:color w:val="000000" w:themeColor="text1"/>
          <w:sz w:val="28"/>
          <w:szCs w:val="28"/>
        </w:rPr>
        <w:t>检修作业准备不充分，未制定检修方案，方案未经审核，未进行现场交底，或未对检修过程可能出现的危险性进行充分分析，未制定相应应对措施或措施不到位而引发火灾爆炸、中毒窒息等危险。</w:t>
      </w:r>
    </w:p>
    <w:p>
      <w:pPr>
        <w:numPr>
          <w:ilvl w:val="0"/>
          <w:numId w:val="13"/>
        </w:numPr>
        <w:spacing w:line="500" w:lineRule="exact"/>
        <w:ind w:firstLine="560" w:firstLineChars="200"/>
        <w:rPr>
          <w:color w:val="000000" w:themeColor="text1"/>
          <w:sz w:val="28"/>
          <w:szCs w:val="28"/>
        </w:rPr>
      </w:pPr>
      <w:r>
        <w:rPr>
          <w:rFonts w:hint="eastAsia"/>
          <w:color w:val="000000" w:themeColor="text1"/>
          <w:sz w:val="28"/>
          <w:szCs w:val="28"/>
        </w:rPr>
        <w:t>检修液氧设备、管道时，未采取防冻措施，导致低温冻伤。</w:t>
      </w:r>
    </w:p>
    <w:p>
      <w:pPr>
        <w:numPr>
          <w:ilvl w:val="0"/>
          <w:numId w:val="13"/>
        </w:numPr>
        <w:spacing w:line="500" w:lineRule="exact"/>
        <w:ind w:firstLine="560" w:firstLineChars="200"/>
        <w:rPr>
          <w:color w:val="000000" w:themeColor="text1"/>
          <w:sz w:val="28"/>
          <w:szCs w:val="28"/>
        </w:rPr>
      </w:pPr>
      <w:r>
        <w:rPr>
          <w:rFonts w:hint="eastAsia"/>
          <w:color w:val="000000" w:themeColor="text1"/>
          <w:sz w:val="28"/>
          <w:szCs w:val="28"/>
        </w:rPr>
        <w:t>检修人员如电焊、电气作业等人员未经培训，无证上岗或检修前未对</w:t>
      </w:r>
      <w:r>
        <w:rPr>
          <w:color w:val="000000" w:themeColor="text1"/>
          <w:sz w:val="28"/>
          <w:szCs w:val="28"/>
        </w:rPr>
        <w:t>检修作业使用的脚手架、起重机械、电气焊用具、手持电动工具等各种工器具进行检查；手持式、移动式电气工器具</w:t>
      </w:r>
      <w:r>
        <w:rPr>
          <w:rFonts w:hint="eastAsia"/>
          <w:color w:val="000000" w:themeColor="text1"/>
          <w:sz w:val="28"/>
          <w:szCs w:val="28"/>
        </w:rPr>
        <w:t>无</w:t>
      </w:r>
      <w:r>
        <w:rPr>
          <w:color w:val="000000" w:themeColor="text1"/>
          <w:sz w:val="28"/>
          <w:szCs w:val="28"/>
        </w:rPr>
        <w:t>漏电保护装置</w:t>
      </w:r>
      <w:r>
        <w:rPr>
          <w:rFonts w:hint="eastAsia"/>
          <w:color w:val="000000" w:themeColor="text1"/>
          <w:sz w:val="28"/>
          <w:szCs w:val="28"/>
        </w:rPr>
        <w:t>。</w:t>
      </w:r>
    </w:p>
    <w:p>
      <w:pPr>
        <w:numPr>
          <w:ilvl w:val="0"/>
          <w:numId w:val="13"/>
        </w:numPr>
        <w:spacing w:line="500" w:lineRule="exact"/>
        <w:ind w:firstLine="560" w:firstLineChars="200"/>
        <w:rPr>
          <w:color w:val="000000" w:themeColor="text1"/>
          <w:sz w:val="28"/>
          <w:szCs w:val="28"/>
        </w:rPr>
      </w:pPr>
      <w:r>
        <w:rPr>
          <w:color w:val="000000" w:themeColor="text1"/>
          <w:sz w:val="28"/>
          <w:szCs w:val="28"/>
        </w:rPr>
        <w:t>检修现场存在的可能危及安全的坑、井、沟、孔洞等</w:t>
      </w:r>
      <w:r>
        <w:rPr>
          <w:rFonts w:hint="eastAsia"/>
          <w:color w:val="000000" w:themeColor="text1"/>
          <w:sz w:val="28"/>
          <w:szCs w:val="28"/>
        </w:rPr>
        <w:t>无</w:t>
      </w:r>
      <w:r>
        <w:rPr>
          <w:color w:val="000000" w:themeColor="text1"/>
          <w:sz w:val="28"/>
          <w:szCs w:val="28"/>
        </w:rPr>
        <w:t>有效防护措施，</w:t>
      </w:r>
      <w:r>
        <w:rPr>
          <w:rFonts w:hint="eastAsia"/>
          <w:color w:val="000000" w:themeColor="text1"/>
          <w:sz w:val="28"/>
          <w:szCs w:val="28"/>
        </w:rPr>
        <w:t>未</w:t>
      </w:r>
      <w:r>
        <w:rPr>
          <w:color w:val="000000" w:themeColor="text1"/>
          <w:sz w:val="28"/>
          <w:szCs w:val="28"/>
        </w:rPr>
        <w:t>设置警告标志</w:t>
      </w:r>
      <w:r>
        <w:rPr>
          <w:rFonts w:hint="eastAsia"/>
          <w:color w:val="000000" w:themeColor="text1"/>
          <w:sz w:val="28"/>
          <w:szCs w:val="28"/>
        </w:rPr>
        <w:t>。</w:t>
      </w:r>
    </w:p>
    <w:p>
      <w:pPr>
        <w:numPr>
          <w:ilvl w:val="0"/>
          <w:numId w:val="13"/>
        </w:numPr>
        <w:spacing w:line="500" w:lineRule="exact"/>
        <w:ind w:firstLine="560" w:firstLineChars="200"/>
        <w:rPr>
          <w:color w:val="000000" w:themeColor="text1"/>
          <w:sz w:val="28"/>
          <w:szCs w:val="28"/>
        </w:rPr>
      </w:pPr>
      <w:r>
        <w:rPr>
          <w:color w:val="000000" w:themeColor="text1"/>
          <w:sz w:val="28"/>
          <w:szCs w:val="28"/>
        </w:rPr>
        <w:t>检修设备</w:t>
      </w:r>
      <w:r>
        <w:rPr>
          <w:rFonts w:hint="eastAsia"/>
          <w:color w:val="000000" w:themeColor="text1"/>
          <w:sz w:val="28"/>
          <w:szCs w:val="28"/>
        </w:rPr>
        <w:t>未采取</w:t>
      </w:r>
      <w:r>
        <w:rPr>
          <w:color w:val="000000" w:themeColor="text1"/>
          <w:sz w:val="28"/>
          <w:szCs w:val="28"/>
        </w:rPr>
        <w:t>可靠的断电措施，</w:t>
      </w:r>
      <w:r>
        <w:rPr>
          <w:rFonts w:hint="eastAsia"/>
          <w:color w:val="000000" w:themeColor="text1"/>
          <w:sz w:val="28"/>
          <w:szCs w:val="28"/>
        </w:rPr>
        <w:t>开关、控制柜处未设警示标识或加锁；</w:t>
      </w:r>
      <w:r>
        <w:rPr>
          <w:color w:val="000000" w:themeColor="text1"/>
          <w:sz w:val="28"/>
          <w:szCs w:val="28"/>
        </w:rPr>
        <w:t>检修</w:t>
      </w:r>
      <w:r>
        <w:rPr>
          <w:rFonts w:hint="eastAsia"/>
          <w:color w:val="000000" w:themeColor="text1"/>
          <w:sz w:val="28"/>
          <w:szCs w:val="28"/>
        </w:rPr>
        <w:t>易爆气瓶</w:t>
      </w:r>
      <w:r>
        <w:rPr>
          <w:color w:val="000000" w:themeColor="text1"/>
          <w:sz w:val="28"/>
          <w:szCs w:val="28"/>
        </w:rPr>
        <w:t>时，未按照动火检修作业严格管理，未采用防爆检修工具</w:t>
      </w:r>
      <w:r>
        <w:rPr>
          <w:rFonts w:hint="eastAsia"/>
          <w:color w:val="000000" w:themeColor="text1"/>
          <w:sz w:val="28"/>
          <w:szCs w:val="28"/>
        </w:rPr>
        <w:t>。</w:t>
      </w:r>
    </w:p>
    <w:p>
      <w:pPr>
        <w:numPr>
          <w:ilvl w:val="0"/>
          <w:numId w:val="13"/>
        </w:numPr>
        <w:spacing w:line="500" w:lineRule="exact"/>
        <w:ind w:firstLine="560" w:firstLineChars="200"/>
        <w:rPr>
          <w:color w:val="000000" w:themeColor="text1"/>
          <w:sz w:val="28"/>
          <w:szCs w:val="28"/>
        </w:rPr>
      </w:pPr>
      <w:r>
        <w:rPr>
          <w:rFonts w:hint="eastAsia"/>
          <w:color w:val="000000" w:themeColor="text1"/>
          <w:sz w:val="28"/>
          <w:szCs w:val="28"/>
        </w:rPr>
        <w:t>检修设备未进行清理、置换或置换不合格，进入低温液体贮槽后易造成中毒、窒息等危险。</w:t>
      </w:r>
    </w:p>
    <w:p>
      <w:pPr>
        <w:numPr>
          <w:ilvl w:val="0"/>
          <w:numId w:val="13"/>
        </w:numPr>
        <w:spacing w:line="500" w:lineRule="exact"/>
        <w:ind w:firstLine="560" w:firstLineChars="200"/>
        <w:rPr>
          <w:color w:val="000000" w:themeColor="text1"/>
          <w:sz w:val="28"/>
          <w:szCs w:val="28"/>
        </w:rPr>
      </w:pPr>
      <w:r>
        <w:rPr>
          <w:rFonts w:hint="eastAsia"/>
          <w:color w:val="000000" w:themeColor="text1"/>
          <w:sz w:val="28"/>
          <w:szCs w:val="28"/>
        </w:rPr>
        <w:t>作业人员未经培训，安全意识淡薄，不按检修操作规程要求进行检修，违章作业等，或检修作业人员未佩戴安全绳、安全帽等劳动保护用品等；</w:t>
      </w:r>
    </w:p>
    <w:p>
      <w:pPr>
        <w:numPr>
          <w:ilvl w:val="0"/>
          <w:numId w:val="13"/>
        </w:numPr>
        <w:spacing w:line="500" w:lineRule="exact"/>
        <w:ind w:firstLine="560" w:firstLineChars="200"/>
        <w:rPr>
          <w:color w:val="000000" w:themeColor="text1"/>
          <w:sz w:val="28"/>
          <w:szCs w:val="28"/>
        </w:rPr>
      </w:pPr>
      <w:r>
        <w:rPr>
          <w:rFonts w:hint="eastAsia"/>
          <w:color w:val="000000" w:themeColor="text1"/>
          <w:sz w:val="28"/>
          <w:szCs w:val="28"/>
        </w:rPr>
        <w:t>检修过程进行电焊作业，操作不当或未佩戴相应劳动防护用品可能被焊渣烫伤。</w:t>
      </w:r>
    </w:p>
    <w:p>
      <w:pPr>
        <w:numPr>
          <w:ilvl w:val="0"/>
          <w:numId w:val="13"/>
        </w:numPr>
        <w:spacing w:line="500" w:lineRule="exact"/>
        <w:ind w:firstLine="560" w:firstLineChars="200"/>
        <w:rPr>
          <w:color w:val="000000" w:themeColor="text1"/>
          <w:sz w:val="28"/>
          <w:szCs w:val="28"/>
        </w:rPr>
      </w:pPr>
      <w:r>
        <w:rPr>
          <w:rFonts w:hint="eastAsia"/>
          <w:color w:val="000000" w:themeColor="text1"/>
          <w:sz w:val="28"/>
          <w:szCs w:val="28"/>
        </w:rPr>
        <w:t>检修过程使用的机械设备，一旦转动部位未采取防护或防护失效，设备存在尖锐边角等，可能引发机械伤害。</w:t>
      </w:r>
    </w:p>
    <w:p>
      <w:pPr>
        <w:numPr>
          <w:ilvl w:val="0"/>
          <w:numId w:val="13"/>
        </w:numPr>
        <w:spacing w:line="500" w:lineRule="exact"/>
        <w:ind w:firstLine="560" w:firstLineChars="200"/>
        <w:rPr>
          <w:color w:val="000000" w:themeColor="text1"/>
        </w:rPr>
      </w:pPr>
      <w:r>
        <w:rPr>
          <w:rFonts w:hint="eastAsia"/>
          <w:color w:val="000000" w:themeColor="text1"/>
          <w:sz w:val="28"/>
          <w:szCs w:val="28"/>
        </w:rPr>
        <w:t xml:space="preserve">机械设备工作不正常发出噪声太大或人员长期处于噪声环境，可导致噪声聋，或检修完成后拆除的设备安全附件如机械防护罩等不恢复。  </w:t>
      </w:r>
    </w:p>
    <w:p>
      <w:pPr>
        <w:pStyle w:val="19"/>
        <w:spacing w:afterLines="100" w:line="500" w:lineRule="exact"/>
        <w:rPr>
          <w:rFonts w:ascii="黑体" w:hAnsi="宋体" w:eastAsia="黑体"/>
          <w:color w:val="000000" w:themeColor="text1"/>
          <w:kern w:val="3"/>
          <w:sz w:val="28"/>
          <w:szCs w:val="28"/>
        </w:rPr>
      </w:pPr>
      <w:bookmarkStart w:id="1194" w:name="_Toc21288"/>
      <w:bookmarkStart w:id="1195" w:name="_Toc10041"/>
      <w:bookmarkStart w:id="1196" w:name="_Toc5431"/>
      <w:r>
        <w:rPr>
          <w:rFonts w:hint="eastAsia" w:ascii="黑体" w:hAnsi="宋体" w:eastAsia="黑体"/>
          <w:color w:val="000000" w:themeColor="text1"/>
          <w:kern w:val="3"/>
          <w:sz w:val="28"/>
          <w:szCs w:val="28"/>
        </w:rPr>
        <w:t>3.5.</w:t>
      </w:r>
      <w:bookmarkStart w:id="1197" w:name="_Toc319753486"/>
      <w:r>
        <w:rPr>
          <w:rFonts w:hint="eastAsia" w:ascii="黑体" w:hAnsi="宋体" w:eastAsia="黑体"/>
          <w:color w:val="000000" w:themeColor="text1"/>
          <w:kern w:val="3"/>
          <w:sz w:val="28"/>
          <w:szCs w:val="28"/>
        </w:rPr>
        <w:t>8安全管理危险性分析</w:t>
      </w:r>
      <w:bookmarkEnd w:id="1181"/>
      <w:bookmarkEnd w:id="1182"/>
      <w:bookmarkEnd w:id="1183"/>
      <w:bookmarkEnd w:id="1184"/>
      <w:bookmarkEnd w:id="1185"/>
      <w:bookmarkEnd w:id="1186"/>
      <w:bookmarkEnd w:id="1187"/>
      <w:bookmarkEnd w:id="1188"/>
      <w:bookmarkEnd w:id="1189"/>
      <w:bookmarkEnd w:id="1194"/>
      <w:bookmarkEnd w:id="1195"/>
      <w:bookmarkEnd w:id="1196"/>
      <w:bookmarkEnd w:id="1197"/>
    </w:p>
    <w:p>
      <w:pPr>
        <w:tabs>
          <w:tab w:val="left" w:pos="3900"/>
        </w:tabs>
        <w:adjustRightInd w:val="0"/>
        <w:snapToGrid w:val="0"/>
        <w:spacing w:line="500" w:lineRule="exact"/>
        <w:ind w:firstLine="560" w:firstLineChars="200"/>
        <w:rPr>
          <w:snapToGrid w:val="0"/>
          <w:color w:val="000000" w:themeColor="text1"/>
          <w:kern w:val="0"/>
          <w:sz w:val="28"/>
          <w:szCs w:val="28"/>
          <w:lang w:val="zh-CN"/>
        </w:rPr>
      </w:pPr>
      <w:r>
        <w:rPr>
          <w:color w:val="000000" w:themeColor="text1"/>
          <w:sz w:val="28"/>
          <w:szCs w:val="28"/>
        </w:rPr>
        <w:t>安全管理是为保证及时、有效地实现既定的安全目标，是在预测、分析的基础上进行的计划、组织、协调、检查等工作，是预防故障和人员失误发生的有效手段，因此，安全管理缺陷是影响运行失控发生的重要因素。</w:t>
      </w:r>
      <w:r>
        <w:rPr>
          <w:snapToGrid w:val="0"/>
          <w:color w:val="000000" w:themeColor="text1"/>
          <w:kern w:val="0"/>
          <w:sz w:val="28"/>
          <w:szCs w:val="28"/>
          <w:lang w:val="zh-CN"/>
        </w:rPr>
        <w:t>由于安全管理缺陷，该项目可能引发的主要危险性，如火灾、其他爆炸、中毒和窒息、触电、车辆伤害等事故。</w:t>
      </w:r>
    </w:p>
    <w:p>
      <w:pPr>
        <w:tabs>
          <w:tab w:val="left" w:pos="3900"/>
        </w:tabs>
        <w:adjustRightInd w:val="0"/>
        <w:snapToGrid w:val="0"/>
        <w:spacing w:line="500" w:lineRule="exact"/>
        <w:ind w:firstLine="560" w:firstLineChars="200"/>
        <w:rPr>
          <w:snapToGrid w:val="0"/>
          <w:color w:val="000000" w:themeColor="text1"/>
          <w:kern w:val="0"/>
          <w:sz w:val="28"/>
          <w:szCs w:val="28"/>
          <w:lang w:val="zh-CN"/>
        </w:rPr>
      </w:pPr>
      <w:r>
        <w:rPr>
          <w:snapToGrid w:val="0"/>
          <w:color w:val="000000" w:themeColor="text1"/>
          <w:kern w:val="0"/>
          <w:sz w:val="28"/>
          <w:szCs w:val="28"/>
          <w:lang w:val="zh-CN"/>
        </w:rPr>
        <w:t>该项目安全管理缺陷主要体现在以下几个方面：</w:t>
      </w:r>
    </w:p>
    <w:p>
      <w:pPr>
        <w:tabs>
          <w:tab w:val="left" w:pos="945"/>
        </w:tabs>
        <w:autoSpaceDE w:val="0"/>
        <w:autoSpaceDN w:val="0"/>
        <w:adjustRightInd w:val="0"/>
        <w:spacing w:line="500" w:lineRule="exact"/>
        <w:ind w:firstLine="560" w:firstLineChars="200"/>
        <w:jc w:val="left"/>
        <w:rPr>
          <w:color w:val="000000" w:themeColor="text1"/>
          <w:sz w:val="28"/>
          <w:szCs w:val="28"/>
        </w:rPr>
      </w:pPr>
      <w:r>
        <w:rPr>
          <w:color w:val="000000" w:themeColor="text1"/>
          <w:sz w:val="28"/>
          <w:szCs w:val="28"/>
        </w:rPr>
        <w:t>1</w:t>
      </w:r>
      <w:r>
        <w:rPr>
          <w:rFonts w:hint="eastAsia"/>
          <w:color w:val="000000" w:themeColor="text1"/>
          <w:sz w:val="28"/>
          <w:szCs w:val="28"/>
        </w:rPr>
        <w:t>.</w:t>
      </w:r>
      <w:r>
        <w:rPr>
          <w:color w:val="000000" w:themeColor="text1"/>
          <w:sz w:val="28"/>
          <w:szCs w:val="28"/>
        </w:rPr>
        <w:t>安全管理组织缺陷，如安全管理组织机构的结构、人员组成不适应甲醇储存要求；未按要求配备管理人员，造成安全管理工作中存在衔接不当、管理空白等；人员职权交叉，造成管理混乱；在解决重大问题上由一人凭借经验作决策，没有征求大多数人的意见。</w:t>
      </w:r>
    </w:p>
    <w:p>
      <w:pPr>
        <w:tabs>
          <w:tab w:val="left" w:pos="945"/>
        </w:tabs>
        <w:autoSpaceDE w:val="0"/>
        <w:autoSpaceDN w:val="0"/>
        <w:adjustRightInd w:val="0"/>
        <w:spacing w:line="500" w:lineRule="exact"/>
        <w:ind w:firstLine="560" w:firstLineChars="200"/>
        <w:jc w:val="left"/>
        <w:rPr>
          <w:color w:val="000000" w:themeColor="text1"/>
          <w:sz w:val="28"/>
          <w:szCs w:val="28"/>
        </w:rPr>
      </w:pPr>
      <w:r>
        <w:rPr>
          <w:color w:val="000000" w:themeColor="text1"/>
          <w:sz w:val="28"/>
          <w:szCs w:val="28"/>
        </w:rPr>
        <w:t>2</w:t>
      </w:r>
      <w:r>
        <w:rPr>
          <w:rFonts w:hint="eastAsia"/>
          <w:color w:val="000000" w:themeColor="text1"/>
          <w:sz w:val="28"/>
          <w:szCs w:val="28"/>
        </w:rPr>
        <w:t>.</w:t>
      </w:r>
      <w:r>
        <w:rPr>
          <w:color w:val="000000" w:themeColor="text1"/>
          <w:sz w:val="28"/>
          <w:szCs w:val="28"/>
        </w:rPr>
        <w:t>安全规章管理制度存在缺陷，如未根据自身特点制定、完善安全责任制、安全管理制度，造成工作中无章可循，次序混乱；安全责任制未落实到每个环节、每个岗位、每个人，各自职责不明确；不同的安全规章管理制度之间缺少相互配合和促进机制；安全规章制度流于形式，内容不完善；安全规章管理制度要求与实际工作脱节等。</w:t>
      </w:r>
    </w:p>
    <w:p>
      <w:pPr>
        <w:tabs>
          <w:tab w:val="left" w:pos="945"/>
        </w:tabs>
        <w:autoSpaceDE w:val="0"/>
        <w:autoSpaceDN w:val="0"/>
        <w:adjustRightInd w:val="0"/>
        <w:spacing w:line="500" w:lineRule="exact"/>
        <w:ind w:firstLine="560" w:firstLineChars="200"/>
        <w:jc w:val="left"/>
        <w:rPr>
          <w:color w:val="000000" w:themeColor="text1"/>
          <w:sz w:val="28"/>
          <w:szCs w:val="28"/>
        </w:rPr>
      </w:pPr>
      <w:r>
        <w:rPr>
          <w:color w:val="000000" w:themeColor="text1"/>
          <w:sz w:val="28"/>
          <w:szCs w:val="28"/>
        </w:rPr>
        <w:t>3</w:t>
      </w:r>
      <w:r>
        <w:rPr>
          <w:rFonts w:hint="eastAsia"/>
          <w:color w:val="000000" w:themeColor="text1"/>
          <w:sz w:val="28"/>
          <w:szCs w:val="28"/>
        </w:rPr>
        <w:t>.</w:t>
      </w:r>
      <w:r>
        <w:rPr>
          <w:color w:val="000000" w:themeColor="text1"/>
          <w:sz w:val="28"/>
          <w:szCs w:val="28"/>
        </w:rPr>
        <w:t>对从业人员的安全教育培训不足，如安全管理人员和操作人员未经过培训考核或培训学时不足，不具备相应的安全知识和上岗能力；员工素质低下，知识陈旧，观念落后，致使人员安全意识差、不安全行为数量增多；忽视对外协用工、外来人员的安全教育培训等。</w:t>
      </w:r>
    </w:p>
    <w:p>
      <w:pPr>
        <w:tabs>
          <w:tab w:val="left" w:pos="945"/>
        </w:tabs>
        <w:autoSpaceDE w:val="0"/>
        <w:autoSpaceDN w:val="0"/>
        <w:adjustRightInd w:val="0"/>
        <w:spacing w:line="500" w:lineRule="exact"/>
        <w:ind w:firstLine="560" w:firstLineChars="200"/>
        <w:jc w:val="left"/>
        <w:rPr>
          <w:color w:val="000000" w:themeColor="text1"/>
          <w:sz w:val="28"/>
          <w:szCs w:val="28"/>
        </w:rPr>
      </w:pPr>
      <w:r>
        <w:rPr>
          <w:color w:val="000000" w:themeColor="text1"/>
          <w:sz w:val="28"/>
          <w:szCs w:val="28"/>
        </w:rPr>
        <w:t>4</w:t>
      </w:r>
      <w:r>
        <w:rPr>
          <w:rFonts w:hint="eastAsia"/>
          <w:color w:val="000000" w:themeColor="text1"/>
          <w:sz w:val="28"/>
          <w:szCs w:val="28"/>
        </w:rPr>
        <w:t>.</w:t>
      </w:r>
      <w:r>
        <w:rPr>
          <w:color w:val="000000" w:themeColor="text1"/>
          <w:sz w:val="28"/>
          <w:szCs w:val="28"/>
        </w:rPr>
        <w:t>安全投入不足，安全教育培训不够、个人防护不到位、安全设施配备不足、未提供事故隐患排查治理所需的资金等导致事故的发生。</w:t>
      </w:r>
    </w:p>
    <w:p>
      <w:pPr>
        <w:tabs>
          <w:tab w:val="left" w:pos="945"/>
        </w:tabs>
        <w:autoSpaceDE w:val="0"/>
        <w:autoSpaceDN w:val="0"/>
        <w:adjustRightInd w:val="0"/>
        <w:spacing w:line="500" w:lineRule="exact"/>
        <w:ind w:firstLine="560" w:firstLineChars="200"/>
        <w:jc w:val="left"/>
        <w:rPr>
          <w:color w:val="000000" w:themeColor="text1"/>
          <w:sz w:val="28"/>
          <w:szCs w:val="28"/>
        </w:rPr>
      </w:pPr>
      <w:r>
        <w:rPr>
          <w:color w:val="000000" w:themeColor="text1"/>
          <w:sz w:val="28"/>
          <w:szCs w:val="28"/>
        </w:rPr>
        <w:t>5</w:t>
      </w:r>
      <w:r>
        <w:rPr>
          <w:rFonts w:hint="eastAsia"/>
          <w:color w:val="000000" w:themeColor="text1"/>
          <w:sz w:val="28"/>
          <w:szCs w:val="28"/>
        </w:rPr>
        <w:t>.</w:t>
      </w:r>
      <w:r>
        <w:rPr>
          <w:color w:val="000000" w:themeColor="text1"/>
          <w:sz w:val="28"/>
          <w:szCs w:val="28"/>
        </w:rPr>
        <w:t>为节约成本，不提供符合要求的安全防护设施和个人使用的劳动防护用品。</w:t>
      </w:r>
    </w:p>
    <w:p>
      <w:pPr>
        <w:tabs>
          <w:tab w:val="left" w:pos="945"/>
        </w:tabs>
        <w:autoSpaceDE w:val="0"/>
        <w:autoSpaceDN w:val="0"/>
        <w:adjustRightInd w:val="0"/>
        <w:spacing w:line="500" w:lineRule="exact"/>
        <w:ind w:firstLine="560" w:firstLineChars="200"/>
        <w:jc w:val="left"/>
        <w:rPr>
          <w:color w:val="000000" w:themeColor="text1"/>
          <w:sz w:val="28"/>
          <w:szCs w:val="28"/>
        </w:rPr>
      </w:pPr>
      <w:r>
        <w:rPr>
          <w:color w:val="000000" w:themeColor="text1"/>
          <w:sz w:val="28"/>
          <w:szCs w:val="28"/>
        </w:rPr>
        <w:t>6</w:t>
      </w:r>
      <w:r>
        <w:rPr>
          <w:rFonts w:hint="eastAsia"/>
          <w:color w:val="000000" w:themeColor="text1"/>
          <w:sz w:val="28"/>
          <w:szCs w:val="28"/>
        </w:rPr>
        <w:t>.</w:t>
      </w:r>
      <w:r>
        <w:rPr>
          <w:color w:val="000000" w:themeColor="text1"/>
          <w:sz w:val="28"/>
          <w:szCs w:val="28"/>
        </w:rPr>
        <w:t>未建立甲醇安全储存记录档案，不利于及时、全面系统的掌握厂内甲醇储存安全动态；不利于分析储存过程中的危险因素和作出安全管理决策。</w:t>
      </w:r>
    </w:p>
    <w:p>
      <w:pPr>
        <w:tabs>
          <w:tab w:val="left" w:pos="945"/>
        </w:tabs>
        <w:autoSpaceDE w:val="0"/>
        <w:autoSpaceDN w:val="0"/>
        <w:adjustRightInd w:val="0"/>
        <w:spacing w:line="500" w:lineRule="exact"/>
        <w:ind w:firstLine="560" w:firstLineChars="200"/>
        <w:jc w:val="left"/>
        <w:rPr>
          <w:color w:val="000000" w:themeColor="text1"/>
          <w:sz w:val="28"/>
          <w:szCs w:val="28"/>
        </w:rPr>
      </w:pPr>
      <w:r>
        <w:rPr>
          <w:color w:val="000000" w:themeColor="text1"/>
          <w:sz w:val="28"/>
          <w:szCs w:val="28"/>
        </w:rPr>
        <w:t>7</w:t>
      </w:r>
      <w:r>
        <w:rPr>
          <w:rFonts w:hint="eastAsia"/>
          <w:color w:val="000000" w:themeColor="text1"/>
          <w:sz w:val="28"/>
          <w:szCs w:val="28"/>
        </w:rPr>
        <w:t>.</w:t>
      </w:r>
      <w:r>
        <w:rPr>
          <w:color w:val="000000" w:themeColor="text1"/>
          <w:sz w:val="28"/>
          <w:szCs w:val="28"/>
        </w:rPr>
        <w:t>管理人员监督检查力度不足，有禁不止，有令不行，滋生违章行为等。</w:t>
      </w:r>
    </w:p>
    <w:p>
      <w:pPr>
        <w:tabs>
          <w:tab w:val="left" w:pos="945"/>
        </w:tabs>
        <w:autoSpaceDE w:val="0"/>
        <w:autoSpaceDN w:val="0"/>
        <w:adjustRightInd w:val="0"/>
        <w:spacing w:line="500" w:lineRule="exact"/>
        <w:ind w:firstLine="560" w:firstLineChars="200"/>
        <w:jc w:val="left"/>
        <w:rPr>
          <w:color w:val="000000" w:themeColor="text1"/>
          <w:sz w:val="28"/>
          <w:szCs w:val="28"/>
        </w:rPr>
      </w:pPr>
      <w:r>
        <w:rPr>
          <w:color w:val="000000" w:themeColor="text1"/>
          <w:sz w:val="28"/>
          <w:szCs w:val="28"/>
        </w:rPr>
        <w:t>8</w:t>
      </w:r>
      <w:r>
        <w:rPr>
          <w:rFonts w:hint="eastAsia"/>
          <w:color w:val="000000" w:themeColor="text1"/>
          <w:sz w:val="28"/>
          <w:szCs w:val="28"/>
        </w:rPr>
        <w:t>.</w:t>
      </w:r>
      <w:r>
        <w:rPr>
          <w:color w:val="000000" w:themeColor="text1"/>
          <w:sz w:val="28"/>
          <w:szCs w:val="28"/>
        </w:rPr>
        <w:t>隐患排查不彻底，治理措施不得当等其他安全管理方面的原因</w:t>
      </w:r>
    </w:p>
    <w:p>
      <w:pPr>
        <w:tabs>
          <w:tab w:val="left" w:pos="945"/>
        </w:tabs>
        <w:autoSpaceDE w:val="0"/>
        <w:autoSpaceDN w:val="0"/>
        <w:adjustRightInd w:val="0"/>
        <w:spacing w:line="500" w:lineRule="exact"/>
        <w:ind w:firstLine="560" w:firstLineChars="200"/>
        <w:jc w:val="left"/>
        <w:rPr>
          <w:color w:val="000000" w:themeColor="text1"/>
          <w:sz w:val="28"/>
          <w:szCs w:val="28"/>
        </w:rPr>
      </w:pPr>
      <w:r>
        <w:rPr>
          <w:color w:val="000000" w:themeColor="text1"/>
          <w:sz w:val="28"/>
          <w:szCs w:val="28"/>
        </w:rPr>
        <w:t>9</w:t>
      </w:r>
      <w:r>
        <w:rPr>
          <w:rFonts w:hint="eastAsia"/>
          <w:color w:val="000000" w:themeColor="text1"/>
          <w:sz w:val="28"/>
          <w:szCs w:val="28"/>
        </w:rPr>
        <w:t>.</w:t>
      </w:r>
      <w:r>
        <w:rPr>
          <w:color w:val="000000" w:themeColor="text1"/>
          <w:sz w:val="28"/>
          <w:szCs w:val="28"/>
        </w:rPr>
        <w:t>厂内从业人员不熟悉掌握甲醇的理化特性、危险危害以及防护、救护措施和与其相关联的供、销单位危险化学品装卸和运输环节中的危险有害因素容易引发安全事故。</w:t>
      </w:r>
    </w:p>
    <w:p>
      <w:pPr>
        <w:tabs>
          <w:tab w:val="left" w:pos="945"/>
        </w:tabs>
        <w:autoSpaceDE w:val="0"/>
        <w:autoSpaceDN w:val="0"/>
        <w:adjustRightInd w:val="0"/>
        <w:spacing w:line="500" w:lineRule="exact"/>
        <w:ind w:firstLine="560" w:firstLineChars="200"/>
        <w:jc w:val="left"/>
        <w:rPr>
          <w:color w:val="000000" w:themeColor="text1"/>
          <w:sz w:val="28"/>
          <w:szCs w:val="28"/>
        </w:rPr>
      </w:pPr>
      <w:r>
        <w:rPr>
          <w:color w:val="000000" w:themeColor="text1"/>
          <w:sz w:val="28"/>
          <w:szCs w:val="28"/>
        </w:rPr>
        <w:t>10</w:t>
      </w:r>
      <w:r>
        <w:rPr>
          <w:rFonts w:hint="eastAsia"/>
          <w:color w:val="000000" w:themeColor="text1"/>
          <w:sz w:val="28"/>
          <w:szCs w:val="28"/>
        </w:rPr>
        <w:t>.</w:t>
      </w:r>
      <w:r>
        <w:rPr>
          <w:color w:val="000000" w:themeColor="text1"/>
          <w:sz w:val="28"/>
          <w:szCs w:val="28"/>
        </w:rPr>
        <w:t>对事故管理不当，使事故恶化，如迟报、漏报、谎报或瞒报事故，事故原因没有查清楚，群众没有受到教育等。</w:t>
      </w:r>
    </w:p>
    <w:p>
      <w:pPr>
        <w:tabs>
          <w:tab w:val="left" w:pos="945"/>
        </w:tabs>
        <w:autoSpaceDE w:val="0"/>
        <w:autoSpaceDN w:val="0"/>
        <w:adjustRightInd w:val="0"/>
        <w:spacing w:line="500" w:lineRule="exact"/>
        <w:ind w:firstLine="560" w:firstLineChars="200"/>
        <w:jc w:val="left"/>
        <w:rPr>
          <w:color w:val="000000" w:themeColor="text1"/>
          <w:sz w:val="28"/>
          <w:szCs w:val="28"/>
        </w:rPr>
      </w:pPr>
      <w:r>
        <w:rPr>
          <w:color w:val="000000" w:themeColor="text1"/>
          <w:sz w:val="28"/>
          <w:szCs w:val="28"/>
        </w:rPr>
        <w:t>11</w:t>
      </w:r>
      <w:r>
        <w:rPr>
          <w:rFonts w:hint="eastAsia"/>
          <w:color w:val="000000" w:themeColor="text1"/>
          <w:sz w:val="28"/>
          <w:szCs w:val="28"/>
        </w:rPr>
        <w:t>.</w:t>
      </w:r>
      <w:r>
        <w:rPr>
          <w:color w:val="000000" w:themeColor="text1"/>
          <w:sz w:val="28"/>
          <w:szCs w:val="28"/>
        </w:rPr>
        <w:t>应急救援失效，如对突发事故无预见性，事故发生后无法及时组织救援，事故应急救援不迅速，事故判断不准确，导致采取的应急救援行动和战术决策不准确，事故救援缺乏有效性，应急响应过程中公众恐慌心理增加救援难度等。</w:t>
      </w:r>
    </w:p>
    <w:p>
      <w:pPr>
        <w:pStyle w:val="19"/>
        <w:spacing w:afterLines="100" w:line="500" w:lineRule="exact"/>
        <w:rPr>
          <w:rFonts w:ascii="黑体" w:hAnsi="宋体" w:eastAsia="黑体"/>
          <w:color w:val="000000" w:themeColor="text1"/>
          <w:kern w:val="3"/>
          <w:sz w:val="28"/>
          <w:szCs w:val="28"/>
        </w:rPr>
      </w:pPr>
      <w:bookmarkStart w:id="1198" w:name="_Toc3692"/>
      <w:bookmarkStart w:id="1199" w:name="_Toc20007"/>
      <w:bookmarkStart w:id="1200" w:name="_Toc18872"/>
      <w:bookmarkStart w:id="1201" w:name="_Toc9128"/>
      <w:bookmarkStart w:id="1202" w:name="_Toc28431"/>
      <w:bookmarkStart w:id="1203" w:name="_Toc32378"/>
      <w:bookmarkStart w:id="1204" w:name="_Toc22497"/>
      <w:bookmarkStart w:id="1205" w:name="_Toc14976"/>
      <w:bookmarkStart w:id="1206" w:name="_Toc11961"/>
      <w:bookmarkStart w:id="1207" w:name="_Toc28996"/>
      <w:bookmarkStart w:id="1208" w:name="_Toc19378"/>
      <w:r>
        <w:rPr>
          <w:rFonts w:hint="eastAsia" w:ascii="黑体" w:hAnsi="宋体" w:eastAsia="黑体"/>
          <w:color w:val="000000" w:themeColor="text1"/>
          <w:kern w:val="3"/>
          <w:sz w:val="28"/>
          <w:szCs w:val="28"/>
        </w:rPr>
        <w:t>3.5.9主要危险、有害因素类别分析</w:t>
      </w:r>
      <w:bookmarkEnd w:id="1198"/>
      <w:bookmarkEnd w:id="1199"/>
      <w:bookmarkEnd w:id="1200"/>
      <w:bookmarkEnd w:id="1201"/>
      <w:bookmarkEnd w:id="1202"/>
      <w:bookmarkEnd w:id="1203"/>
      <w:bookmarkEnd w:id="1204"/>
      <w:bookmarkEnd w:id="1205"/>
      <w:bookmarkEnd w:id="1206"/>
      <w:bookmarkEnd w:id="1207"/>
      <w:bookmarkEnd w:id="1208"/>
    </w:p>
    <w:p>
      <w:pPr>
        <w:pStyle w:val="19"/>
        <w:spacing w:afterLines="100" w:line="500" w:lineRule="exact"/>
        <w:rPr>
          <w:rFonts w:ascii="黑体" w:hAnsi="宋体" w:eastAsia="黑体"/>
          <w:color w:val="000000" w:themeColor="text1"/>
          <w:kern w:val="3"/>
          <w:sz w:val="28"/>
          <w:szCs w:val="28"/>
        </w:rPr>
      </w:pPr>
      <w:bookmarkStart w:id="1209" w:name="_Toc21627905"/>
      <w:bookmarkStart w:id="1210" w:name="_Toc71710920"/>
      <w:bookmarkStart w:id="1211" w:name="_Toc18428"/>
      <w:bookmarkStart w:id="1212" w:name="_Toc7875"/>
      <w:bookmarkStart w:id="1213" w:name="_Toc21978391"/>
      <w:bookmarkStart w:id="1214" w:name="_Toc71558487"/>
      <w:bookmarkStart w:id="1215" w:name="_Toc26499"/>
      <w:bookmarkStart w:id="1216" w:name="_Toc31324"/>
      <w:r>
        <w:rPr>
          <w:rFonts w:hint="eastAsia" w:ascii="黑体" w:hAnsi="宋体" w:eastAsia="黑体"/>
          <w:color w:val="000000" w:themeColor="text1"/>
          <w:kern w:val="3"/>
          <w:sz w:val="28"/>
          <w:szCs w:val="28"/>
        </w:rPr>
        <w:t>3.5.9.1火灾、其他爆炸危险性分析</w:t>
      </w:r>
      <w:bookmarkEnd w:id="1209"/>
      <w:bookmarkEnd w:id="1210"/>
      <w:bookmarkEnd w:id="1211"/>
      <w:bookmarkEnd w:id="1212"/>
      <w:bookmarkEnd w:id="1213"/>
      <w:bookmarkEnd w:id="1214"/>
      <w:bookmarkEnd w:id="1215"/>
      <w:bookmarkEnd w:id="1216"/>
    </w:p>
    <w:p>
      <w:pPr>
        <w:spacing w:line="500" w:lineRule="exact"/>
        <w:ind w:firstLine="560" w:firstLineChars="200"/>
        <w:rPr>
          <w:bCs/>
          <w:color w:val="000000" w:themeColor="text1"/>
          <w:kern w:val="0"/>
          <w:sz w:val="28"/>
          <w:szCs w:val="28"/>
        </w:rPr>
      </w:pPr>
      <w:r>
        <w:rPr>
          <w:color w:val="000000" w:themeColor="text1"/>
          <w:kern w:val="0"/>
          <w:sz w:val="28"/>
          <w:szCs w:val="28"/>
        </w:rPr>
        <w:t>该项目甲醇为</w:t>
      </w:r>
      <w:r>
        <w:rPr>
          <w:bCs/>
          <w:color w:val="000000" w:themeColor="text1"/>
          <w:kern w:val="0"/>
          <w:sz w:val="28"/>
          <w:szCs w:val="28"/>
        </w:rPr>
        <w:t>易燃液体，其液体及蒸气易燃，受热或接触明火，有中等程度的火灾危险。因此，甲醇引起火灾的主要原因有以下方面：</w:t>
      </w:r>
    </w:p>
    <w:p>
      <w:pPr>
        <w:spacing w:line="500" w:lineRule="exact"/>
        <w:ind w:firstLine="560" w:firstLineChars="200"/>
        <w:rPr>
          <w:bCs/>
          <w:color w:val="000000" w:themeColor="text1"/>
          <w:kern w:val="0"/>
          <w:sz w:val="28"/>
          <w:szCs w:val="28"/>
        </w:rPr>
      </w:pPr>
      <w:r>
        <w:rPr>
          <w:bCs/>
          <w:color w:val="000000" w:themeColor="text1"/>
          <w:kern w:val="0"/>
          <w:sz w:val="28"/>
          <w:szCs w:val="28"/>
        </w:rPr>
        <w:t>1</w:t>
      </w:r>
      <w:r>
        <w:rPr>
          <w:rFonts w:hint="eastAsia"/>
          <w:bCs/>
          <w:color w:val="000000" w:themeColor="text1"/>
          <w:kern w:val="0"/>
          <w:sz w:val="28"/>
          <w:szCs w:val="28"/>
        </w:rPr>
        <w:t>.</w:t>
      </w:r>
      <w:r>
        <w:rPr>
          <w:bCs/>
          <w:color w:val="000000" w:themeColor="text1"/>
          <w:kern w:val="0"/>
          <w:sz w:val="28"/>
          <w:szCs w:val="28"/>
        </w:rPr>
        <w:t>由于甲醇储存、装卸设施、管线损坏、连接处密封不严、锈蚀穿孔或装卸作业人员违规操作而造成甲醇泄漏而遇点火源、</w:t>
      </w:r>
      <w:r>
        <w:rPr>
          <w:color w:val="000000" w:themeColor="text1"/>
          <w:kern w:val="0"/>
          <w:sz w:val="28"/>
          <w:szCs w:val="28"/>
        </w:rPr>
        <w:t>禁忌物</w:t>
      </w:r>
      <w:r>
        <w:rPr>
          <w:bCs/>
          <w:color w:val="000000" w:themeColor="text1"/>
          <w:kern w:val="0"/>
          <w:sz w:val="28"/>
          <w:szCs w:val="28"/>
        </w:rPr>
        <w:t>引发火灾、其他爆炸危险。</w:t>
      </w:r>
    </w:p>
    <w:p>
      <w:pPr>
        <w:spacing w:line="500" w:lineRule="exact"/>
        <w:ind w:firstLine="560" w:firstLineChars="200"/>
        <w:rPr>
          <w:color w:val="000000" w:themeColor="text1"/>
          <w:kern w:val="0"/>
          <w:sz w:val="28"/>
          <w:szCs w:val="28"/>
        </w:rPr>
      </w:pPr>
      <w:r>
        <w:rPr>
          <w:bCs/>
          <w:color w:val="000000" w:themeColor="text1"/>
          <w:kern w:val="0"/>
          <w:sz w:val="28"/>
          <w:szCs w:val="28"/>
        </w:rPr>
        <w:t>2</w:t>
      </w:r>
      <w:r>
        <w:rPr>
          <w:rFonts w:hint="eastAsia"/>
          <w:bCs/>
          <w:color w:val="000000" w:themeColor="text1"/>
          <w:kern w:val="0"/>
          <w:sz w:val="28"/>
          <w:szCs w:val="28"/>
        </w:rPr>
        <w:t>.</w:t>
      </w:r>
      <w:r>
        <w:rPr>
          <w:bCs/>
          <w:color w:val="000000" w:themeColor="text1"/>
          <w:kern w:val="0"/>
          <w:sz w:val="28"/>
          <w:szCs w:val="28"/>
        </w:rPr>
        <w:t>需在甲醇罐区、装卸区对其管线、设备进行检、维修时，如未执行相应动火作业票，违规使用明火引发火灾，或使用易产生火花的工具，或进入罐区及进行装卸</w:t>
      </w:r>
      <w:r>
        <w:rPr>
          <w:color w:val="000000" w:themeColor="text1"/>
          <w:kern w:val="0"/>
          <w:sz w:val="28"/>
          <w:szCs w:val="28"/>
        </w:rPr>
        <w:t>作业时，穿戴化纤服装而产生静电危害等而引起火灾、其他爆炸危险。</w:t>
      </w:r>
    </w:p>
    <w:p>
      <w:pPr>
        <w:spacing w:line="500" w:lineRule="exact"/>
        <w:ind w:firstLine="560" w:firstLineChars="200"/>
        <w:rPr>
          <w:color w:val="000000" w:themeColor="text1"/>
          <w:kern w:val="0"/>
          <w:sz w:val="28"/>
          <w:szCs w:val="28"/>
        </w:rPr>
      </w:pPr>
      <w:r>
        <w:rPr>
          <w:color w:val="000000" w:themeColor="text1"/>
          <w:kern w:val="0"/>
          <w:sz w:val="28"/>
          <w:szCs w:val="28"/>
        </w:rPr>
        <w:t>3</w:t>
      </w:r>
      <w:r>
        <w:rPr>
          <w:rFonts w:hint="eastAsia"/>
          <w:color w:val="000000" w:themeColor="text1"/>
          <w:kern w:val="0"/>
          <w:sz w:val="28"/>
          <w:szCs w:val="28"/>
        </w:rPr>
        <w:t>.</w:t>
      </w:r>
      <w:r>
        <w:rPr>
          <w:color w:val="000000" w:themeColor="text1"/>
          <w:kern w:val="0"/>
          <w:sz w:val="28"/>
          <w:szCs w:val="28"/>
        </w:rPr>
        <w:t>甲醇罐区、装卸区采取的防雷、防静电措施无效，未对防雷、防静电设施进行定期检测，或甲醇罐体、输送管道未设置防静电接地，管线法兰未采取防静电跨接等可能会由于雷电、静电危害而引发火灾、其他爆炸危险。</w:t>
      </w:r>
    </w:p>
    <w:p>
      <w:pPr>
        <w:pStyle w:val="19"/>
        <w:spacing w:afterLines="100" w:line="500" w:lineRule="exact"/>
        <w:rPr>
          <w:rFonts w:ascii="黑体" w:hAnsi="宋体" w:eastAsia="黑体"/>
          <w:color w:val="000000" w:themeColor="text1"/>
          <w:kern w:val="3"/>
          <w:sz w:val="28"/>
          <w:szCs w:val="28"/>
        </w:rPr>
      </w:pPr>
      <w:bookmarkStart w:id="1217" w:name="_Toc5013"/>
      <w:bookmarkStart w:id="1218" w:name="_Toc21627906"/>
      <w:bookmarkStart w:id="1219" w:name="_Toc21978392"/>
      <w:bookmarkStart w:id="1220" w:name="_Toc71710921"/>
      <w:bookmarkStart w:id="1221" w:name="_Toc9767"/>
      <w:bookmarkStart w:id="1222" w:name="_Toc30543"/>
      <w:bookmarkStart w:id="1223" w:name="_Toc16363"/>
      <w:bookmarkStart w:id="1224" w:name="_Toc71558488"/>
      <w:r>
        <w:rPr>
          <w:rFonts w:hint="eastAsia" w:ascii="黑体" w:hAnsi="宋体" w:eastAsia="黑体"/>
          <w:color w:val="000000" w:themeColor="text1"/>
          <w:kern w:val="3"/>
          <w:sz w:val="28"/>
          <w:szCs w:val="28"/>
        </w:rPr>
        <w:t>3.5.9.2中毒、窒息危险性分析</w:t>
      </w:r>
      <w:bookmarkEnd w:id="1217"/>
      <w:bookmarkEnd w:id="1218"/>
      <w:bookmarkEnd w:id="1219"/>
      <w:bookmarkEnd w:id="1220"/>
      <w:bookmarkEnd w:id="1221"/>
      <w:bookmarkEnd w:id="1222"/>
      <w:bookmarkEnd w:id="1223"/>
      <w:bookmarkEnd w:id="1224"/>
    </w:p>
    <w:p>
      <w:pPr>
        <w:spacing w:line="500" w:lineRule="exact"/>
        <w:ind w:firstLine="560" w:firstLineChars="200"/>
        <w:rPr>
          <w:color w:val="000000" w:themeColor="text1"/>
          <w:kern w:val="0"/>
          <w:sz w:val="28"/>
          <w:szCs w:val="28"/>
        </w:rPr>
      </w:pPr>
      <w:r>
        <w:rPr>
          <w:color w:val="000000" w:themeColor="text1"/>
          <w:kern w:val="0"/>
          <w:sz w:val="28"/>
          <w:szCs w:val="28"/>
        </w:rPr>
        <w:t>该项目甲</w:t>
      </w:r>
      <w:r>
        <w:rPr>
          <w:bCs/>
          <w:color w:val="000000" w:themeColor="text1"/>
          <w:kern w:val="0"/>
          <w:sz w:val="28"/>
          <w:szCs w:val="28"/>
        </w:rPr>
        <w:t>醇具有急性毒性，在装卸、储存过程中可直接或间接的引发中毒事故，</w:t>
      </w:r>
      <w:r>
        <w:rPr>
          <w:color w:val="000000" w:themeColor="text1"/>
          <w:kern w:val="0"/>
          <w:sz w:val="28"/>
          <w:szCs w:val="28"/>
        </w:rPr>
        <w:t>主要引发原因分析如下：</w:t>
      </w:r>
    </w:p>
    <w:p>
      <w:pPr>
        <w:spacing w:line="500" w:lineRule="exact"/>
        <w:ind w:firstLine="560" w:firstLineChars="200"/>
        <w:rPr>
          <w:color w:val="000000" w:themeColor="text1"/>
          <w:kern w:val="0"/>
          <w:sz w:val="28"/>
          <w:szCs w:val="28"/>
        </w:rPr>
      </w:pPr>
      <w:r>
        <w:rPr>
          <w:color w:val="000000" w:themeColor="text1"/>
          <w:kern w:val="0"/>
          <w:sz w:val="28"/>
          <w:szCs w:val="28"/>
        </w:rPr>
        <w:t>1</w:t>
      </w:r>
      <w:r>
        <w:rPr>
          <w:rFonts w:hint="eastAsia"/>
          <w:color w:val="000000" w:themeColor="text1"/>
          <w:kern w:val="0"/>
          <w:sz w:val="28"/>
          <w:szCs w:val="28"/>
        </w:rPr>
        <w:t>.</w:t>
      </w:r>
      <w:r>
        <w:rPr>
          <w:color w:val="000000" w:themeColor="text1"/>
          <w:kern w:val="0"/>
          <w:sz w:val="28"/>
          <w:szCs w:val="28"/>
        </w:rPr>
        <w:t>甲醇储存或装卸车过程中，</w:t>
      </w:r>
      <w:r>
        <w:rPr>
          <w:color w:val="000000" w:themeColor="text1"/>
          <w:sz w:val="28"/>
        </w:rPr>
        <w:t>违章操作等发生大量泄漏，会因装卸作业人员未佩戴劳动防护用品而发生</w:t>
      </w:r>
      <w:r>
        <w:rPr>
          <w:color w:val="000000" w:themeColor="text1"/>
          <w:kern w:val="0"/>
          <w:sz w:val="28"/>
          <w:szCs w:val="28"/>
        </w:rPr>
        <w:t>中毒、窒息事故。</w:t>
      </w:r>
    </w:p>
    <w:p>
      <w:pPr>
        <w:spacing w:line="500" w:lineRule="exact"/>
        <w:ind w:firstLine="560" w:firstLineChars="200"/>
        <w:rPr>
          <w:color w:val="000000" w:themeColor="text1"/>
          <w:kern w:val="0"/>
          <w:sz w:val="28"/>
          <w:szCs w:val="28"/>
        </w:rPr>
      </w:pPr>
      <w:r>
        <w:rPr>
          <w:color w:val="000000" w:themeColor="text1"/>
          <w:kern w:val="0"/>
          <w:sz w:val="28"/>
          <w:szCs w:val="28"/>
        </w:rPr>
        <w:t>2</w:t>
      </w:r>
      <w:r>
        <w:rPr>
          <w:rFonts w:hint="eastAsia"/>
          <w:color w:val="000000" w:themeColor="text1"/>
          <w:kern w:val="0"/>
          <w:sz w:val="28"/>
          <w:szCs w:val="28"/>
        </w:rPr>
        <w:t>.</w:t>
      </w:r>
      <w:r>
        <w:rPr>
          <w:color w:val="000000" w:themeColor="text1"/>
          <w:kern w:val="0"/>
          <w:sz w:val="28"/>
          <w:szCs w:val="28"/>
        </w:rPr>
        <w:t>甲醇储存罐区通风受阻，企业未为作业人员配备足够合理的劳动防护用品或应急物资，可能由于甲醇泄漏而引发中毒窒息事故。或现场应急处理人员未正确佩戴劳动防护用品直接接触等也可直接引发中毒事故。</w:t>
      </w:r>
    </w:p>
    <w:p>
      <w:pPr>
        <w:spacing w:line="500" w:lineRule="exact"/>
        <w:ind w:firstLine="560" w:firstLineChars="200"/>
        <w:rPr>
          <w:color w:val="000000" w:themeColor="text1"/>
          <w:kern w:val="0"/>
          <w:sz w:val="28"/>
          <w:szCs w:val="28"/>
        </w:rPr>
      </w:pPr>
      <w:r>
        <w:rPr>
          <w:color w:val="000000" w:themeColor="text1"/>
          <w:kern w:val="0"/>
          <w:sz w:val="28"/>
          <w:szCs w:val="28"/>
        </w:rPr>
        <w:t>3</w:t>
      </w:r>
      <w:r>
        <w:rPr>
          <w:rFonts w:hint="eastAsia"/>
          <w:color w:val="000000" w:themeColor="text1"/>
          <w:kern w:val="0"/>
          <w:sz w:val="28"/>
          <w:szCs w:val="28"/>
        </w:rPr>
        <w:t>.</w:t>
      </w:r>
      <w:r>
        <w:rPr>
          <w:color w:val="000000" w:themeColor="text1"/>
          <w:kern w:val="0"/>
          <w:sz w:val="28"/>
          <w:szCs w:val="28"/>
        </w:rPr>
        <w:t>其他引发中毒、窒息事故的原因，如在发生大量甲醇泄漏时会由于应急处理人员直接接触后而得不到及时清理而引发中毒危险。</w:t>
      </w:r>
    </w:p>
    <w:p>
      <w:pPr>
        <w:pStyle w:val="19"/>
        <w:spacing w:afterLines="100" w:line="500" w:lineRule="exact"/>
        <w:rPr>
          <w:rFonts w:ascii="黑体" w:hAnsi="宋体" w:eastAsia="黑体"/>
          <w:color w:val="000000" w:themeColor="text1"/>
          <w:kern w:val="3"/>
          <w:sz w:val="28"/>
          <w:szCs w:val="28"/>
        </w:rPr>
      </w:pPr>
      <w:bookmarkStart w:id="1225" w:name="_Toc29352"/>
      <w:bookmarkStart w:id="1226" w:name="_Toc25102"/>
      <w:bookmarkStart w:id="1227" w:name="_Toc3363"/>
      <w:bookmarkStart w:id="1228" w:name="_Toc6835"/>
      <w:bookmarkStart w:id="1229" w:name="_Toc71558489"/>
      <w:bookmarkStart w:id="1230" w:name="_Toc71710922"/>
      <w:bookmarkStart w:id="1231" w:name="_Toc21627907"/>
      <w:bookmarkStart w:id="1232" w:name="_Toc21978393"/>
      <w:r>
        <w:rPr>
          <w:rFonts w:hint="eastAsia" w:ascii="黑体" w:hAnsi="宋体" w:eastAsia="黑体"/>
          <w:color w:val="000000" w:themeColor="text1"/>
          <w:kern w:val="3"/>
          <w:sz w:val="28"/>
          <w:szCs w:val="28"/>
        </w:rPr>
        <w:t>3.5.9.3雷电及静电危害危险性分析</w:t>
      </w:r>
      <w:bookmarkEnd w:id="1225"/>
      <w:bookmarkEnd w:id="1226"/>
      <w:bookmarkEnd w:id="1227"/>
      <w:bookmarkEnd w:id="1228"/>
      <w:bookmarkEnd w:id="1229"/>
      <w:bookmarkEnd w:id="1230"/>
      <w:bookmarkEnd w:id="1231"/>
      <w:bookmarkEnd w:id="1232"/>
    </w:p>
    <w:p>
      <w:pPr>
        <w:adjustRightInd w:val="0"/>
        <w:snapToGrid w:val="0"/>
        <w:spacing w:line="500" w:lineRule="exact"/>
        <w:ind w:firstLine="560" w:firstLineChars="200"/>
        <w:rPr>
          <w:snapToGrid w:val="0"/>
          <w:color w:val="000000" w:themeColor="text1"/>
          <w:kern w:val="0"/>
          <w:sz w:val="28"/>
          <w:szCs w:val="21"/>
        </w:rPr>
      </w:pPr>
      <w:r>
        <w:rPr>
          <w:snapToGrid w:val="0"/>
          <w:color w:val="000000" w:themeColor="text1"/>
          <w:kern w:val="0"/>
          <w:sz w:val="28"/>
          <w:szCs w:val="21"/>
        </w:rPr>
        <w:t>该项目发生雷电及静电危害时主要会引发火灾、其他爆炸、触电等危险，造成人员伤亡、建（构）筑物毁坏。</w:t>
      </w:r>
    </w:p>
    <w:p>
      <w:pPr>
        <w:adjustRightInd w:val="0"/>
        <w:snapToGrid w:val="0"/>
        <w:spacing w:line="500" w:lineRule="exact"/>
        <w:ind w:firstLine="562" w:firstLineChars="200"/>
        <w:rPr>
          <w:b/>
          <w:snapToGrid w:val="0"/>
          <w:color w:val="000000" w:themeColor="text1"/>
          <w:kern w:val="0"/>
          <w:sz w:val="28"/>
          <w:szCs w:val="21"/>
        </w:rPr>
      </w:pPr>
      <w:bookmarkStart w:id="1233" w:name="_Toc17227"/>
      <w:r>
        <w:rPr>
          <w:b/>
          <w:snapToGrid w:val="0"/>
          <w:color w:val="000000" w:themeColor="text1"/>
          <w:kern w:val="0"/>
          <w:sz w:val="28"/>
          <w:szCs w:val="21"/>
        </w:rPr>
        <w:t>1</w:t>
      </w:r>
      <w:r>
        <w:rPr>
          <w:rFonts w:hint="eastAsia"/>
          <w:b/>
          <w:snapToGrid w:val="0"/>
          <w:color w:val="000000" w:themeColor="text1"/>
          <w:kern w:val="0"/>
          <w:sz w:val="28"/>
          <w:szCs w:val="21"/>
        </w:rPr>
        <w:t>.</w:t>
      </w:r>
      <w:r>
        <w:rPr>
          <w:b/>
          <w:snapToGrid w:val="0"/>
          <w:color w:val="000000" w:themeColor="text1"/>
          <w:kern w:val="0"/>
          <w:sz w:val="28"/>
          <w:szCs w:val="21"/>
        </w:rPr>
        <w:t>雷电危害危险性分析</w:t>
      </w:r>
      <w:bookmarkEnd w:id="1233"/>
    </w:p>
    <w:p>
      <w:pPr>
        <w:adjustRightInd w:val="0"/>
        <w:snapToGrid w:val="0"/>
        <w:spacing w:line="500" w:lineRule="exact"/>
        <w:ind w:firstLine="560" w:firstLineChars="200"/>
        <w:rPr>
          <w:color w:val="000000" w:themeColor="text1"/>
          <w:sz w:val="28"/>
          <w:szCs w:val="28"/>
        </w:rPr>
      </w:pPr>
      <w:r>
        <w:rPr>
          <w:color w:val="000000" w:themeColor="text1"/>
          <w:sz w:val="28"/>
          <w:szCs w:val="28"/>
        </w:rPr>
        <w:t>1）火灾与爆炸，如直击雷放电、二次放电、球形雷侵入，雷电流转化的高温等，可能引起火灾与爆炸；</w:t>
      </w:r>
    </w:p>
    <w:p>
      <w:pPr>
        <w:adjustRightInd w:val="0"/>
        <w:snapToGrid w:val="0"/>
        <w:spacing w:line="500" w:lineRule="exact"/>
        <w:ind w:firstLine="560" w:firstLineChars="200"/>
        <w:rPr>
          <w:color w:val="000000" w:themeColor="text1"/>
          <w:sz w:val="28"/>
          <w:szCs w:val="28"/>
        </w:rPr>
      </w:pPr>
      <w:r>
        <w:rPr>
          <w:color w:val="000000" w:themeColor="text1"/>
          <w:sz w:val="28"/>
          <w:szCs w:val="28"/>
        </w:rPr>
        <w:t>2）电击，如直击雷、二次放电、球雷打击、跨步电压以及绝缘体被击穿，均可使人遭到电击。</w:t>
      </w:r>
    </w:p>
    <w:p>
      <w:pPr>
        <w:adjustRightInd w:val="0"/>
        <w:snapToGrid w:val="0"/>
        <w:spacing w:line="500" w:lineRule="exact"/>
        <w:ind w:firstLine="562" w:firstLineChars="200"/>
        <w:rPr>
          <w:b/>
          <w:color w:val="000000" w:themeColor="text1"/>
          <w:sz w:val="28"/>
          <w:szCs w:val="28"/>
        </w:rPr>
      </w:pPr>
      <w:bookmarkStart w:id="1234" w:name="_Toc28354"/>
      <w:r>
        <w:rPr>
          <w:b/>
          <w:color w:val="000000" w:themeColor="text1"/>
          <w:sz w:val="28"/>
          <w:szCs w:val="28"/>
        </w:rPr>
        <w:t>2</w:t>
      </w:r>
      <w:r>
        <w:rPr>
          <w:rFonts w:hint="eastAsia"/>
          <w:b/>
          <w:color w:val="000000" w:themeColor="text1"/>
          <w:sz w:val="28"/>
          <w:szCs w:val="28"/>
        </w:rPr>
        <w:t>.</w:t>
      </w:r>
      <w:r>
        <w:rPr>
          <w:b/>
          <w:color w:val="000000" w:themeColor="text1"/>
          <w:sz w:val="28"/>
          <w:szCs w:val="28"/>
        </w:rPr>
        <w:t>静电危害危险性分析</w:t>
      </w:r>
      <w:bookmarkEnd w:id="1234"/>
    </w:p>
    <w:p>
      <w:pPr>
        <w:adjustRightInd w:val="0"/>
        <w:snapToGrid w:val="0"/>
        <w:spacing w:line="500" w:lineRule="exact"/>
        <w:ind w:firstLine="560" w:firstLineChars="200"/>
        <w:rPr>
          <w:color w:val="000000" w:themeColor="text1"/>
          <w:sz w:val="28"/>
          <w:szCs w:val="28"/>
        </w:rPr>
      </w:pPr>
      <w:r>
        <w:rPr>
          <w:color w:val="000000" w:themeColor="text1"/>
          <w:sz w:val="28"/>
          <w:szCs w:val="28"/>
        </w:rPr>
        <w:t>甲醇属于易燃液体，在其储存、装卸过程中可能会由于以下原因而遭受静电而引发火灾、其他爆炸危险：</w:t>
      </w:r>
    </w:p>
    <w:p>
      <w:pPr>
        <w:adjustRightInd w:val="0"/>
        <w:snapToGrid w:val="0"/>
        <w:spacing w:line="500" w:lineRule="exact"/>
        <w:ind w:firstLine="560" w:firstLineChars="200"/>
        <w:rPr>
          <w:color w:val="000000" w:themeColor="text1"/>
          <w:sz w:val="28"/>
          <w:szCs w:val="28"/>
        </w:rPr>
      </w:pPr>
      <w:r>
        <w:rPr>
          <w:color w:val="000000" w:themeColor="text1"/>
          <w:sz w:val="28"/>
          <w:szCs w:val="28"/>
        </w:rPr>
        <w:t>1）甲醇储罐区或装卸过程人员穿化纤服装，活动时易产生静电火花，穿带铁钉鞋走动时易打火。</w:t>
      </w:r>
    </w:p>
    <w:p>
      <w:pPr>
        <w:adjustRightInd w:val="0"/>
        <w:snapToGrid w:val="0"/>
        <w:spacing w:line="500" w:lineRule="exact"/>
        <w:ind w:firstLine="560" w:firstLineChars="200"/>
        <w:rPr>
          <w:color w:val="000000" w:themeColor="text1"/>
          <w:sz w:val="28"/>
          <w:szCs w:val="28"/>
        </w:rPr>
      </w:pPr>
      <w:r>
        <w:rPr>
          <w:color w:val="000000" w:themeColor="text1"/>
          <w:sz w:val="28"/>
          <w:szCs w:val="28"/>
        </w:rPr>
        <w:t>2）在甲醇罐区、装卸区域内作业时使用非防爆工器具产生火花，违规使用明火等。</w:t>
      </w:r>
    </w:p>
    <w:p>
      <w:pPr>
        <w:adjustRightInd w:val="0"/>
        <w:snapToGrid w:val="0"/>
        <w:spacing w:line="500" w:lineRule="exact"/>
        <w:ind w:firstLine="560" w:firstLineChars="200"/>
        <w:rPr>
          <w:color w:val="000000" w:themeColor="text1"/>
          <w:sz w:val="28"/>
          <w:szCs w:val="28"/>
        </w:rPr>
      </w:pPr>
      <w:r>
        <w:rPr>
          <w:color w:val="000000" w:themeColor="text1"/>
          <w:sz w:val="28"/>
          <w:szCs w:val="28"/>
        </w:rPr>
        <w:t>3）运输甲醇的机动车辆未戴阻火器等。</w:t>
      </w:r>
    </w:p>
    <w:p>
      <w:pPr>
        <w:pStyle w:val="19"/>
        <w:spacing w:afterLines="100" w:line="500" w:lineRule="exact"/>
        <w:rPr>
          <w:rFonts w:ascii="黑体" w:hAnsi="宋体" w:eastAsia="黑体"/>
          <w:color w:val="000000" w:themeColor="text1"/>
          <w:kern w:val="3"/>
          <w:sz w:val="28"/>
          <w:szCs w:val="28"/>
        </w:rPr>
      </w:pPr>
      <w:bookmarkStart w:id="1235" w:name="_Toc30593"/>
      <w:bookmarkStart w:id="1236" w:name="_Toc30977"/>
      <w:bookmarkStart w:id="1237" w:name="_Toc16589"/>
      <w:bookmarkStart w:id="1238" w:name="_Toc21627908"/>
      <w:bookmarkStart w:id="1239" w:name="_Toc13466"/>
      <w:bookmarkStart w:id="1240" w:name="_Toc21978394"/>
      <w:bookmarkStart w:id="1241" w:name="_Toc71710923"/>
      <w:bookmarkStart w:id="1242" w:name="_Toc71558490"/>
      <w:r>
        <w:rPr>
          <w:rFonts w:hint="eastAsia" w:ascii="黑体" w:hAnsi="宋体" w:eastAsia="黑体"/>
          <w:color w:val="000000" w:themeColor="text1"/>
          <w:kern w:val="3"/>
          <w:sz w:val="28"/>
          <w:szCs w:val="28"/>
        </w:rPr>
        <w:t>3.5.9.4触电危险性分析</w:t>
      </w:r>
      <w:bookmarkEnd w:id="1235"/>
      <w:bookmarkEnd w:id="1236"/>
      <w:bookmarkEnd w:id="1237"/>
      <w:bookmarkEnd w:id="1238"/>
      <w:bookmarkEnd w:id="1239"/>
      <w:bookmarkEnd w:id="1240"/>
      <w:bookmarkEnd w:id="1241"/>
      <w:bookmarkEnd w:id="1242"/>
    </w:p>
    <w:p>
      <w:pPr>
        <w:adjustRightInd w:val="0"/>
        <w:snapToGrid w:val="0"/>
        <w:spacing w:line="500" w:lineRule="exact"/>
        <w:ind w:firstLine="560" w:firstLineChars="200"/>
        <w:rPr>
          <w:color w:val="000000" w:themeColor="text1"/>
          <w:sz w:val="28"/>
          <w:szCs w:val="28"/>
        </w:rPr>
      </w:pPr>
      <w:r>
        <w:rPr>
          <w:color w:val="000000" w:themeColor="text1"/>
          <w:sz w:val="28"/>
          <w:szCs w:val="28"/>
        </w:rPr>
        <w:t>该项目辅助用房、罐区等处电气线路、照明灯等电气设备存在直接触电电击（正常状态下电击）和间接接触电击（故障状态下的电击）的危险，引发事故的主要原因如下：</w:t>
      </w:r>
    </w:p>
    <w:p>
      <w:pPr>
        <w:adjustRightInd w:val="0"/>
        <w:snapToGrid w:val="0"/>
        <w:spacing w:line="500" w:lineRule="exact"/>
        <w:ind w:firstLine="560" w:firstLineChars="200"/>
        <w:rPr>
          <w:color w:val="000000" w:themeColor="text1"/>
          <w:sz w:val="28"/>
          <w:szCs w:val="28"/>
        </w:rPr>
      </w:pPr>
      <w:r>
        <w:rPr>
          <w:color w:val="000000" w:themeColor="text1"/>
          <w:sz w:val="28"/>
          <w:szCs w:val="28"/>
        </w:rPr>
        <w:t>1</w:t>
      </w:r>
      <w:r>
        <w:rPr>
          <w:rFonts w:hint="eastAsia"/>
          <w:color w:val="000000" w:themeColor="text1"/>
          <w:sz w:val="28"/>
          <w:szCs w:val="28"/>
        </w:rPr>
        <w:t>.</w:t>
      </w:r>
      <w:r>
        <w:rPr>
          <w:color w:val="000000" w:themeColor="text1"/>
          <w:sz w:val="28"/>
          <w:szCs w:val="28"/>
        </w:rPr>
        <w:t>电气设备及线路的日常管理、维护不当，电气设备、线路老化、绝缘破损、漏电且无接地接零保护或安全屏蔽保护。</w:t>
      </w:r>
    </w:p>
    <w:p>
      <w:pPr>
        <w:adjustRightInd w:val="0"/>
        <w:snapToGrid w:val="0"/>
        <w:spacing w:line="500" w:lineRule="exact"/>
        <w:ind w:firstLine="560" w:firstLineChars="200"/>
        <w:rPr>
          <w:color w:val="000000" w:themeColor="text1"/>
          <w:sz w:val="28"/>
          <w:szCs w:val="28"/>
        </w:rPr>
      </w:pPr>
      <w:r>
        <w:rPr>
          <w:color w:val="000000" w:themeColor="text1"/>
          <w:sz w:val="28"/>
          <w:szCs w:val="28"/>
        </w:rPr>
        <w:t>2</w:t>
      </w:r>
      <w:r>
        <w:rPr>
          <w:rFonts w:hint="eastAsia"/>
          <w:color w:val="000000" w:themeColor="text1"/>
          <w:sz w:val="28"/>
          <w:szCs w:val="28"/>
        </w:rPr>
        <w:t>.</w:t>
      </w:r>
      <w:r>
        <w:rPr>
          <w:color w:val="000000" w:themeColor="text1"/>
          <w:sz w:val="28"/>
          <w:szCs w:val="28"/>
        </w:rPr>
        <w:t>电气设备的金属外壳未接地，或厂内用电设备操作人员未取得电工资质，用电设备操作人员未穿绝缘鞋，无绝缘垫，无人监护等。</w:t>
      </w:r>
    </w:p>
    <w:p>
      <w:pPr>
        <w:adjustRightInd w:val="0"/>
        <w:snapToGrid w:val="0"/>
        <w:spacing w:line="500" w:lineRule="exact"/>
        <w:ind w:firstLine="560" w:firstLineChars="200"/>
        <w:rPr>
          <w:color w:val="000000" w:themeColor="text1"/>
          <w:sz w:val="28"/>
          <w:szCs w:val="28"/>
        </w:rPr>
      </w:pPr>
      <w:r>
        <w:rPr>
          <w:color w:val="000000" w:themeColor="text1"/>
          <w:sz w:val="28"/>
          <w:szCs w:val="28"/>
        </w:rPr>
        <w:t>3</w:t>
      </w:r>
      <w:r>
        <w:rPr>
          <w:rFonts w:hint="eastAsia"/>
          <w:color w:val="000000" w:themeColor="text1"/>
          <w:sz w:val="28"/>
          <w:szCs w:val="28"/>
        </w:rPr>
        <w:t>.</w:t>
      </w:r>
      <w:r>
        <w:rPr>
          <w:color w:val="000000" w:themeColor="text1"/>
          <w:sz w:val="28"/>
          <w:szCs w:val="28"/>
        </w:rPr>
        <w:t>电器开关损坏、漏电，现场人员无意碰触等。</w:t>
      </w:r>
    </w:p>
    <w:p>
      <w:pPr>
        <w:adjustRightInd w:val="0"/>
        <w:snapToGrid w:val="0"/>
        <w:spacing w:line="500" w:lineRule="exact"/>
        <w:ind w:firstLine="560" w:firstLineChars="200"/>
        <w:rPr>
          <w:color w:val="000000" w:themeColor="text1"/>
          <w:sz w:val="28"/>
          <w:szCs w:val="28"/>
        </w:rPr>
      </w:pPr>
      <w:r>
        <w:rPr>
          <w:color w:val="000000" w:themeColor="text1"/>
          <w:sz w:val="28"/>
          <w:szCs w:val="28"/>
        </w:rPr>
        <w:t>4</w:t>
      </w:r>
      <w:r>
        <w:rPr>
          <w:rFonts w:hint="eastAsia"/>
          <w:color w:val="000000" w:themeColor="text1"/>
          <w:sz w:val="28"/>
          <w:szCs w:val="28"/>
        </w:rPr>
        <w:t>.</w:t>
      </w:r>
      <w:r>
        <w:rPr>
          <w:color w:val="000000" w:themeColor="text1"/>
          <w:sz w:val="28"/>
          <w:szCs w:val="28"/>
        </w:rPr>
        <w:t>作业人员缺乏用电常识，条件不允许而带电作业或检、维修中误合电闸送电。</w:t>
      </w:r>
    </w:p>
    <w:p>
      <w:pPr>
        <w:adjustRightInd w:val="0"/>
        <w:snapToGrid w:val="0"/>
        <w:spacing w:line="500" w:lineRule="exact"/>
        <w:ind w:firstLine="560" w:firstLineChars="200"/>
        <w:rPr>
          <w:color w:val="000000" w:themeColor="text1"/>
          <w:sz w:val="28"/>
          <w:szCs w:val="28"/>
        </w:rPr>
      </w:pPr>
      <w:r>
        <w:rPr>
          <w:color w:val="000000" w:themeColor="text1"/>
          <w:sz w:val="28"/>
          <w:szCs w:val="28"/>
        </w:rPr>
        <w:t>5</w:t>
      </w:r>
      <w:r>
        <w:rPr>
          <w:rFonts w:hint="eastAsia"/>
          <w:color w:val="000000" w:themeColor="text1"/>
          <w:sz w:val="28"/>
          <w:szCs w:val="28"/>
        </w:rPr>
        <w:t>.</w:t>
      </w:r>
      <w:r>
        <w:rPr>
          <w:color w:val="000000" w:themeColor="text1"/>
          <w:sz w:val="28"/>
          <w:szCs w:val="28"/>
        </w:rPr>
        <w:t>未严格执行工作票制度，违章作业，操作失误等。</w:t>
      </w:r>
    </w:p>
    <w:p>
      <w:pPr>
        <w:adjustRightInd w:val="0"/>
        <w:snapToGrid w:val="0"/>
        <w:spacing w:line="500" w:lineRule="exact"/>
        <w:ind w:firstLine="560" w:firstLineChars="200"/>
        <w:rPr>
          <w:color w:val="000000" w:themeColor="text1"/>
          <w:sz w:val="28"/>
          <w:szCs w:val="28"/>
        </w:rPr>
      </w:pPr>
      <w:r>
        <w:rPr>
          <w:color w:val="000000" w:themeColor="text1"/>
          <w:sz w:val="28"/>
          <w:szCs w:val="28"/>
        </w:rPr>
        <w:t>6</w:t>
      </w:r>
      <w:r>
        <w:rPr>
          <w:rFonts w:hint="eastAsia"/>
          <w:color w:val="000000" w:themeColor="text1"/>
          <w:sz w:val="28"/>
          <w:szCs w:val="28"/>
        </w:rPr>
        <w:t>.</w:t>
      </w:r>
      <w:r>
        <w:rPr>
          <w:color w:val="000000" w:themeColor="text1"/>
          <w:sz w:val="28"/>
          <w:szCs w:val="28"/>
        </w:rPr>
        <w:t>人员自我保护意识差，雷雨天气遭遇雷击。</w:t>
      </w:r>
    </w:p>
    <w:p>
      <w:pPr>
        <w:pStyle w:val="19"/>
        <w:spacing w:afterLines="100" w:line="500" w:lineRule="exact"/>
        <w:rPr>
          <w:rFonts w:ascii="黑体" w:hAnsi="宋体" w:eastAsia="黑体"/>
          <w:color w:val="000000" w:themeColor="text1"/>
          <w:kern w:val="3"/>
          <w:sz w:val="28"/>
          <w:szCs w:val="28"/>
        </w:rPr>
      </w:pPr>
      <w:bookmarkStart w:id="1243" w:name="_Toc23935"/>
      <w:bookmarkStart w:id="1244" w:name="_Toc21978395"/>
      <w:bookmarkStart w:id="1245" w:name="_Toc71710924"/>
      <w:bookmarkStart w:id="1246" w:name="_Toc6527"/>
      <w:bookmarkStart w:id="1247" w:name="_Toc32533"/>
      <w:bookmarkStart w:id="1248" w:name="_Toc16722"/>
      <w:bookmarkStart w:id="1249" w:name="_Toc71558491"/>
      <w:bookmarkStart w:id="1250" w:name="_Toc21627909"/>
      <w:r>
        <w:rPr>
          <w:rFonts w:hint="eastAsia" w:ascii="黑体" w:hAnsi="宋体" w:eastAsia="黑体"/>
          <w:color w:val="000000" w:themeColor="text1"/>
          <w:kern w:val="3"/>
          <w:sz w:val="28"/>
          <w:szCs w:val="28"/>
        </w:rPr>
        <w:t>3.5.9.5车辆伤害危险性分析</w:t>
      </w:r>
      <w:bookmarkEnd w:id="1243"/>
      <w:bookmarkEnd w:id="1244"/>
      <w:bookmarkEnd w:id="1245"/>
      <w:bookmarkEnd w:id="1246"/>
      <w:bookmarkEnd w:id="1247"/>
      <w:bookmarkEnd w:id="1248"/>
      <w:bookmarkEnd w:id="1249"/>
      <w:bookmarkEnd w:id="1250"/>
    </w:p>
    <w:p>
      <w:pPr>
        <w:adjustRightInd w:val="0"/>
        <w:snapToGrid w:val="0"/>
        <w:spacing w:line="500" w:lineRule="exact"/>
        <w:ind w:firstLine="560" w:firstLineChars="200"/>
        <w:rPr>
          <w:color w:val="000000" w:themeColor="text1"/>
          <w:sz w:val="28"/>
          <w:szCs w:val="28"/>
        </w:rPr>
      </w:pPr>
      <w:r>
        <w:rPr>
          <w:color w:val="000000" w:themeColor="text1"/>
          <w:sz w:val="28"/>
          <w:szCs w:val="28"/>
        </w:rPr>
        <w:t>外购甲醇及外售甲醇时均采用汽车运输，</w:t>
      </w:r>
      <w:r>
        <w:rPr>
          <w:snapToGrid w:val="0"/>
          <w:color w:val="000000" w:themeColor="text1"/>
          <w:kern w:val="0"/>
          <w:sz w:val="28"/>
          <w:szCs w:val="28"/>
        </w:rPr>
        <w:t>在装卸过程中可能会</w:t>
      </w:r>
      <w:r>
        <w:rPr>
          <w:color w:val="000000" w:themeColor="text1"/>
          <w:sz w:val="28"/>
          <w:szCs w:val="28"/>
        </w:rPr>
        <w:t>发生车辆伤害，其主要引发原因分析如下：</w:t>
      </w:r>
    </w:p>
    <w:p>
      <w:pPr>
        <w:adjustRightInd w:val="0"/>
        <w:snapToGrid w:val="0"/>
        <w:spacing w:line="500" w:lineRule="exact"/>
        <w:ind w:firstLine="560" w:firstLineChars="200"/>
        <w:rPr>
          <w:rFonts w:eastAsiaTheme="minorEastAsia"/>
          <w:snapToGrid w:val="0"/>
          <w:color w:val="000000" w:themeColor="text1"/>
          <w:kern w:val="0"/>
          <w:sz w:val="28"/>
        </w:rPr>
      </w:pPr>
      <w:r>
        <w:rPr>
          <w:rFonts w:eastAsiaTheme="minorEastAsia"/>
          <w:color w:val="000000" w:themeColor="text1"/>
          <w:sz w:val="28"/>
          <w:szCs w:val="28"/>
        </w:rPr>
        <w:t>1</w:t>
      </w:r>
      <w:r>
        <w:rPr>
          <w:rFonts w:hint="eastAsia" w:eastAsiaTheme="minorEastAsia"/>
          <w:color w:val="000000" w:themeColor="text1"/>
          <w:sz w:val="28"/>
          <w:szCs w:val="28"/>
        </w:rPr>
        <w:t>.</w:t>
      </w:r>
      <w:r>
        <w:rPr>
          <w:rFonts w:eastAsiaTheme="minorEastAsia"/>
          <w:color w:val="000000" w:themeColor="text1"/>
          <w:kern w:val="0"/>
          <w:sz w:val="28"/>
          <w:szCs w:val="28"/>
        </w:rPr>
        <w:t>运输车辆未取得危险化学品运输资质，驾驶员未取得驾驶证，疲劳驾驶或驾驶技术差，超载和超速行驶。</w:t>
      </w:r>
    </w:p>
    <w:p>
      <w:pPr>
        <w:adjustRightInd w:val="0"/>
        <w:snapToGrid w:val="0"/>
        <w:spacing w:line="500" w:lineRule="exact"/>
        <w:ind w:firstLine="560" w:firstLineChars="200"/>
        <w:rPr>
          <w:rFonts w:eastAsiaTheme="minorEastAsia"/>
          <w:snapToGrid w:val="0"/>
          <w:color w:val="000000" w:themeColor="text1"/>
          <w:kern w:val="0"/>
          <w:sz w:val="28"/>
        </w:rPr>
      </w:pPr>
      <w:r>
        <w:rPr>
          <w:rFonts w:eastAsiaTheme="minorEastAsia"/>
          <w:snapToGrid w:val="0"/>
          <w:color w:val="000000" w:themeColor="text1"/>
          <w:kern w:val="0"/>
          <w:sz w:val="28"/>
        </w:rPr>
        <w:t>2</w:t>
      </w:r>
      <w:r>
        <w:rPr>
          <w:rFonts w:hint="eastAsia" w:eastAsiaTheme="minorEastAsia"/>
          <w:snapToGrid w:val="0"/>
          <w:color w:val="000000" w:themeColor="text1"/>
          <w:kern w:val="0"/>
          <w:sz w:val="28"/>
        </w:rPr>
        <w:t>.</w:t>
      </w:r>
      <w:r>
        <w:rPr>
          <w:rFonts w:eastAsiaTheme="minorEastAsia"/>
          <w:snapToGrid w:val="0"/>
          <w:color w:val="000000" w:themeColor="text1"/>
          <w:kern w:val="0"/>
          <w:sz w:val="28"/>
        </w:rPr>
        <w:t>未在平整场地进行卸车，或装卸甲醇时，对应车辆不按规定位置停靠，装卸车过程未设置有效车档等。</w:t>
      </w:r>
    </w:p>
    <w:p>
      <w:pPr>
        <w:adjustRightInd w:val="0"/>
        <w:snapToGrid w:val="0"/>
        <w:spacing w:line="500" w:lineRule="exact"/>
        <w:ind w:firstLine="560" w:firstLineChars="200"/>
        <w:rPr>
          <w:rFonts w:eastAsiaTheme="minorEastAsia"/>
          <w:color w:val="000000" w:themeColor="text1"/>
          <w:sz w:val="28"/>
          <w:szCs w:val="28"/>
        </w:rPr>
      </w:pPr>
      <w:r>
        <w:rPr>
          <w:rFonts w:eastAsiaTheme="minorEastAsia"/>
          <w:snapToGrid w:val="0"/>
          <w:color w:val="000000" w:themeColor="text1"/>
          <w:kern w:val="0"/>
          <w:sz w:val="28"/>
        </w:rPr>
        <w:t>3</w:t>
      </w:r>
      <w:r>
        <w:rPr>
          <w:rFonts w:hint="eastAsia" w:eastAsiaTheme="minorEastAsia"/>
          <w:snapToGrid w:val="0"/>
          <w:color w:val="000000" w:themeColor="text1"/>
          <w:kern w:val="0"/>
          <w:sz w:val="28"/>
        </w:rPr>
        <w:t>.</w:t>
      </w:r>
      <w:r>
        <w:rPr>
          <w:rFonts w:eastAsiaTheme="minorEastAsia"/>
          <w:snapToGrid w:val="0"/>
          <w:color w:val="000000" w:themeColor="text1"/>
          <w:kern w:val="0"/>
          <w:sz w:val="28"/>
        </w:rPr>
        <w:t>其他引发事故的原因，如</w:t>
      </w:r>
      <w:r>
        <w:rPr>
          <w:rFonts w:eastAsiaTheme="minorEastAsia"/>
          <w:color w:val="000000" w:themeColor="text1"/>
          <w:kern w:val="0"/>
          <w:sz w:val="28"/>
          <w:szCs w:val="28"/>
        </w:rPr>
        <w:t>使用带有安全隐患的车辆带病运行或</w:t>
      </w:r>
      <w:r>
        <w:rPr>
          <w:rFonts w:eastAsiaTheme="minorEastAsia"/>
          <w:color w:val="000000" w:themeColor="text1"/>
          <w:sz w:val="28"/>
          <w:szCs w:val="28"/>
        </w:rPr>
        <w:t>装卸人员未按操作规程进行作业等。</w:t>
      </w:r>
    </w:p>
    <w:p>
      <w:pPr>
        <w:pStyle w:val="19"/>
        <w:spacing w:afterLines="100" w:line="500" w:lineRule="exact"/>
        <w:rPr>
          <w:rFonts w:ascii="黑体" w:hAnsi="宋体" w:eastAsia="黑体"/>
          <w:color w:val="000000" w:themeColor="text1"/>
          <w:kern w:val="3"/>
          <w:sz w:val="28"/>
          <w:szCs w:val="28"/>
        </w:rPr>
      </w:pPr>
      <w:bookmarkStart w:id="1251" w:name="_Toc21978396"/>
      <w:bookmarkStart w:id="1252" w:name="_Toc71710925"/>
      <w:bookmarkStart w:id="1253" w:name="_Toc71558492"/>
      <w:bookmarkStart w:id="1254" w:name="_Toc23187"/>
      <w:bookmarkStart w:id="1255" w:name="_Toc20964"/>
      <w:bookmarkStart w:id="1256" w:name="_Toc11539"/>
      <w:bookmarkStart w:id="1257" w:name="_Toc10931"/>
      <w:r>
        <w:rPr>
          <w:rFonts w:hint="eastAsia" w:ascii="黑体" w:hAnsi="宋体" w:eastAsia="黑体"/>
          <w:color w:val="000000" w:themeColor="text1"/>
          <w:kern w:val="3"/>
          <w:sz w:val="28"/>
          <w:szCs w:val="28"/>
        </w:rPr>
        <w:t xml:space="preserve">3.5.9.6 </w:t>
      </w:r>
      <w:bookmarkEnd w:id="1251"/>
      <w:bookmarkEnd w:id="1252"/>
      <w:bookmarkEnd w:id="1253"/>
      <w:bookmarkStart w:id="1258" w:name="_Toc71558493"/>
      <w:bookmarkStart w:id="1259" w:name="_Toc71710926"/>
      <w:r>
        <w:rPr>
          <w:rFonts w:hint="eastAsia" w:ascii="黑体" w:hAnsi="宋体" w:eastAsia="黑体"/>
          <w:color w:val="000000" w:themeColor="text1"/>
          <w:kern w:val="3"/>
          <w:sz w:val="28"/>
          <w:szCs w:val="28"/>
        </w:rPr>
        <w:t>机械伤害危险性分析</w:t>
      </w:r>
      <w:bookmarkEnd w:id="1254"/>
      <w:bookmarkEnd w:id="1255"/>
      <w:bookmarkEnd w:id="1256"/>
      <w:bookmarkEnd w:id="1257"/>
      <w:bookmarkEnd w:id="1258"/>
      <w:bookmarkEnd w:id="1259"/>
    </w:p>
    <w:p>
      <w:pPr>
        <w:spacing w:line="500" w:lineRule="exact"/>
        <w:ind w:firstLine="560" w:firstLineChars="200"/>
        <w:rPr>
          <w:color w:val="000000" w:themeColor="text1"/>
          <w:kern w:val="0"/>
          <w:sz w:val="28"/>
          <w:szCs w:val="28"/>
        </w:rPr>
      </w:pPr>
      <w:r>
        <w:rPr>
          <w:color w:val="000000" w:themeColor="text1"/>
          <w:kern w:val="0"/>
          <w:sz w:val="28"/>
          <w:szCs w:val="28"/>
        </w:rPr>
        <w:t>该项目使用的泵类设备的转动处易发生作业人员被切、绞、轧、挤、压、撞击等事故，引发机械伤害事故的主要原因分析如下：</w:t>
      </w:r>
    </w:p>
    <w:p>
      <w:pPr>
        <w:spacing w:line="500" w:lineRule="exact"/>
        <w:ind w:firstLine="560" w:firstLineChars="200"/>
        <w:rPr>
          <w:color w:val="000000" w:themeColor="text1"/>
          <w:kern w:val="0"/>
          <w:sz w:val="28"/>
          <w:szCs w:val="28"/>
        </w:rPr>
      </w:pPr>
      <w:r>
        <w:rPr>
          <w:color w:val="000000" w:themeColor="text1"/>
          <w:kern w:val="0"/>
          <w:sz w:val="28"/>
          <w:szCs w:val="28"/>
        </w:rPr>
        <w:t>1</w:t>
      </w:r>
      <w:r>
        <w:rPr>
          <w:rFonts w:hint="eastAsia"/>
          <w:color w:val="000000" w:themeColor="text1"/>
          <w:kern w:val="0"/>
          <w:sz w:val="28"/>
          <w:szCs w:val="28"/>
        </w:rPr>
        <w:t>.</w:t>
      </w:r>
      <w:r>
        <w:rPr>
          <w:color w:val="000000" w:themeColor="text1"/>
          <w:kern w:val="0"/>
          <w:sz w:val="28"/>
          <w:szCs w:val="28"/>
        </w:rPr>
        <w:t>转动机械设备或检、维修使用切割工具的安全防护装置缺失或损坏、或被拆除未恢复原位等。</w:t>
      </w:r>
    </w:p>
    <w:p>
      <w:pPr>
        <w:spacing w:line="500" w:lineRule="exact"/>
        <w:ind w:firstLine="560" w:firstLineChars="200"/>
        <w:rPr>
          <w:color w:val="000000" w:themeColor="text1"/>
          <w:kern w:val="0"/>
          <w:sz w:val="28"/>
          <w:szCs w:val="28"/>
        </w:rPr>
      </w:pPr>
      <w:r>
        <w:rPr>
          <w:color w:val="000000" w:themeColor="text1"/>
          <w:kern w:val="0"/>
          <w:sz w:val="28"/>
          <w:szCs w:val="28"/>
        </w:rPr>
        <w:t>2</w:t>
      </w:r>
      <w:r>
        <w:rPr>
          <w:rFonts w:hint="eastAsia"/>
          <w:color w:val="000000" w:themeColor="text1"/>
          <w:kern w:val="0"/>
          <w:sz w:val="28"/>
          <w:szCs w:val="28"/>
        </w:rPr>
        <w:t>.</w:t>
      </w:r>
      <w:r>
        <w:rPr>
          <w:color w:val="000000" w:themeColor="text1"/>
          <w:kern w:val="0"/>
          <w:sz w:val="28"/>
          <w:szCs w:val="28"/>
        </w:rPr>
        <w:t>泵类设备的转动部位无安全警示标识或失效，各作业人员在操作过程中未按规定穿戴劳动保护用品，违章作业或操作不当。</w:t>
      </w:r>
    </w:p>
    <w:p>
      <w:pPr>
        <w:spacing w:line="500" w:lineRule="exact"/>
        <w:ind w:firstLine="560" w:firstLineChars="200"/>
        <w:rPr>
          <w:color w:val="000000" w:themeColor="text1"/>
          <w:kern w:val="0"/>
          <w:sz w:val="28"/>
          <w:szCs w:val="28"/>
        </w:rPr>
      </w:pPr>
      <w:r>
        <w:rPr>
          <w:color w:val="000000" w:themeColor="text1"/>
          <w:kern w:val="0"/>
          <w:sz w:val="28"/>
          <w:szCs w:val="28"/>
        </w:rPr>
        <w:t>3</w:t>
      </w:r>
      <w:r>
        <w:rPr>
          <w:rFonts w:hint="eastAsia"/>
          <w:color w:val="000000" w:themeColor="text1"/>
          <w:kern w:val="0"/>
          <w:sz w:val="28"/>
          <w:szCs w:val="28"/>
        </w:rPr>
        <w:t>.</w:t>
      </w:r>
      <w:r>
        <w:rPr>
          <w:color w:val="000000" w:themeColor="text1"/>
          <w:kern w:val="0"/>
          <w:sz w:val="28"/>
          <w:szCs w:val="28"/>
        </w:rPr>
        <w:t>作业人员疏忽大意，身体误入机械危险部位或不停机检修设备，或在停车检修和正常作业时，机器突然被别人误启动。</w:t>
      </w:r>
    </w:p>
    <w:p>
      <w:pPr>
        <w:spacing w:line="500" w:lineRule="exact"/>
        <w:ind w:firstLine="560" w:firstLineChars="200"/>
        <w:rPr>
          <w:color w:val="000000" w:themeColor="text1"/>
          <w:kern w:val="0"/>
          <w:sz w:val="28"/>
          <w:szCs w:val="28"/>
        </w:rPr>
      </w:pPr>
      <w:r>
        <w:rPr>
          <w:color w:val="000000" w:themeColor="text1"/>
          <w:kern w:val="0"/>
          <w:sz w:val="28"/>
          <w:szCs w:val="28"/>
        </w:rPr>
        <w:t>4</w:t>
      </w:r>
      <w:r>
        <w:rPr>
          <w:rFonts w:hint="eastAsia"/>
          <w:color w:val="000000" w:themeColor="text1"/>
          <w:kern w:val="0"/>
          <w:sz w:val="28"/>
          <w:szCs w:val="28"/>
        </w:rPr>
        <w:t>.</w:t>
      </w:r>
      <w:r>
        <w:rPr>
          <w:color w:val="000000" w:themeColor="text1"/>
          <w:kern w:val="0"/>
          <w:sz w:val="28"/>
          <w:szCs w:val="28"/>
        </w:rPr>
        <w:t>各泵类设备布置未考虑检检修距离等其他原因。</w:t>
      </w:r>
    </w:p>
    <w:p>
      <w:pPr>
        <w:pStyle w:val="19"/>
        <w:spacing w:afterLines="100" w:line="500" w:lineRule="exact"/>
        <w:rPr>
          <w:rFonts w:ascii="黑体" w:hAnsi="宋体" w:eastAsia="黑体"/>
          <w:color w:val="000000" w:themeColor="text1"/>
          <w:kern w:val="3"/>
          <w:sz w:val="28"/>
          <w:szCs w:val="28"/>
        </w:rPr>
      </w:pPr>
      <w:bookmarkStart w:id="1260" w:name="_Toc71558494"/>
      <w:bookmarkStart w:id="1261" w:name="_Toc71710927"/>
      <w:bookmarkStart w:id="1262" w:name="_Toc22355"/>
      <w:bookmarkStart w:id="1263" w:name="_Toc18601"/>
      <w:bookmarkStart w:id="1264" w:name="_Toc12036"/>
      <w:bookmarkStart w:id="1265" w:name="_Toc19673"/>
      <w:r>
        <w:rPr>
          <w:rFonts w:hint="eastAsia" w:ascii="黑体" w:hAnsi="宋体" w:eastAsia="黑体"/>
          <w:color w:val="000000" w:themeColor="text1"/>
          <w:kern w:val="3"/>
          <w:sz w:val="28"/>
          <w:szCs w:val="28"/>
        </w:rPr>
        <w:t>3.5.9.</w:t>
      </w:r>
      <w:bookmarkEnd w:id="1260"/>
      <w:bookmarkEnd w:id="1261"/>
      <w:bookmarkStart w:id="1266" w:name="_Toc71710928"/>
      <w:bookmarkStart w:id="1267" w:name="_Toc71558495"/>
      <w:bookmarkStart w:id="1268" w:name="_Toc21627910"/>
      <w:bookmarkStart w:id="1269" w:name="_Toc21978397"/>
      <w:r>
        <w:rPr>
          <w:rFonts w:hint="eastAsia" w:ascii="黑体" w:hAnsi="宋体" w:eastAsia="黑体"/>
          <w:color w:val="000000" w:themeColor="text1"/>
          <w:kern w:val="3"/>
          <w:sz w:val="28"/>
          <w:szCs w:val="28"/>
        </w:rPr>
        <w:t>7其他危险性分析</w:t>
      </w:r>
      <w:bookmarkEnd w:id="1262"/>
      <w:bookmarkEnd w:id="1263"/>
      <w:bookmarkEnd w:id="1264"/>
      <w:bookmarkEnd w:id="1265"/>
      <w:bookmarkEnd w:id="1266"/>
      <w:bookmarkEnd w:id="1267"/>
      <w:bookmarkEnd w:id="1268"/>
      <w:bookmarkEnd w:id="1269"/>
    </w:p>
    <w:p>
      <w:pPr>
        <w:snapToGrid w:val="0"/>
        <w:spacing w:line="500" w:lineRule="exact"/>
        <w:ind w:firstLine="560" w:firstLineChars="200"/>
        <w:rPr>
          <w:snapToGrid w:val="0"/>
          <w:color w:val="000000" w:themeColor="text1"/>
          <w:kern w:val="0"/>
          <w:sz w:val="28"/>
          <w:szCs w:val="28"/>
        </w:rPr>
      </w:pPr>
      <w:r>
        <w:rPr>
          <w:rFonts w:eastAsiaTheme="minorEastAsia"/>
          <w:color w:val="000000" w:themeColor="text1"/>
          <w:kern w:val="0"/>
          <w:sz w:val="28"/>
          <w:szCs w:val="28"/>
        </w:rPr>
        <w:t>1</w:t>
      </w:r>
      <w:r>
        <w:rPr>
          <w:rFonts w:hint="eastAsia" w:eastAsiaTheme="minorEastAsia"/>
          <w:color w:val="000000" w:themeColor="text1"/>
          <w:kern w:val="0"/>
          <w:sz w:val="28"/>
          <w:szCs w:val="28"/>
        </w:rPr>
        <w:t>.</w:t>
      </w:r>
      <w:r>
        <w:rPr>
          <w:rFonts w:eastAsiaTheme="minorEastAsia"/>
          <w:color w:val="000000" w:themeColor="text1"/>
          <w:sz w:val="28"/>
          <w:szCs w:val="28"/>
        </w:rPr>
        <w:t>甲醇储存、装卸区使用的电气设置不防爆或</w:t>
      </w:r>
      <w:r>
        <w:rPr>
          <w:snapToGrid w:val="0"/>
          <w:color w:val="000000" w:themeColor="text1"/>
          <w:kern w:val="0"/>
          <w:sz w:val="28"/>
          <w:szCs w:val="28"/>
        </w:rPr>
        <w:t>防爆等级不符合相关要求，也易引发电气火灾。</w:t>
      </w:r>
    </w:p>
    <w:p>
      <w:pPr>
        <w:snapToGrid w:val="0"/>
        <w:spacing w:line="500" w:lineRule="exact"/>
        <w:ind w:firstLine="560" w:firstLineChars="200"/>
        <w:rPr>
          <w:rFonts w:eastAsiaTheme="minorEastAsia"/>
          <w:color w:val="000000" w:themeColor="text1"/>
          <w:sz w:val="28"/>
          <w:szCs w:val="28"/>
        </w:rPr>
      </w:pPr>
      <w:r>
        <w:rPr>
          <w:snapToGrid w:val="0"/>
          <w:color w:val="000000" w:themeColor="text1"/>
          <w:kern w:val="0"/>
          <w:sz w:val="28"/>
          <w:szCs w:val="28"/>
        </w:rPr>
        <w:t>2</w:t>
      </w:r>
      <w:r>
        <w:rPr>
          <w:rFonts w:hint="eastAsia"/>
          <w:snapToGrid w:val="0"/>
          <w:color w:val="000000" w:themeColor="text1"/>
          <w:kern w:val="0"/>
          <w:sz w:val="28"/>
          <w:szCs w:val="28"/>
        </w:rPr>
        <w:t>.</w:t>
      </w:r>
      <w:r>
        <w:rPr>
          <w:rFonts w:eastAsiaTheme="minorEastAsia"/>
          <w:color w:val="000000" w:themeColor="text1"/>
          <w:sz w:val="28"/>
          <w:szCs w:val="28"/>
        </w:rPr>
        <w:t>甲醇储罐区或其建（构）筑</w:t>
      </w:r>
      <w:r>
        <w:rPr>
          <w:color w:val="000000" w:themeColor="text1"/>
          <w:sz w:val="28"/>
          <w:szCs w:val="28"/>
        </w:rPr>
        <w:t>未按当地地震设防烈度进行设防，或施工质量不符</w:t>
      </w:r>
      <w:r>
        <w:rPr>
          <w:rFonts w:eastAsiaTheme="minorEastAsia"/>
          <w:color w:val="000000" w:themeColor="text1"/>
          <w:sz w:val="28"/>
          <w:szCs w:val="28"/>
        </w:rPr>
        <w:t>合要求等引发地面下沉等不良地质现象而造成建（构）筑物坍塌、设备、设施损坏、人员伤亡等危险。</w:t>
      </w:r>
    </w:p>
    <w:p>
      <w:pPr>
        <w:pStyle w:val="19"/>
        <w:spacing w:afterLines="100" w:line="500" w:lineRule="exact"/>
        <w:jc w:val="center"/>
        <w:rPr>
          <w:rFonts w:ascii="楷体_GB2312" w:hAnsi="宋体" w:eastAsia="楷体_GB2312"/>
          <w:color w:val="000000" w:themeColor="text1"/>
          <w:kern w:val="3"/>
        </w:rPr>
      </w:pPr>
      <w:bookmarkStart w:id="1270" w:name="_Toc21926"/>
      <w:bookmarkStart w:id="1271" w:name="_Toc28133"/>
      <w:bookmarkStart w:id="1272" w:name="_Toc32342"/>
      <w:bookmarkStart w:id="1273" w:name="_Toc20892"/>
      <w:bookmarkStart w:id="1274" w:name="_Toc10800"/>
      <w:bookmarkStart w:id="1275" w:name="_Toc4062"/>
      <w:bookmarkStart w:id="1276" w:name="_Toc17091"/>
      <w:bookmarkStart w:id="1277" w:name="_Toc15574"/>
      <w:bookmarkStart w:id="1278" w:name="_Toc22759_WPSOffice_Level2"/>
      <w:r>
        <w:rPr>
          <w:rFonts w:hint="eastAsia" w:ascii="楷体_GB2312" w:hAnsi="宋体" w:eastAsia="楷体_GB2312"/>
          <w:color w:val="000000" w:themeColor="text1"/>
          <w:kern w:val="3"/>
        </w:rPr>
        <w:t>3.6爆炸危险区划分</w:t>
      </w:r>
      <w:bookmarkEnd w:id="1270"/>
      <w:bookmarkEnd w:id="1271"/>
      <w:bookmarkEnd w:id="1272"/>
      <w:bookmarkEnd w:id="1273"/>
      <w:bookmarkEnd w:id="1274"/>
      <w:bookmarkEnd w:id="1275"/>
      <w:bookmarkEnd w:id="1276"/>
      <w:bookmarkEnd w:id="1277"/>
      <w:bookmarkEnd w:id="1278"/>
    </w:p>
    <w:p>
      <w:pPr>
        <w:pStyle w:val="19"/>
        <w:spacing w:afterLines="100" w:line="500" w:lineRule="exact"/>
        <w:rPr>
          <w:rFonts w:ascii="黑体" w:hAnsi="宋体" w:eastAsia="黑体"/>
          <w:color w:val="000000" w:themeColor="text1"/>
          <w:kern w:val="3"/>
          <w:sz w:val="28"/>
          <w:szCs w:val="28"/>
        </w:rPr>
      </w:pPr>
      <w:bookmarkStart w:id="1279" w:name="_Toc2265"/>
      <w:bookmarkStart w:id="1280" w:name="_Toc11727"/>
      <w:bookmarkStart w:id="1281" w:name="_Toc15862"/>
      <w:bookmarkStart w:id="1282" w:name="_Toc21834"/>
      <w:bookmarkStart w:id="1283" w:name="_Toc14716"/>
      <w:r>
        <w:rPr>
          <w:rFonts w:hint="eastAsia" w:ascii="黑体" w:hAnsi="宋体" w:eastAsia="黑体"/>
          <w:color w:val="000000" w:themeColor="text1"/>
          <w:kern w:val="3"/>
          <w:sz w:val="28"/>
          <w:szCs w:val="28"/>
        </w:rPr>
        <w:t>3.6.1装置或单元火灾危险性分类</w:t>
      </w:r>
      <w:bookmarkEnd w:id="1279"/>
      <w:bookmarkEnd w:id="1280"/>
      <w:bookmarkEnd w:id="1281"/>
      <w:bookmarkEnd w:id="1282"/>
      <w:bookmarkEnd w:id="1283"/>
    </w:p>
    <w:p>
      <w:pPr>
        <w:pStyle w:val="51"/>
        <w:rPr>
          <w:rFonts w:ascii="Times New Roman" w:hAnsi="Times New Roman"/>
          <w:color w:val="000000" w:themeColor="text1"/>
          <w:szCs w:val="28"/>
        </w:rPr>
      </w:pPr>
      <w:r>
        <w:rPr>
          <w:rFonts w:ascii="Times New Roman" w:hAnsi="Times New Roman"/>
          <w:color w:val="000000" w:themeColor="text1"/>
          <w:szCs w:val="28"/>
        </w:rPr>
        <w:t>本项目涉及到的危险化学品为甲醇，根据《建筑设计防火规范》（GB/T 50016-2014），甲醇火灾危险性为甲类。其生产和储存装置或单元火灾危险性分类如下表。</w:t>
      </w:r>
    </w:p>
    <w:p>
      <w:pPr>
        <w:pStyle w:val="51"/>
        <w:ind w:firstLine="0" w:firstLineChars="0"/>
        <w:jc w:val="center"/>
        <w:rPr>
          <w:rFonts w:ascii="Times New Roman" w:hAnsi="Times New Roman"/>
          <w:color w:val="000000" w:themeColor="text1"/>
          <w:szCs w:val="28"/>
        </w:rPr>
      </w:pPr>
      <w:bookmarkStart w:id="1284" w:name="_Toc276"/>
      <w:bookmarkStart w:id="1285" w:name="_Toc21823"/>
      <w:bookmarkStart w:id="1286" w:name="_Toc13551"/>
      <w:bookmarkStart w:id="1287" w:name="_Toc22340"/>
      <w:r>
        <w:rPr>
          <w:rFonts w:ascii="Times New Roman" w:hAnsi="Times New Roman"/>
          <w:color w:val="000000" w:themeColor="text1"/>
          <w:szCs w:val="28"/>
        </w:rPr>
        <w:t>表3-3 装置或单元火灾危险性分类表</w:t>
      </w:r>
      <w:bookmarkEnd w:id="1284"/>
      <w:bookmarkEnd w:id="1285"/>
      <w:bookmarkEnd w:id="1286"/>
      <w:bookmarkEnd w:id="1287"/>
    </w:p>
    <w:tbl>
      <w:tblPr>
        <w:tblStyle w:val="53"/>
        <w:tblW w:w="940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2265"/>
        <w:gridCol w:w="1890"/>
        <w:gridCol w:w="45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7" w:type="dxa"/>
            <w:vAlign w:val="center"/>
          </w:tcPr>
          <w:p>
            <w:pPr>
              <w:pStyle w:val="51"/>
              <w:ind w:firstLine="0" w:firstLineChars="0"/>
              <w:jc w:val="center"/>
              <w:rPr>
                <w:rFonts w:cs="宋体"/>
                <w:color w:val="000000" w:themeColor="text1"/>
                <w:kern w:val="2"/>
                <w:sz w:val="21"/>
                <w:szCs w:val="21"/>
              </w:rPr>
            </w:pPr>
            <w:r>
              <w:rPr>
                <w:rFonts w:hint="eastAsia" w:cs="宋体"/>
                <w:color w:val="000000" w:themeColor="text1"/>
                <w:kern w:val="2"/>
                <w:sz w:val="21"/>
                <w:szCs w:val="21"/>
              </w:rPr>
              <w:t>序号</w:t>
            </w:r>
          </w:p>
        </w:tc>
        <w:tc>
          <w:tcPr>
            <w:tcW w:w="2265" w:type="dxa"/>
            <w:vAlign w:val="center"/>
          </w:tcPr>
          <w:p>
            <w:pPr>
              <w:pStyle w:val="51"/>
              <w:ind w:firstLine="0" w:firstLineChars="0"/>
              <w:jc w:val="center"/>
              <w:rPr>
                <w:rFonts w:cs="宋体"/>
                <w:color w:val="000000" w:themeColor="text1"/>
                <w:kern w:val="2"/>
                <w:sz w:val="21"/>
                <w:szCs w:val="21"/>
              </w:rPr>
            </w:pPr>
            <w:r>
              <w:rPr>
                <w:rFonts w:hint="eastAsia" w:cs="宋体"/>
                <w:color w:val="000000" w:themeColor="text1"/>
                <w:kern w:val="2"/>
                <w:sz w:val="21"/>
                <w:szCs w:val="21"/>
              </w:rPr>
              <w:t>装置或单元名称</w:t>
            </w:r>
          </w:p>
        </w:tc>
        <w:tc>
          <w:tcPr>
            <w:tcW w:w="1890" w:type="dxa"/>
            <w:vAlign w:val="center"/>
          </w:tcPr>
          <w:p>
            <w:pPr>
              <w:pStyle w:val="51"/>
              <w:ind w:firstLine="0" w:firstLineChars="0"/>
              <w:jc w:val="center"/>
              <w:rPr>
                <w:rFonts w:cs="宋体"/>
                <w:color w:val="000000" w:themeColor="text1"/>
                <w:kern w:val="2"/>
                <w:sz w:val="21"/>
                <w:szCs w:val="21"/>
              </w:rPr>
            </w:pPr>
            <w:r>
              <w:rPr>
                <w:rFonts w:hint="eastAsia" w:cs="宋体"/>
                <w:color w:val="000000" w:themeColor="text1"/>
                <w:kern w:val="2"/>
                <w:sz w:val="21"/>
                <w:szCs w:val="21"/>
              </w:rPr>
              <w:t>火灾危险性分类</w:t>
            </w:r>
          </w:p>
        </w:tc>
        <w:tc>
          <w:tcPr>
            <w:tcW w:w="4509" w:type="dxa"/>
            <w:vAlign w:val="center"/>
          </w:tcPr>
          <w:p>
            <w:pPr>
              <w:pStyle w:val="51"/>
              <w:ind w:firstLine="0" w:firstLineChars="0"/>
              <w:jc w:val="center"/>
              <w:rPr>
                <w:rFonts w:cs="宋体"/>
                <w:color w:val="000000" w:themeColor="text1"/>
                <w:kern w:val="2"/>
                <w:sz w:val="21"/>
                <w:szCs w:val="21"/>
              </w:rPr>
            </w:pPr>
            <w:r>
              <w:rPr>
                <w:rFonts w:hint="eastAsia" w:cs="宋体"/>
                <w:color w:val="000000" w:themeColor="text1"/>
                <w:kern w:val="2"/>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7" w:type="dxa"/>
            <w:vAlign w:val="center"/>
          </w:tcPr>
          <w:p>
            <w:pPr>
              <w:pStyle w:val="51"/>
              <w:ind w:firstLine="0" w:firstLineChars="0"/>
              <w:jc w:val="center"/>
              <w:rPr>
                <w:rFonts w:cs="宋体"/>
                <w:color w:val="000000" w:themeColor="text1"/>
                <w:kern w:val="2"/>
                <w:sz w:val="21"/>
                <w:szCs w:val="21"/>
              </w:rPr>
            </w:pPr>
            <w:r>
              <w:rPr>
                <w:rFonts w:hint="eastAsia" w:cs="宋体"/>
                <w:color w:val="000000" w:themeColor="text1"/>
                <w:kern w:val="2"/>
                <w:sz w:val="21"/>
                <w:szCs w:val="21"/>
              </w:rPr>
              <w:t>1</w:t>
            </w:r>
          </w:p>
        </w:tc>
        <w:tc>
          <w:tcPr>
            <w:tcW w:w="2265" w:type="dxa"/>
            <w:vAlign w:val="center"/>
          </w:tcPr>
          <w:p>
            <w:pPr>
              <w:pStyle w:val="51"/>
              <w:ind w:firstLine="0" w:firstLineChars="0"/>
              <w:jc w:val="center"/>
              <w:rPr>
                <w:rFonts w:cs="宋体"/>
                <w:color w:val="000000" w:themeColor="text1"/>
                <w:kern w:val="2"/>
                <w:sz w:val="21"/>
                <w:szCs w:val="21"/>
              </w:rPr>
            </w:pPr>
            <w:r>
              <w:rPr>
                <w:rFonts w:hint="eastAsia" w:cs="宋体"/>
                <w:color w:val="000000" w:themeColor="text1"/>
                <w:kern w:val="2"/>
                <w:sz w:val="21"/>
                <w:szCs w:val="21"/>
              </w:rPr>
              <w:t>甲醇罐区及工艺管道</w:t>
            </w:r>
          </w:p>
        </w:tc>
        <w:tc>
          <w:tcPr>
            <w:tcW w:w="1890" w:type="dxa"/>
            <w:vAlign w:val="center"/>
          </w:tcPr>
          <w:p>
            <w:pPr>
              <w:pStyle w:val="51"/>
              <w:ind w:firstLine="0" w:firstLineChars="0"/>
              <w:jc w:val="center"/>
              <w:rPr>
                <w:rFonts w:cs="宋体"/>
                <w:color w:val="000000" w:themeColor="text1"/>
                <w:kern w:val="2"/>
                <w:sz w:val="21"/>
                <w:szCs w:val="21"/>
              </w:rPr>
            </w:pPr>
            <w:r>
              <w:rPr>
                <w:rFonts w:hint="eastAsia" w:cs="宋体"/>
                <w:color w:val="000000" w:themeColor="text1"/>
                <w:kern w:val="2"/>
                <w:sz w:val="21"/>
                <w:szCs w:val="21"/>
              </w:rPr>
              <w:t>甲</w:t>
            </w:r>
          </w:p>
        </w:tc>
        <w:tc>
          <w:tcPr>
            <w:tcW w:w="4509" w:type="dxa"/>
            <w:vAlign w:val="center"/>
          </w:tcPr>
          <w:p>
            <w:pPr>
              <w:pStyle w:val="51"/>
              <w:ind w:firstLine="0" w:firstLineChars="0"/>
              <w:jc w:val="center"/>
              <w:rPr>
                <w:rFonts w:cs="宋体"/>
                <w:color w:val="000000" w:themeColor="text1"/>
                <w:kern w:val="2"/>
                <w:sz w:val="21"/>
                <w:szCs w:val="21"/>
              </w:rPr>
            </w:pPr>
            <w:r>
              <w:rPr>
                <w:rFonts w:hint="eastAsia" w:cs="宋体"/>
                <w:color w:val="000000" w:themeColor="text1"/>
                <w:kern w:val="2"/>
                <w:sz w:val="21"/>
                <w:szCs w:val="21"/>
              </w:rPr>
              <w:t>2个卧式埋地甲醇储罐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37" w:type="dxa"/>
            <w:vAlign w:val="center"/>
          </w:tcPr>
          <w:p>
            <w:pPr>
              <w:pStyle w:val="51"/>
              <w:ind w:firstLine="0" w:firstLineChars="0"/>
              <w:jc w:val="center"/>
              <w:rPr>
                <w:rFonts w:cs="宋体"/>
                <w:color w:val="000000" w:themeColor="text1"/>
                <w:kern w:val="2"/>
                <w:sz w:val="21"/>
                <w:szCs w:val="21"/>
              </w:rPr>
            </w:pPr>
            <w:r>
              <w:rPr>
                <w:rFonts w:hint="eastAsia" w:cs="宋体"/>
                <w:color w:val="000000" w:themeColor="text1"/>
                <w:kern w:val="2"/>
                <w:sz w:val="21"/>
                <w:szCs w:val="21"/>
              </w:rPr>
              <w:t>2</w:t>
            </w:r>
          </w:p>
        </w:tc>
        <w:tc>
          <w:tcPr>
            <w:tcW w:w="2265" w:type="dxa"/>
            <w:vAlign w:val="center"/>
          </w:tcPr>
          <w:p>
            <w:pPr>
              <w:pStyle w:val="51"/>
              <w:ind w:firstLine="0" w:firstLineChars="0"/>
              <w:jc w:val="center"/>
              <w:rPr>
                <w:rFonts w:cs="宋体"/>
                <w:color w:val="000000" w:themeColor="text1"/>
                <w:kern w:val="2"/>
                <w:sz w:val="21"/>
                <w:szCs w:val="21"/>
              </w:rPr>
            </w:pPr>
            <w:r>
              <w:rPr>
                <w:rFonts w:hint="eastAsia" w:cs="宋体"/>
                <w:color w:val="000000" w:themeColor="text1"/>
                <w:kern w:val="2"/>
                <w:sz w:val="21"/>
                <w:szCs w:val="21"/>
              </w:rPr>
              <w:t>工艺及设备区</w:t>
            </w:r>
          </w:p>
        </w:tc>
        <w:tc>
          <w:tcPr>
            <w:tcW w:w="1890" w:type="dxa"/>
            <w:vAlign w:val="center"/>
          </w:tcPr>
          <w:p>
            <w:pPr>
              <w:pStyle w:val="51"/>
              <w:ind w:firstLine="0" w:firstLineChars="0"/>
              <w:jc w:val="center"/>
              <w:rPr>
                <w:rFonts w:cs="宋体"/>
                <w:color w:val="000000" w:themeColor="text1"/>
                <w:kern w:val="2"/>
                <w:sz w:val="21"/>
                <w:szCs w:val="21"/>
              </w:rPr>
            </w:pPr>
            <w:r>
              <w:rPr>
                <w:rFonts w:hint="eastAsia" w:cs="宋体"/>
                <w:color w:val="000000" w:themeColor="text1"/>
                <w:kern w:val="2"/>
                <w:sz w:val="21"/>
                <w:szCs w:val="21"/>
              </w:rPr>
              <w:t>甲</w:t>
            </w:r>
          </w:p>
        </w:tc>
        <w:tc>
          <w:tcPr>
            <w:tcW w:w="4509" w:type="dxa"/>
            <w:vAlign w:val="center"/>
          </w:tcPr>
          <w:p>
            <w:pPr>
              <w:pStyle w:val="51"/>
              <w:ind w:firstLine="0" w:firstLineChars="0"/>
              <w:jc w:val="center"/>
              <w:rPr>
                <w:rFonts w:cs="宋体"/>
                <w:color w:val="000000" w:themeColor="text1"/>
                <w:kern w:val="2"/>
                <w:sz w:val="21"/>
                <w:szCs w:val="21"/>
              </w:rPr>
            </w:pPr>
            <w:r>
              <w:rPr>
                <w:rFonts w:hint="eastAsia" w:cs="宋体"/>
                <w:color w:val="000000" w:themeColor="text1"/>
                <w:kern w:val="2"/>
                <w:sz w:val="21"/>
                <w:szCs w:val="21"/>
              </w:rPr>
              <w:t>1台加注机及其配套管道及管件</w:t>
            </w:r>
          </w:p>
        </w:tc>
      </w:tr>
    </w:tbl>
    <w:p>
      <w:pPr>
        <w:pStyle w:val="19"/>
        <w:spacing w:afterLines="100" w:line="500" w:lineRule="exact"/>
        <w:rPr>
          <w:rFonts w:ascii="黑体" w:hAnsi="宋体" w:eastAsia="黑体"/>
          <w:color w:val="000000" w:themeColor="text1"/>
          <w:kern w:val="3"/>
          <w:sz w:val="28"/>
          <w:szCs w:val="28"/>
        </w:rPr>
      </w:pPr>
      <w:bookmarkStart w:id="1288" w:name="_Toc27737"/>
      <w:bookmarkStart w:id="1289" w:name="_Toc20542"/>
      <w:bookmarkStart w:id="1290" w:name="_Toc7855"/>
      <w:bookmarkStart w:id="1291" w:name="_Toc19888"/>
      <w:bookmarkStart w:id="1292" w:name="_Toc12720"/>
      <w:r>
        <w:rPr>
          <w:rFonts w:hint="eastAsia" w:ascii="黑体" w:hAnsi="宋体" w:eastAsia="黑体"/>
          <w:color w:val="000000" w:themeColor="text1"/>
          <w:kern w:val="3"/>
          <w:sz w:val="28"/>
          <w:szCs w:val="28"/>
        </w:rPr>
        <w:t>3.6.2装置或单元爆炸危险区域划分</w:t>
      </w:r>
      <w:bookmarkEnd w:id="1288"/>
      <w:bookmarkEnd w:id="1289"/>
      <w:bookmarkEnd w:id="1290"/>
      <w:bookmarkEnd w:id="1291"/>
      <w:bookmarkEnd w:id="1292"/>
    </w:p>
    <w:p>
      <w:pPr>
        <w:pStyle w:val="51"/>
        <w:rPr>
          <w:rFonts w:ascii="Times New Roman" w:hAnsi="Times New Roman"/>
          <w:color w:val="000000" w:themeColor="text1"/>
          <w:kern w:val="2"/>
          <w:szCs w:val="28"/>
        </w:rPr>
      </w:pPr>
      <w:r>
        <w:rPr>
          <w:rFonts w:ascii="Times New Roman" w:hAnsi="Times New Roman"/>
          <w:color w:val="000000" w:themeColor="text1"/>
          <w:kern w:val="2"/>
          <w:szCs w:val="28"/>
        </w:rPr>
        <w:t>本项目在工艺过程中主要存在火灾、爆炸的危险，根据《汽车加油加气加氢站技术标准》（GB50156-2021）以及《爆炸危险环境电力装置设计规范》(GB50058-2014)爆炸危险环境区域的等级划分,本项目爆炸性气体环境危险区域划分如下:</w:t>
      </w:r>
    </w:p>
    <w:p>
      <w:pPr>
        <w:pStyle w:val="51"/>
        <w:rPr>
          <w:rFonts w:ascii="Times New Roman" w:hAnsi="Times New Roman"/>
          <w:color w:val="000000" w:themeColor="text1"/>
          <w:kern w:val="2"/>
          <w:szCs w:val="28"/>
        </w:rPr>
      </w:pPr>
      <w:r>
        <w:rPr>
          <w:rFonts w:hint="eastAsia" w:ascii="Times New Roman" w:hAnsi="Times New Roman"/>
          <w:color w:val="000000" w:themeColor="text1"/>
          <w:kern w:val="2"/>
          <w:szCs w:val="28"/>
        </w:rPr>
        <w:t>1.加注机</w:t>
      </w:r>
      <w:r>
        <w:rPr>
          <w:rFonts w:ascii="Times New Roman" w:hAnsi="Times New Roman"/>
          <w:color w:val="000000" w:themeColor="text1"/>
          <w:kern w:val="2"/>
          <w:szCs w:val="28"/>
        </w:rPr>
        <w:t>:以</w:t>
      </w:r>
      <w:r>
        <w:rPr>
          <w:rFonts w:hint="eastAsia" w:ascii="Times New Roman" w:hAnsi="Times New Roman"/>
          <w:color w:val="000000" w:themeColor="text1"/>
          <w:kern w:val="2"/>
          <w:szCs w:val="28"/>
        </w:rPr>
        <w:t>加注机</w:t>
      </w:r>
      <w:r>
        <w:rPr>
          <w:rFonts w:ascii="Times New Roman" w:hAnsi="Times New Roman"/>
          <w:color w:val="000000" w:themeColor="text1"/>
          <w:kern w:val="2"/>
          <w:szCs w:val="28"/>
        </w:rPr>
        <w:t>为中心，以半径为4.5m的地面至围墙区域为底面和以</w:t>
      </w:r>
      <w:r>
        <w:rPr>
          <w:rFonts w:hint="eastAsia" w:ascii="Times New Roman" w:hAnsi="Times New Roman"/>
          <w:color w:val="000000" w:themeColor="text1"/>
          <w:kern w:val="2"/>
          <w:szCs w:val="28"/>
        </w:rPr>
        <w:t>加注机</w:t>
      </w:r>
      <w:r>
        <w:rPr>
          <w:rFonts w:ascii="Times New Roman" w:hAnsi="Times New Roman"/>
          <w:color w:val="000000" w:themeColor="text1"/>
          <w:kern w:val="2"/>
          <w:szCs w:val="28"/>
        </w:rPr>
        <w:t>顶部以上0.15m，半径为3.0m 的平面为顶面的圆台形空间划为2区。</w:t>
      </w:r>
    </w:p>
    <w:p>
      <w:pPr>
        <w:pStyle w:val="51"/>
        <w:rPr>
          <w:rFonts w:ascii="Times New Roman" w:hAnsi="Times New Roman"/>
          <w:color w:val="000000" w:themeColor="text1"/>
          <w:kern w:val="2"/>
          <w:szCs w:val="28"/>
        </w:rPr>
      </w:pPr>
      <w:r>
        <w:rPr>
          <w:rFonts w:hint="eastAsia" w:ascii="Times New Roman" w:hAnsi="Times New Roman"/>
          <w:color w:val="000000" w:themeColor="text1"/>
          <w:kern w:val="2"/>
          <w:szCs w:val="28"/>
        </w:rPr>
        <w:t>2.甲醇罐:甲醇罐内部液体表面以上的空间划为0区；甲醇罐人孔井内部空间为1区；以甲醇罐通气管管口为中心，半径为0.75m的球形空间为1区;以甲醇罐密闭卸车口为中心，半径为0.5m的球形空间为1区；距甲醇罐人孔井外边缘1.5m以内，自地面算起 1m 高的圆柱形空间为2区；以甲醇罐通气管管口为中心，半径为2m的球形空间为2区；以甲醇罐密闭卸车口为中心，半径为1.5m的球形并延至地面的空间划为2区。</w:t>
      </w:r>
    </w:p>
    <w:p>
      <w:pPr>
        <w:pStyle w:val="19"/>
        <w:spacing w:afterLines="100" w:line="500" w:lineRule="exact"/>
        <w:jc w:val="center"/>
        <w:rPr>
          <w:rFonts w:ascii="楷体_GB2312" w:hAnsi="宋体" w:eastAsia="楷体_GB2312"/>
          <w:color w:val="000000" w:themeColor="text1"/>
          <w:kern w:val="3"/>
        </w:rPr>
      </w:pPr>
      <w:bookmarkStart w:id="1293" w:name="_Toc15893"/>
      <w:bookmarkStart w:id="1294" w:name="_Toc17839"/>
      <w:bookmarkStart w:id="1295" w:name="_Toc17642"/>
      <w:bookmarkStart w:id="1296" w:name="_Toc23879"/>
      <w:bookmarkStart w:id="1297" w:name="_Toc19827"/>
      <w:bookmarkStart w:id="1298" w:name="_Toc28731"/>
      <w:bookmarkStart w:id="1299" w:name="_Toc531"/>
      <w:bookmarkStart w:id="1300" w:name="_Toc16036"/>
      <w:bookmarkStart w:id="1301" w:name="_Toc25300"/>
      <w:bookmarkStart w:id="1302" w:name="_Toc8072"/>
      <w:bookmarkStart w:id="1303" w:name="_Toc25080"/>
      <w:bookmarkStart w:id="1304" w:name="_Toc11349"/>
      <w:bookmarkStart w:id="1305" w:name="_Toc19451_WPSOffice_Level2"/>
      <w:bookmarkStart w:id="1306" w:name="_Toc18471"/>
      <w:bookmarkStart w:id="1307" w:name="_Toc27871"/>
      <w:bookmarkStart w:id="1308" w:name="_Toc25924"/>
      <w:bookmarkStart w:id="1309" w:name="_Toc18738"/>
      <w:r>
        <w:rPr>
          <w:rFonts w:hint="eastAsia" w:ascii="楷体_GB2312" w:hAnsi="宋体" w:eastAsia="楷体_GB2312"/>
          <w:color w:val="000000" w:themeColor="text1"/>
          <w:kern w:val="3"/>
        </w:rPr>
        <w:t>3.7主要危险、有害因素汇总</w:t>
      </w:r>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p>
    <w:p>
      <w:pPr>
        <w:adjustRightInd w:val="0"/>
        <w:snapToGrid w:val="0"/>
        <w:spacing w:line="500" w:lineRule="exact"/>
        <w:ind w:firstLine="560" w:firstLineChars="200"/>
        <w:rPr>
          <w:snapToGrid w:val="0"/>
          <w:color w:val="000000" w:themeColor="text1"/>
          <w:kern w:val="0"/>
          <w:sz w:val="28"/>
          <w:szCs w:val="28"/>
        </w:rPr>
      </w:pPr>
      <w:r>
        <w:rPr>
          <w:snapToGrid w:val="0"/>
          <w:color w:val="000000" w:themeColor="text1"/>
          <w:kern w:val="0"/>
          <w:sz w:val="28"/>
          <w:szCs w:val="28"/>
        </w:rPr>
        <w:t>由以上分析，该项目存在的主要危险、有害因素及其存在部位或操作过程汇总如下表所示：</w:t>
      </w:r>
    </w:p>
    <w:p>
      <w:pPr>
        <w:pStyle w:val="74"/>
        <w:spacing w:line="500" w:lineRule="exact"/>
        <w:ind w:firstLine="0" w:firstLineChars="0"/>
        <w:jc w:val="center"/>
        <w:rPr>
          <w:rFonts w:ascii="Times New Roman" w:hAnsi="Times New Roman"/>
          <w:color w:val="000000" w:themeColor="text1"/>
          <w:sz w:val="24"/>
          <w:szCs w:val="24"/>
        </w:rPr>
      </w:pPr>
      <w:r>
        <w:rPr>
          <w:rFonts w:ascii="Times New Roman" w:hAnsi="Times New Roman"/>
          <w:color w:val="000000" w:themeColor="text1"/>
          <w:sz w:val="24"/>
          <w:szCs w:val="24"/>
        </w:rPr>
        <w:t>表3-4主要危险、有害因素分布汇总表</w:t>
      </w:r>
    </w:p>
    <w:tbl>
      <w:tblPr>
        <w:tblStyle w:val="52"/>
        <w:tblW w:w="90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8"/>
        <w:gridCol w:w="1664"/>
        <w:gridCol w:w="6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blHeader/>
          <w:jc w:val="center"/>
        </w:trPr>
        <w:tc>
          <w:tcPr>
            <w:tcW w:w="678" w:type="dxa"/>
            <w:vAlign w:val="center"/>
          </w:tcPr>
          <w:p>
            <w:pPr>
              <w:spacing w:line="240" w:lineRule="atLeast"/>
              <w:jc w:val="center"/>
              <w:rPr>
                <w:b/>
                <w:color w:val="000000" w:themeColor="text1"/>
                <w:szCs w:val="21"/>
              </w:rPr>
            </w:pPr>
            <w:r>
              <w:rPr>
                <w:b/>
                <w:color w:val="000000" w:themeColor="text1"/>
                <w:szCs w:val="21"/>
              </w:rPr>
              <w:t>序号</w:t>
            </w:r>
          </w:p>
        </w:tc>
        <w:tc>
          <w:tcPr>
            <w:tcW w:w="1664" w:type="dxa"/>
            <w:vAlign w:val="center"/>
          </w:tcPr>
          <w:p>
            <w:pPr>
              <w:spacing w:line="240" w:lineRule="atLeast"/>
              <w:jc w:val="center"/>
              <w:rPr>
                <w:b/>
                <w:color w:val="000000" w:themeColor="text1"/>
                <w:szCs w:val="21"/>
              </w:rPr>
            </w:pPr>
            <w:r>
              <w:rPr>
                <w:b/>
                <w:color w:val="000000" w:themeColor="text1"/>
                <w:szCs w:val="21"/>
              </w:rPr>
              <w:t>主要危险、有害因素</w:t>
            </w:r>
          </w:p>
        </w:tc>
        <w:tc>
          <w:tcPr>
            <w:tcW w:w="6705" w:type="dxa"/>
            <w:vAlign w:val="center"/>
          </w:tcPr>
          <w:p>
            <w:pPr>
              <w:spacing w:line="240" w:lineRule="atLeast"/>
              <w:jc w:val="center"/>
              <w:rPr>
                <w:b/>
                <w:color w:val="000000" w:themeColor="text1"/>
                <w:szCs w:val="21"/>
              </w:rPr>
            </w:pPr>
            <w:r>
              <w:rPr>
                <w:b/>
                <w:color w:val="000000" w:themeColor="text1"/>
                <w:szCs w:val="21"/>
              </w:rPr>
              <w:t>主要存在部位或操作过程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678" w:type="dxa"/>
            <w:vAlign w:val="center"/>
          </w:tcPr>
          <w:p>
            <w:pPr>
              <w:spacing w:line="240" w:lineRule="atLeast"/>
              <w:jc w:val="center"/>
              <w:rPr>
                <w:color w:val="000000" w:themeColor="text1"/>
                <w:szCs w:val="21"/>
              </w:rPr>
            </w:pPr>
            <w:r>
              <w:rPr>
                <w:color w:val="000000" w:themeColor="text1"/>
                <w:szCs w:val="21"/>
              </w:rPr>
              <w:t>1</w:t>
            </w:r>
          </w:p>
        </w:tc>
        <w:tc>
          <w:tcPr>
            <w:tcW w:w="1664" w:type="dxa"/>
            <w:vAlign w:val="center"/>
          </w:tcPr>
          <w:p>
            <w:pPr>
              <w:spacing w:line="280" w:lineRule="exact"/>
              <w:jc w:val="center"/>
              <w:rPr>
                <w:color w:val="000000" w:themeColor="text1"/>
                <w:szCs w:val="21"/>
              </w:rPr>
            </w:pPr>
            <w:r>
              <w:rPr>
                <w:color w:val="000000" w:themeColor="text1"/>
                <w:szCs w:val="21"/>
              </w:rPr>
              <w:t>火灾、其他爆炸</w:t>
            </w:r>
          </w:p>
        </w:tc>
        <w:tc>
          <w:tcPr>
            <w:tcW w:w="6705" w:type="dxa"/>
            <w:vAlign w:val="center"/>
          </w:tcPr>
          <w:p>
            <w:pPr>
              <w:spacing w:line="280" w:lineRule="exact"/>
              <w:rPr>
                <w:color w:val="000000" w:themeColor="text1"/>
                <w:szCs w:val="21"/>
              </w:rPr>
            </w:pPr>
            <w:r>
              <w:rPr>
                <w:color w:val="000000" w:themeColor="text1"/>
                <w:szCs w:val="21"/>
              </w:rPr>
              <w:t>甲醇储罐区、装卸区及其输送管道；甲醇卸车、分装和储存、装车过程；各用电设备及电力线路处；检、维修过程。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678" w:type="dxa"/>
            <w:vAlign w:val="center"/>
          </w:tcPr>
          <w:p>
            <w:pPr>
              <w:spacing w:line="240" w:lineRule="atLeast"/>
              <w:jc w:val="center"/>
              <w:rPr>
                <w:color w:val="000000" w:themeColor="text1"/>
                <w:szCs w:val="21"/>
              </w:rPr>
            </w:pPr>
            <w:r>
              <w:rPr>
                <w:color w:val="000000" w:themeColor="text1"/>
                <w:szCs w:val="21"/>
              </w:rPr>
              <w:t>2</w:t>
            </w:r>
          </w:p>
        </w:tc>
        <w:tc>
          <w:tcPr>
            <w:tcW w:w="1664" w:type="dxa"/>
            <w:vAlign w:val="center"/>
          </w:tcPr>
          <w:p>
            <w:pPr>
              <w:spacing w:line="280" w:lineRule="exact"/>
              <w:jc w:val="center"/>
              <w:rPr>
                <w:color w:val="000000" w:themeColor="text1"/>
                <w:szCs w:val="21"/>
              </w:rPr>
            </w:pPr>
            <w:r>
              <w:rPr>
                <w:color w:val="000000" w:themeColor="text1"/>
                <w:szCs w:val="21"/>
              </w:rPr>
              <w:t>中毒、窒息</w:t>
            </w:r>
          </w:p>
        </w:tc>
        <w:tc>
          <w:tcPr>
            <w:tcW w:w="6705" w:type="dxa"/>
            <w:vAlign w:val="center"/>
          </w:tcPr>
          <w:p>
            <w:pPr>
              <w:spacing w:line="280" w:lineRule="exact"/>
              <w:rPr>
                <w:color w:val="000000" w:themeColor="text1"/>
                <w:szCs w:val="21"/>
              </w:rPr>
            </w:pPr>
            <w:r>
              <w:rPr>
                <w:color w:val="000000" w:themeColor="text1"/>
                <w:szCs w:val="21"/>
              </w:rPr>
              <w:t>甲醇储罐区、装卸区及其输送管道；甲醇卸车、分装和储存、装车过程；检、维修过程。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678" w:type="dxa"/>
            <w:vAlign w:val="center"/>
          </w:tcPr>
          <w:p>
            <w:pPr>
              <w:spacing w:line="240" w:lineRule="atLeast"/>
              <w:jc w:val="center"/>
              <w:rPr>
                <w:color w:val="000000" w:themeColor="text1"/>
                <w:szCs w:val="21"/>
              </w:rPr>
            </w:pPr>
            <w:r>
              <w:rPr>
                <w:color w:val="000000" w:themeColor="text1"/>
                <w:szCs w:val="21"/>
              </w:rPr>
              <w:t>3</w:t>
            </w:r>
          </w:p>
        </w:tc>
        <w:tc>
          <w:tcPr>
            <w:tcW w:w="1664" w:type="dxa"/>
            <w:vAlign w:val="center"/>
          </w:tcPr>
          <w:p>
            <w:pPr>
              <w:spacing w:line="280" w:lineRule="exact"/>
              <w:jc w:val="center"/>
              <w:rPr>
                <w:color w:val="000000" w:themeColor="text1"/>
                <w:szCs w:val="21"/>
              </w:rPr>
            </w:pPr>
            <w:r>
              <w:rPr>
                <w:color w:val="000000" w:themeColor="text1"/>
                <w:szCs w:val="21"/>
              </w:rPr>
              <w:t>触电</w:t>
            </w:r>
          </w:p>
        </w:tc>
        <w:tc>
          <w:tcPr>
            <w:tcW w:w="6705" w:type="dxa"/>
            <w:vAlign w:val="center"/>
          </w:tcPr>
          <w:p>
            <w:pPr>
              <w:spacing w:line="280" w:lineRule="exact"/>
              <w:rPr>
                <w:color w:val="000000" w:themeColor="text1"/>
                <w:szCs w:val="21"/>
              </w:rPr>
            </w:pPr>
            <w:r>
              <w:rPr>
                <w:color w:val="000000" w:themeColor="text1"/>
                <w:szCs w:val="21"/>
              </w:rPr>
              <w:t>各用电设备及电力线路处；</w:t>
            </w:r>
            <w:r>
              <w:rPr>
                <w:bCs/>
                <w:snapToGrid w:val="0"/>
                <w:color w:val="000000" w:themeColor="text1"/>
                <w:kern w:val="0"/>
                <w:szCs w:val="21"/>
              </w:rPr>
              <w:t>检、维修过程。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678" w:type="dxa"/>
            <w:vAlign w:val="center"/>
          </w:tcPr>
          <w:p>
            <w:pPr>
              <w:spacing w:line="240" w:lineRule="atLeast"/>
              <w:jc w:val="center"/>
              <w:rPr>
                <w:color w:val="000000" w:themeColor="text1"/>
                <w:szCs w:val="21"/>
              </w:rPr>
            </w:pPr>
            <w:r>
              <w:rPr>
                <w:color w:val="000000" w:themeColor="text1"/>
                <w:szCs w:val="21"/>
              </w:rPr>
              <w:t>4</w:t>
            </w:r>
          </w:p>
        </w:tc>
        <w:tc>
          <w:tcPr>
            <w:tcW w:w="1664" w:type="dxa"/>
            <w:vAlign w:val="center"/>
          </w:tcPr>
          <w:p>
            <w:pPr>
              <w:spacing w:line="280" w:lineRule="exact"/>
              <w:jc w:val="center"/>
              <w:rPr>
                <w:color w:val="000000" w:themeColor="text1"/>
                <w:szCs w:val="21"/>
              </w:rPr>
            </w:pPr>
            <w:r>
              <w:rPr>
                <w:color w:val="000000" w:themeColor="text1"/>
                <w:szCs w:val="21"/>
              </w:rPr>
              <w:t>雷电危害</w:t>
            </w:r>
          </w:p>
        </w:tc>
        <w:tc>
          <w:tcPr>
            <w:tcW w:w="6705" w:type="dxa"/>
            <w:vAlign w:val="center"/>
          </w:tcPr>
          <w:p>
            <w:pPr>
              <w:spacing w:line="280" w:lineRule="exact"/>
              <w:rPr>
                <w:color w:val="000000" w:themeColor="text1"/>
                <w:szCs w:val="21"/>
              </w:rPr>
            </w:pPr>
            <w:r>
              <w:rPr>
                <w:color w:val="000000" w:themeColor="text1"/>
                <w:szCs w:val="21"/>
              </w:rPr>
              <w:t>甲醇储罐区、装卸区及其输送管道；甲醇卸车、分装和储存、装车过程；项目区各建（构）筑物处。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678" w:type="dxa"/>
            <w:vAlign w:val="center"/>
          </w:tcPr>
          <w:p>
            <w:pPr>
              <w:spacing w:line="240" w:lineRule="atLeast"/>
              <w:jc w:val="center"/>
              <w:rPr>
                <w:color w:val="000000" w:themeColor="text1"/>
                <w:szCs w:val="21"/>
              </w:rPr>
            </w:pPr>
            <w:r>
              <w:rPr>
                <w:color w:val="000000" w:themeColor="text1"/>
                <w:szCs w:val="21"/>
              </w:rPr>
              <w:t>5</w:t>
            </w:r>
          </w:p>
        </w:tc>
        <w:tc>
          <w:tcPr>
            <w:tcW w:w="1664" w:type="dxa"/>
            <w:vAlign w:val="center"/>
          </w:tcPr>
          <w:p>
            <w:pPr>
              <w:spacing w:line="280" w:lineRule="exact"/>
              <w:jc w:val="center"/>
              <w:rPr>
                <w:color w:val="000000" w:themeColor="text1"/>
                <w:szCs w:val="21"/>
              </w:rPr>
            </w:pPr>
            <w:r>
              <w:rPr>
                <w:color w:val="000000" w:themeColor="text1"/>
                <w:szCs w:val="21"/>
              </w:rPr>
              <w:t>静电危害</w:t>
            </w:r>
          </w:p>
        </w:tc>
        <w:tc>
          <w:tcPr>
            <w:tcW w:w="6705" w:type="dxa"/>
            <w:vAlign w:val="center"/>
          </w:tcPr>
          <w:p>
            <w:pPr>
              <w:spacing w:line="280" w:lineRule="exact"/>
              <w:rPr>
                <w:color w:val="000000" w:themeColor="text1"/>
                <w:szCs w:val="21"/>
              </w:rPr>
            </w:pPr>
            <w:r>
              <w:rPr>
                <w:color w:val="000000" w:themeColor="text1"/>
                <w:szCs w:val="21"/>
              </w:rPr>
              <w:t>甲醇储罐区、装卸区及其输送管道；甲醇卸车、分装和储存、装车过程；</w:t>
            </w:r>
            <w:r>
              <w:rPr>
                <w:bCs/>
                <w:snapToGrid w:val="0"/>
                <w:color w:val="000000" w:themeColor="text1"/>
                <w:kern w:val="0"/>
                <w:szCs w:val="21"/>
              </w:rPr>
              <w:t>检、维修过程。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678" w:type="dxa"/>
            <w:vAlign w:val="center"/>
          </w:tcPr>
          <w:p>
            <w:pPr>
              <w:spacing w:line="240" w:lineRule="atLeast"/>
              <w:jc w:val="center"/>
              <w:rPr>
                <w:color w:val="000000" w:themeColor="text1"/>
                <w:szCs w:val="21"/>
              </w:rPr>
            </w:pPr>
            <w:r>
              <w:rPr>
                <w:color w:val="000000" w:themeColor="text1"/>
                <w:szCs w:val="21"/>
              </w:rPr>
              <w:t>6</w:t>
            </w:r>
          </w:p>
        </w:tc>
        <w:tc>
          <w:tcPr>
            <w:tcW w:w="1664" w:type="dxa"/>
            <w:vAlign w:val="center"/>
          </w:tcPr>
          <w:p>
            <w:pPr>
              <w:spacing w:line="280" w:lineRule="exact"/>
              <w:jc w:val="center"/>
              <w:rPr>
                <w:color w:val="000000" w:themeColor="text1"/>
                <w:szCs w:val="21"/>
              </w:rPr>
            </w:pPr>
            <w:r>
              <w:rPr>
                <w:color w:val="000000" w:themeColor="text1"/>
                <w:szCs w:val="21"/>
              </w:rPr>
              <w:t>车辆伤害</w:t>
            </w:r>
          </w:p>
        </w:tc>
        <w:tc>
          <w:tcPr>
            <w:tcW w:w="6705" w:type="dxa"/>
            <w:vAlign w:val="center"/>
          </w:tcPr>
          <w:p>
            <w:pPr>
              <w:spacing w:line="280" w:lineRule="exact"/>
              <w:rPr>
                <w:color w:val="000000" w:themeColor="text1"/>
                <w:szCs w:val="21"/>
              </w:rPr>
            </w:pPr>
            <w:r>
              <w:rPr>
                <w:color w:val="000000" w:themeColor="text1"/>
                <w:szCs w:val="21"/>
              </w:rPr>
              <w:t>甲醇装卸车区；甲醇装卸过程；项目区道路出入口等处。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678" w:type="dxa"/>
            <w:vAlign w:val="center"/>
          </w:tcPr>
          <w:p>
            <w:pPr>
              <w:spacing w:line="240" w:lineRule="atLeast"/>
              <w:jc w:val="center"/>
              <w:rPr>
                <w:color w:val="000000" w:themeColor="text1"/>
                <w:szCs w:val="21"/>
              </w:rPr>
            </w:pPr>
            <w:r>
              <w:rPr>
                <w:color w:val="000000" w:themeColor="text1"/>
                <w:szCs w:val="21"/>
              </w:rPr>
              <w:t>7</w:t>
            </w:r>
          </w:p>
        </w:tc>
        <w:tc>
          <w:tcPr>
            <w:tcW w:w="1664" w:type="dxa"/>
            <w:vAlign w:val="center"/>
          </w:tcPr>
          <w:p>
            <w:pPr>
              <w:spacing w:line="280" w:lineRule="exact"/>
              <w:jc w:val="center"/>
              <w:rPr>
                <w:color w:val="000000" w:themeColor="text1"/>
                <w:szCs w:val="21"/>
              </w:rPr>
            </w:pPr>
            <w:r>
              <w:rPr>
                <w:color w:val="000000" w:themeColor="text1"/>
                <w:szCs w:val="21"/>
              </w:rPr>
              <w:t>高处坠落</w:t>
            </w:r>
          </w:p>
        </w:tc>
        <w:tc>
          <w:tcPr>
            <w:tcW w:w="6705" w:type="dxa"/>
            <w:vAlign w:val="center"/>
          </w:tcPr>
          <w:p>
            <w:pPr>
              <w:spacing w:line="280" w:lineRule="exact"/>
              <w:rPr>
                <w:color w:val="000000" w:themeColor="text1"/>
                <w:szCs w:val="21"/>
              </w:rPr>
            </w:pPr>
            <w:r>
              <w:rPr>
                <w:color w:val="000000" w:themeColor="text1"/>
                <w:szCs w:val="21"/>
              </w:rPr>
              <w:t>甲醇储存区、装卸车区；甲醇分装、装卸过程。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678" w:type="dxa"/>
            <w:vAlign w:val="center"/>
          </w:tcPr>
          <w:p>
            <w:pPr>
              <w:spacing w:line="240" w:lineRule="atLeast"/>
              <w:jc w:val="center"/>
              <w:rPr>
                <w:color w:val="000000" w:themeColor="text1"/>
                <w:szCs w:val="21"/>
              </w:rPr>
            </w:pPr>
            <w:r>
              <w:rPr>
                <w:color w:val="000000" w:themeColor="text1"/>
                <w:szCs w:val="21"/>
              </w:rPr>
              <w:t>8</w:t>
            </w:r>
          </w:p>
        </w:tc>
        <w:tc>
          <w:tcPr>
            <w:tcW w:w="1664" w:type="dxa"/>
            <w:vAlign w:val="center"/>
          </w:tcPr>
          <w:p>
            <w:pPr>
              <w:spacing w:line="280" w:lineRule="exact"/>
              <w:jc w:val="center"/>
              <w:rPr>
                <w:color w:val="000000" w:themeColor="text1"/>
                <w:szCs w:val="21"/>
              </w:rPr>
            </w:pPr>
            <w:r>
              <w:rPr>
                <w:color w:val="000000" w:themeColor="text1"/>
                <w:szCs w:val="21"/>
              </w:rPr>
              <w:t>机械伤害</w:t>
            </w:r>
          </w:p>
        </w:tc>
        <w:tc>
          <w:tcPr>
            <w:tcW w:w="6705" w:type="dxa"/>
            <w:vAlign w:val="center"/>
          </w:tcPr>
          <w:p>
            <w:pPr>
              <w:spacing w:line="280" w:lineRule="exact"/>
              <w:rPr>
                <w:color w:val="000000" w:themeColor="text1"/>
                <w:szCs w:val="21"/>
              </w:rPr>
            </w:pPr>
            <w:r>
              <w:rPr>
                <w:color w:val="000000" w:themeColor="text1"/>
                <w:szCs w:val="21"/>
              </w:rPr>
              <w:t>泵类等机械设备的转动部位处；甲醇分装及储存过程；检、维修过程。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678" w:type="dxa"/>
            <w:vAlign w:val="center"/>
          </w:tcPr>
          <w:p>
            <w:pPr>
              <w:spacing w:line="240" w:lineRule="atLeast"/>
              <w:jc w:val="center"/>
              <w:rPr>
                <w:color w:val="000000" w:themeColor="text1"/>
                <w:szCs w:val="21"/>
              </w:rPr>
            </w:pPr>
            <w:r>
              <w:rPr>
                <w:color w:val="000000" w:themeColor="text1"/>
                <w:szCs w:val="21"/>
              </w:rPr>
              <w:t>9</w:t>
            </w:r>
          </w:p>
        </w:tc>
        <w:tc>
          <w:tcPr>
            <w:tcW w:w="1664" w:type="dxa"/>
            <w:vAlign w:val="center"/>
          </w:tcPr>
          <w:p>
            <w:pPr>
              <w:spacing w:line="280" w:lineRule="exact"/>
              <w:jc w:val="center"/>
              <w:rPr>
                <w:color w:val="000000" w:themeColor="text1"/>
                <w:szCs w:val="21"/>
              </w:rPr>
            </w:pPr>
            <w:r>
              <w:rPr>
                <w:color w:val="000000" w:themeColor="text1"/>
                <w:szCs w:val="21"/>
              </w:rPr>
              <w:t>物体打击</w:t>
            </w:r>
          </w:p>
        </w:tc>
        <w:tc>
          <w:tcPr>
            <w:tcW w:w="6705" w:type="dxa"/>
            <w:vAlign w:val="center"/>
          </w:tcPr>
          <w:p>
            <w:pPr>
              <w:spacing w:line="280" w:lineRule="exact"/>
              <w:rPr>
                <w:color w:val="000000" w:themeColor="text1"/>
                <w:szCs w:val="21"/>
              </w:rPr>
            </w:pPr>
            <w:r>
              <w:rPr>
                <w:color w:val="000000" w:themeColor="text1"/>
                <w:szCs w:val="21"/>
              </w:rPr>
              <w:t>甲醇储存区、装卸车区；甲醇分装、装卸过程。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678" w:type="dxa"/>
            <w:vAlign w:val="center"/>
          </w:tcPr>
          <w:p>
            <w:pPr>
              <w:spacing w:line="240" w:lineRule="atLeast"/>
              <w:jc w:val="center"/>
              <w:rPr>
                <w:color w:val="000000" w:themeColor="text1"/>
                <w:szCs w:val="21"/>
              </w:rPr>
            </w:pPr>
            <w:r>
              <w:rPr>
                <w:color w:val="000000" w:themeColor="text1"/>
                <w:szCs w:val="21"/>
              </w:rPr>
              <w:t>10</w:t>
            </w:r>
          </w:p>
        </w:tc>
        <w:tc>
          <w:tcPr>
            <w:tcW w:w="1664" w:type="dxa"/>
            <w:vAlign w:val="center"/>
          </w:tcPr>
          <w:p>
            <w:pPr>
              <w:spacing w:line="280" w:lineRule="exact"/>
              <w:jc w:val="center"/>
              <w:rPr>
                <w:color w:val="000000" w:themeColor="text1"/>
                <w:szCs w:val="21"/>
              </w:rPr>
            </w:pPr>
            <w:r>
              <w:rPr>
                <w:color w:val="000000" w:themeColor="text1"/>
                <w:szCs w:val="21"/>
              </w:rPr>
              <w:t>化学腐蚀、化学灼伤</w:t>
            </w:r>
          </w:p>
        </w:tc>
        <w:tc>
          <w:tcPr>
            <w:tcW w:w="6705" w:type="dxa"/>
            <w:vAlign w:val="center"/>
          </w:tcPr>
          <w:p>
            <w:pPr>
              <w:spacing w:line="280" w:lineRule="exact"/>
              <w:rPr>
                <w:color w:val="000000" w:themeColor="text1"/>
                <w:szCs w:val="21"/>
              </w:rPr>
            </w:pPr>
            <w:r>
              <w:rPr>
                <w:color w:val="000000" w:themeColor="text1"/>
                <w:szCs w:val="21"/>
              </w:rPr>
              <w:t>甲醇储罐区、装卸区及其输送管道；甲醇卸车、分装储存、装车过程；检、维修过程</w:t>
            </w:r>
            <w:r>
              <w:rPr>
                <w:snapToGrid w:val="0"/>
                <w:color w:val="000000" w:themeColor="text1"/>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678" w:type="dxa"/>
            <w:vAlign w:val="center"/>
          </w:tcPr>
          <w:p>
            <w:pPr>
              <w:spacing w:line="240" w:lineRule="atLeast"/>
              <w:jc w:val="center"/>
              <w:rPr>
                <w:color w:val="000000" w:themeColor="text1"/>
                <w:szCs w:val="21"/>
              </w:rPr>
            </w:pPr>
            <w:r>
              <w:rPr>
                <w:color w:val="000000" w:themeColor="text1"/>
                <w:szCs w:val="21"/>
              </w:rPr>
              <w:t>11</w:t>
            </w:r>
          </w:p>
        </w:tc>
        <w:tc>
          <w:tcPr>
            <w:tcW w:w="1664" w:type="dxa"/>
            <w:vAlign w:val="center"/>
          </w:tcPr>
          <w:p>
            <w:pPr>
              <w:spacing w:line="280" w:lineRule="exact"/>
              <w:jc w:val="center"/>
              <w:rPr>
                <w:color w:val="000000" w:themeColor="text1"/>
                <w:szCs w:val="21"/>
              </w:rPr>
            </w:pPr>
            <w:r>
              <w:rPr>
                <w:color w:val="000000" w:themeColor="text1"/>
                <w:szCs w:val="21"/>
              </w:rPr>
              <w:t>噪声危害</w:t>
            </w:r>
          </w:p>
        </w:tc>
        <w:tc>
          <w:tcPr>
            <w:tcW w:w="6705" w:type="dxa"/>
            <w:vAlign w:val="center"/>
          </w:tcPr>
          <w:p>
            <w:pPr>
              <w:spacing w:line="280" w:lineRule="exact"/>
              <w:rPr>
                <w:color w:val="000000" w:themeColor="text1"/>
                <w:szCs w:val="21"/>
              </w:rPr>
            </w:pPr>
            <w:r>
              <w:rPr>
                <w:color w:val="000000" w:themeColor="text1"/>
                <w:szCs w:val="21"/>
              </w:rPr>
              <w:t>甲醇储存区、装卸区；甲醇分装、装卸过程；检、维修过程。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678" w:type="dxa"/>
            <w:vAlign w:val="center"/>
          </w:tcPr>
          <w:p>
            <w:pPr>
              <w:spacing w:line="240" w:lineRule="atLeast"/>
              <w:jc w:val="center"/>
              <w:rPr>
                <w:color w:val="000000" w:themeColor="text1"/>
                <w:szCs w:val="21"/>
              </w:rPr>
            </w:pPr>
            <w:r>
              <w:rPr>
                <w:color w:val="000000" w:themeColor="text1"/>
                <w:szCs w:val="21"/>
              </w:rPr>
              <w:t>12</w:t>
            </w:r>
          </w:p>
        </w:tc>
        <w:tc>
          <w:tcPr>
            <w:tcW w:w="1664" w:type="dxa"/>
            <w:vAlign w:val="center"/>
          </w:tcPr>
          <w:p>
            <w:pPr>
              <w:spacing w:line="280" w:lineRule="exact"/>
              <w:jc w:val="center"/>
              <w:rPr>
                <w:color w:val="000000" w:themeColor="text1"/>
                <w:szCs w:val="21"/>
              </w:rPr>
            </w:pPr>
            <w:r>
              <w:rPr>
                <w:color w:val="000000" w:themeColor="text1"/>
                <w:szCs w:val="21"/>
              </w:rPr>
              <w:t>其他，如坍塌、暴雨、地震等</w:t>
            </w:r>
          </w:p>
        </w:tc>
        <w:tc>
          <w:tcPr>
            <w:tcW w:w="6705" w:type="dxa"/>
            <w:vAlign w:val="center"/>
          </w:tcPr>
          <w:p>
            <w:pPr>
              <w:spacing w:line="280" w:lineRule="exact"/>
              <w:rPr>
                <w:color w:val="000000" w:themeColor="text1"/>
                <w:szCs w:val="21"/>
              </w:rPr>
            </w:pPr>
            <w:r>
              <w:rPr>
                <w:color w:val="000000" w:themeColor="text1"/>
                <w:szCs w:val="21"/>
              </w:rPr>
              <w:t>项目区域。</w:t>
            </w:r>
          </w:p>
        </w:tc>
      </w:tr>
      <w:bookmarkEnd w:id="1040"/>
      <w:bookmarkEnd w:id="1041"/>
      <w:bookmarkEnd w:id="1042"/>
      <w:bookmarkEnd w:id="1043"/>
      <w:bookmarkEnd w:id="1044"/>
      <w:bookmarkEnd w:id="1045"/>
      <w:bookmarkEnd w:id="1046"/>
      <w:bookmarkEnd w:id="1047"/>
      <w:bookmarkEnd w:id="1048"/>
    </w:tbl>
    <w:p>
      <w:pPr>
        <w:pStyle w:val="19"/>
        <w:spacing w:afterLines="100" w:line="500" w:lineRule="exact"/>
        <w:jc w:val="center"/>
        <w:rPr>
          <w:rFonts w:ascii="楷体_GB2312" w:hAnsi="宋体" w:eastAsia="楷体_GB2312"/>
          <w:color w:val="000000" w:themeColor="text1"/>
          <w:kern w:val="3"/>
        </w:rPr>
      </w:pPr>
      <w:bookmarkStart w:id="1310" w:name="_Toc19584"/>
      <w:bookmarkStart w:id="1311" w:name="_Toc15955"/>
      <w:bookmarkStart w:id="1312" w:name="_Toc13493"/>
      <w:bookmarkStart w:id="1313" w:name="_Toc11243"/>
      <w:bookmarkStart w:id="1314" w:name="_Toc11561"/>
      <w:bookmarkStart w:id="1315" w:name="_Toc16720"/>
      <w:bookmarkStart w:id="1316" w:name="_Toc16960"/>
      <w:bookmarkStart w:id="1317" w:name="_Toc17250"/>
      <w:bookmarkStart w:id="1318" w:name="_Toc8345"/>
      <w:bookmarkStart w:id="1319" w:name="_Toc8995_WPSOffice_Level2"/>
      <w:bookmarkStart w:id="1320" w:name="_Toc24643"/>
      <w:bookmarkStart w:id="1321" w:name="_Toc15141"/>
      <w:bookmarkStart w:id="1322" w:name="_Toc10799"/>
      <w:bookmarkStart w:id="1323" w:name="_Toc9697"/>
      <w:bookmarkStart w:id="1324" w:name="_Toc27280"/>
      <w:bookmarkStart w:id="1325" w:name="_Toc5534"/>
      <w:bookmarkStart w:id="1326" w:name="_Toc14808"/>
      <w:r>
        <w:rPr>
          <w:rFonts w:hint="eastAsia" w:ascii="楷体_GB2312" w:hAnsi="宋体" w:eastAsia="楷体_GB2312"/>
          <w:color w:val="000000" w:themeColor="text1"/>
          <w:kern w:val="3"/>
        </w:rPr>
        <w:t>3.8危险化学品重大危险源辨识</w:t>
      </w:r>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p>
    <w:p>
      <w:pPr>
        <w:pStyle w:val="19"/>
        <w:spacing w:afterLines="100" w:line="500" w:lineRule="exact"/>
        <w:rPr>
          <w:rFonts w:ascii="黑体" w:hAnsi="宋体" w:eastAsia="黑体"/>
          <w:color w:val="000000" w:themeColor="text1"/>
          <w:kern w:val="3"/>
          <w:sz w:val="28"/>
          <w:szCs w:val="28"/>
        </w:rPr>
      </w:pPr>
      <w:bookmarkStart w:id="1327" w:name="_Toc18614"/>
      <w:bookmarkStart w:id="1328" w:name="_Toc11038"/>
      <w:bookmarkStart w:id="1329" w:name="_Toc10417"/>
      <w:bookmarkStart w:id="1330" w:name="_Toc15110"/>
      <w:bookmarkStart w:id="1331" w:name="_Toc286493604"/>
      <w:bookmarkStart w:id="1332" w:name="_Toc10284"/>
      <w:bookmarkStart w:id="1333" w:name="_Toc8539"/>
      <w:bookmarkStart w:id="1334" w:name="_Toc191729746"/>
      <w:bookmarkStart w:id="1335" w:name="_Toc191728186"/>
      <w:bookmarkStart w:id="1336" w:name="_Toc345765781"/>
      <w:bookmarkStart w:id="1337" w:name="_Toc18306"/>
      <w:bookmarkStart w:id="1338" w:name="_Toc208398738"/>
      <w:bookmarkStart w:id="1339" w:name="_Toc194389943"/>
      <w:bookmarkStart w:id="1340" w:name="_Toc16167"/>
      <w:bookmarkStart w:id="1341" w:name="_Toc23102"/>
      <w:bookmarkStart w:id="1342" w:name="_Toc9102"/>
      <w:bookmarkStart w:id="1343" w:name="_Toc191730030"/>
      <w:bookmarkStart w:id="1344" w:name="_Toc27343"/>
      <w:r>
        <w:rPr>
          <w:rFonts w:hint="eastAsia" w:ascii="黑体" w:hAnsi="宋体" w:eastAsia="黑体"/>
          <w:color w:val="000000" w:themeColor="text1"/>
          <w:kern w:val="3"/>
          <w:sz w:val="28"/>
          <w:szCs w:val="28"/>
        </w:rPr>
        <w:t>3.8.1方法介绍</w:t>
      </w:r>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p>
    <w:p>
      <w:pPr>
        <w:spacing w:line="500" w:lineRule="exact"/>
        <w:ind w:firstLine="560" w:firstLineChars="200"/>
        <w:rPr>
          <w:color w:val="000000" w:themeColor="text1"/>
          <w:sz w:val="28"/>
        </w:rPr>
      </w:pPr>
      <w:bookmarkStart w:id="1345" w:name="_Toc191729747"/>
      <w:bookmarkStart w:id="1346" w:name="_Toc208398739"/>
      <w:bookmarkStart w:id="1347" w:name="_Toc194389944"/>
      <w:bookmarkStart w:id="1348" w:name="_Toc191730031"/>
      <w:bookmarkStart w:id="1349" w:name="_Toc191728187"/>
      <w:r>
        <w:rPr>
          <w:color w:val="000000" w:themeColor="text1"/>
          <w:sz w:val="28"/>
        </w:rPr>
        <w:t>危险化学品重大危险源是指长期地或临时地生产、储存、使用和经营危险化学品，且危险化学品的数量等于或超过临界量的单元。</w:t>
      </w:r>
    </w:p>
    <w:p>
      <w:pPr>
        <w:spacing w:line="500" w:lineRule="exact"/>
        <w:ind w:firstLine="560" w:firstLineChars="200"/>
        <w:rPr>
          <w:color w:val="000000" w:themeColor="text1"/>
          <w:sz w:val="28"/>
        </w:rPr>
      </w:pPr>
      <w:r>
        <w:rPr>
          <w:color w:val="000000" w:themeColor="text1"/>
          <w:sz w:val="28"/>
        </w:rPr>
        <w:t>危险化学品重大危险源可分为生产单元危险化学品重大危险源和储存单元危险化学品重大危险源，生产单元是指危险化学品生产、加工及使用等的装置及设施，当装置及设施之间有切断阀时，以切断阀作为分隔界限划分为独立单元；储存单元是指用于储存危险化学品的储罐或仓库组成的相对独立的区域，储罐区以及罐区防火堤为界限划分为独立的单元，仓库以独立库房（独立建筑物）为界限划分为独立的单元。</w:t>
      </w:r>
    </w:p>
    <w:p>
      <w:pPr>
        <w:spacing w:line="500" w:lineRule="exact"/>
        <w:ind w:firstLine="560" w:firstLineChars="200"/>
        <w:rPr>
          <w:color w:val="000000" w:themeColor="text1"/>
          <w:sz w:val="28"/>
        </w:rPr>
      </w:pPr>
      <w:r>
        <w:rPr>
          <w:color w:val="000000" w:themeColor="text1"/>
          <w:sz w:val="28"/>
        </w:rPr>
        <w:t>危险化学品重大危险源的辨识依据是危险化学品的危险特性及数量，危险化学品储罐以及其它容器、设备或仓储区的危险化学品的实际存在量按设计最大量确定。生产单元、储存单元内存在危险化学品的数量等于或超过</w:t>
      </w:r>
      <w:r>
        <w:rPr>
          <w:color w:val="000000" w:themeColor="text1"/>
          <w:sz w:val="28"/>
          <w:szCs w:val="28"/>
        </w:rPr>
        <w:t>表1、表2（见</w:t>
      </w:r>
      <w:r>
        <w:rPr>
          <w:color w:val="000000" w:themeColor="text1"/>
          <w:kern w:val="3"/>
          <w:sz w:val="28"/>
          <w:szCs w:val="28"/>
        </w:rPr>
        <w:t>《</w:t>
      </w:r>
      <w:r>
        <w:rPr>
          <w:color w:val="000000" w:themeColor="text1"/>
          <w:sz w:val="28"/>
          <w:szCs w:val="28"/>
        </w:rPr>
        <w:t>危险化学品重大危险源辨识</w:t>
      </w:r>
      <w:r>
        <w:rPr>
          <w:color w:val="000000" w:themeColor="text1"/>
          <w:kern w:val="3"/>
          <w:sz w:val="28"/>
          <w:szCs w:val="28"/>
        </w:rPr>
        <w:t>》（</w:t>
      </w:r>
      <w:r>
        <w:rPr>
          <w:color w:val="000000" w:themeColor="text1"/>
          <w:sz w:val="28"/>
          <w:szCs w:val="28"/>
        </w:rPr>
        <w:t>GB18218-2018</w:t>
      </w:r>
      <w:r>
        <w:rPr>
          <w:color w:val="000000" w:themeColor="text1"/>
          <w:kern w:val="3"/>
          <w:sz w:val="28"/>
          <w:szCs w:val="28"/>
        </w:rPr>
        <w:t>）中表1、表2</w:t>
      </w:r>
      <w:r>
        <w:rPr>
          <w:color w:val="000000" w:themeColor="text1"/>
          <w:sz w:val="28"/>
          <w:szCs w:val="28"/>
        </w:rPr>
        <w:t>）</w:t>
      </w:r>
      <w:r>
        <w:rPr>
          <w:color w:val="000000" w:themeColor="text1"/>
          <w:sz w:val="28"/>
        </w:rPr>
        <w:t>规定的临界量，即被定为重大危险源。单元内存在的危险化学品的数量根据危险化学品种类的多少区分为以下两种情况：</w:t>
      </w:r>
    </w:p>
    <w:p>
      <w:pPr>
        <w:spacing w:line="500" w:lineRule="exact"/>
        <w:ind w:firstLine="560" w:firstLineChars="200"/>
        <w:rPr>
          <w:color w:val="000000" w:themeColor="text1"/>
          <w:sz w:val="28"/>
        </w:rPr>
      </w:pPr>
      <w:r>
        <w:rPr>
          <w:color w:val="000000" w:themeColor="text1"/>
          <w:sz w:val="28"/>
        </w:rPr>
        <w:t>1、生产单元、储存单元内存在的危险化学品为单一品种时，则该危险化学品的数量即为单元内危险化学品的总量，若等于或超过相应的临界量，则定为重大危险源。</w:t>
      </w:r>
    </w:p>
    <w:p>
      <w:pPr>
        <w:spacing w:line="500" w:lineRule="exact"/>
        <w:ind w:firstLine="560" w:firstLineChars="200"/>
        <w:rPr>
          <w:color w:val="000000" w:themeColor="text1"/>
          <w:sz w:val="28"/>
        </w:rPr>
      </w:pPr>
      <w:r>
        <w:rPr>
          <w:color w:val="000000" w:themeColor="text1"/>
          <w:sz w:val="28"/>
        </w:rPr>
        <w:t>2、生产单元、储存单元内存在的危险化学品为多品种时，则按下式计算，若满足下面公式，则定为重大危险源：</w:t>
      </w:r>
    </w:p>
    <w:p>
      <w:pPr>
        <w:spacing w:line="500" w:lineRule="exact"/>
        <w:ind w:firstLine="560" w:firstLineChars="200"/>
        <w:rPr>
          <w:color w:val="000000" w:themeColor="text1"/>
          <w:sz w:val="28"/>
        </w:rPr>
      </w:pPr>
      <w:r>
        <w:rPr>
          <w:color w:val="000000" w:themeColor="text1"/>
          <w:sz w:val="28"/>
        </w:rPr>
        <w:t>S=q</w:t>
      </w:r>
      <w:r>
        <w:rPr>
          <w:color w:val="000000" w:themeColor="text1"/>
          <w:sz w:val="28"/>
          <w:vertAlign w:val="subscript"/>
        </w:rPr>
        <w:t>1</w:t>
      </w:r>
      <w:r>
        <w:rPr>
          <w:color w:val="000000" w:themeColor="text1"/>
          <w:sz w:val="28"/>
        </w:rPr>
        <w:t>/Q</w:t>
      </w:r>
      <w:r>
        <w:rPr>
          <w:color w:val="000000" w:themeColor="text1"/>
          <w:sz w:val="28"/>
          <w:vertAlign w:val="subscript"/>
        </w:rPr>
        <w:t>1</w:t>
      </w:r>
      <w:r>
        <w:rPr>
          <w:color w:val="000000" w:themeColor="text1"/>
          <w:sz w:val="28"/>
        </w:rPr>
        <w:t>+q</w:t>
      </w:r>
      <w:r>
        <w:rPr>
          <w:rFonts w:hint="eastAsia"/>
          <w:color w:val="000000" w:themeColor="text1"/>
          <w:sz w:val="28"/>
          <w:vertAlign w:val="subscript"/>
        </w:rPr>
        <w:t>2</w:t>
      </w:r>
      <w:r>
        <w:rPr>
          <w:color w:val="000000" w:themeColor="text1"/>
          <w:sz w:val="28"/>
        </w:rPr>
        <w:t>/Q</w:t>
      </w:r>
      <w:r>
        <w:rPr>
          <w:color w:val="000000" w:themeColor="text1"/>
          <w:sz w:val="28"/>
          <w:vertAlign w:val="subscript"/>
        </w:rPr>
        <w:t>2</w:t>
      </w:r>
      <w:r>
        <w:rPr>
          <w:color w:val="000000" w:themeColor="text1"/>
          <w:sz w:val="28"/>
        </w:rPr>
        <w:t>+……+qn/Qn≥1</w:t>
      </w:r>
    </w:p>
    <w:p>
      <w:pPr>
        <w:spacing w:line="500" w:lineRule="exact"/>
        <w:ind w:firstLine="560" w:firstLineChars="200"/>
        <w:rPr>
          <w:color w:val="000000" w:themeColor="text1"/>
          <w:sz w:val="28"/>
        </w:rPr>
      </w:pPr>
      <w:r>
        <w:rPr>
          <w:color w:val="000000" w:themeColor="text1"/>
          <w:sz w:val="28"/>
        </w:rPr>
        <w:t>式中：S—辨识指标；</w:t>
      </w:r>
    </w:p>
    <w:p>
      <w:pPr>
        <w:spacing w:line="500" w:lineRule="exact"/>
        <w:ind w:firstLine="1400" w:firstLineChars="500"/>
        <w:rPr>
          <w:color w:val="000000" w:themeColor="text1"/>
          <w:sz w:val="28"/>
        </w:rPr>
      </w:pPr>
      <w:r>
        <w:rPr>
          <w:color w:val="000000" w:themeColor="text1"/>
          <w:sz w:val="28"/>
        </w:rPr>
        <w:t>q</w:t>
      </w:r>
      <w:r>
        <w:rPr>
          <w:color w:val="000000" w:themeColor="text1"/>
          <w:sz w:val="28"/>
          <w:vertAlign w:val="subscript"/>
        </w:rPr>
        <w:t>1</w:t>
      </w:r>
      <w:r>
        <w:rPr>
          <w:color w:val="000000" w:themeColor="text1"/>
          <w:sz w:val="28"/>
        </w:rPr>
        <w:t>，q</w:t>
      </w:r>
      <w:r>
        <w:rPr>
          <w:color w:val="000000" w:themeColor="text1"/>
          <w:sz w:val="28"/>
          <w:vertAlign w:val="subscript"/>
        </w:rPr>
        <w:t>2</w:t>
      </w:r>
      <w:r>
        <w:rPr>
          <w:color w:val="000000" w:themeColor="text1"/>
          <w:sz w:val="28"/>
        </w:rPr>
        <w:t>……q</w:t>
      </w:r>
      <w:r>
        <w:rPr>
          <w:color w:val="000000" w:themeColor="text1"/>
          <w:sz w:val="28"/>
          <w:vertAlign w:val="subscript"/>
        </w:rPr>
        <w:t>n</w:t>
      </w:r>
      <w:r>
        <w:rPr>
          <w:color w:val="000000" w:themeColor="text1"/>
          <w:sz w:val="28"/>
        </w:rPr>
        <w:t>—每种危险化学品实际存在量，t。</w:t>
      </w:r>
    </w:p>
    <w:p>
      <w:pPr>
        <w:spacing w:line="500" w:lineRule="exact"/>
        <w:ind w:firstLine="1400" w:firstLineChars="500"/>
        <w:rPr>
          <w:color w:val="000000" w:themeColor="text1"/>
          <w:sz w:val="28"/>
        </w:rPr>
      </w:pPr>
      <w:r>
        <w:rPr>
          <w:color w:val="000000" w:themeColor="text1"/>
          <w:sz w:val="28"/>
        </w:rPr>
        <w:t>Q</w:t>
      </w:r>
      <w:r>
        <w:rPr>
          <w:color w:val="000000" w:themeColor="text1"/>
          <w:sz w:val="28"/>
          <w:vertAlign w:val="subscript"/>
        </w:rPr>
        <w:t>1</w:t>
      </w:r>
      <w:r>
        <w:rPr>
          <w:color w:val="000000" w:themeColor="text1"/>
          <w:sz w:val="28"/>
        </w:rPr>
        <w:t>，Q</w:t>
      </w:r>
      <w:r>
        <w:rPr>
          <w:color w:val="000000" w:themeColor="text1"/>
          <w:sz w:val="28"/>
          <w:vertAlign w:val="subscript"/>
        </w:rPr>
        <w:t>2</w:t>
      </w:r>
      <w:r>
        <w:rPr>
          <w:color w:val="000000" w:themeColor="text1"/>
          <w:sz w:val="28"/>
        </w:rPr>
        <w:t>……Qn—与每种危险化学品相对应的临界量，t。</w:t>
      </w:r>
    </w:p>
    <w:p>
      <w:pPr>
        <w:pStyle w:val="19"/>
        <w:spacing w:afterLines="100" w:line="500" w:lineRule="exact"/>
        <w:rPr>
          <w:rFonts w:ascii="黑体" w:hAnsi="宋体" w:eastAsia="黑体"/>
          <w:color w:val="000000" w:themeColor="text1"/>
          <w:kern w:val="3"/>
          <w:sz w:val="28"/>
          <w:szCs w:val="28"/>
        </w:rPr>
      </w:pPr>
      <w:bookmarkStart w:id="1350" w:name="_Toc31330"/>
      <w:bookmarkStart w:id="1351" w:name="_Toc23666"/>
      <w:bookmarkStart w:id="1352" w:name="_Toc3326"/>
      <w:bookmarkStart w:id="1353" w:name="_Toc5016"/>
      <w:r>
        <w:rPr>
          <w:rFonts w:hint="eastAsia" w:ascii="黑体" w:hAnsi="宋体" w:eastAsia="黑体"/>
          <w:color w:val="000000" w:themeColor="text1"/>
          <w:kern w:val="3"/>
          <w:sz w:val="28"/>
          <w:szCs w:val="28"/>
        </w:rPr>
        <w:t>3.8.2 重大危险源辨识过程</w:t>
      </w:r>
      <w:bookmarkEnd w:id="1350"/>
      <w:bookmarkEnd w:id="1351"/>
      <w:bookmarkEnd w:id="1352"/>
      <w:bookmarkEnd w:id="1353"/>
    </w:p>
    <w:p>
      <w:pPr>
        <w:adjustRightInd w:val="0"/>
        <w:snapToGrid w:val="0"/>
        <w:spacing w:line="500" w:lineRule="exact"/>
        <w:ind w:firstLine="560" w:firstLineChars="200"/>
        <w:rPr>
          <w:color w:val="000000" w:themeColor="text1"/>
          <w:sz w:val="28"/>
          <w:szCs w:val="28"/>
        </w:rPr>
      </w:pPr>
      <w:r>
        <w:rPr>
          <w:color w:val="000000" w:themeColor="text1"/>
          <w:sz w:val="28"/>
          <w:szCs w:val="28"/>
        </w:rPr>
        <w:t>根据该公司各储存区的实际情况，将甲醇储罐区划分为一个单元进行重大危险源辨识。该公司经营储存过程中涉及的危险化学品只有甲醇。根据《危险化学品重大危险源辨识》（GB18218-</w:t>
      </w:r>
      <w:r>
        <w:rPr>
          <w:rFonts w:hint="eastAsia"/>
          <w:color w:val="000000" w:themeColor="text1"/>
          <w:sz w:val="28"/>
          <w:szCs w:val="28"/>
        </w:rPr>
        <w:t>2018</w:t>
      </w:r>
      <w:r>
        <w:rPr>
          <w:color w:val="000000" w:themeColor="text1"/>
          <w:sz w:val="28"/>
          <w:szCs w:val="28"/>
        </w:rPr>
        <w:t>）中的规定：甲醇的临界量为500t。公司甲醇储罐设计容量为</w:t>
      </w:r>
      <w:r>
        <w:rPr>
          <w:rFonts w:hint="eastAsia"/>
          <w:color w:val="000000" w:themeColor="text1"/>
          <w:sz w:val="28"/>
          <w:szCs w:val="28"/>
        </w:rPr>
        <w:t>8</w:t>
      </w:r>
      <w:r>
        <w:rPr>
          <w:color w:val="000000" w:themeColor="text1"/>
          <w:sz w:val="28"/>
          <w:szCs w:val="28"/>
        </w:rPr>
        <w:t>0m</w:t>
      </w:r>
      <w:r>
        <w:rPr>
          <w:color w:val="000000" w:themeColor="text1"/>
          <w:sz w:val="28"/>
          <w:szCs w:val="28"/>
          <w:vertAlign w:val="superscript"/>
        </w:rPr>
        <w:t>3</w:t>
      </w:r>
      <w:r>
        <w:rPr>
          <w:color w:val="000000" w:themeColor="text1"/>
          <w:sz w:val="28"/>
          <w:szCs w:val="28"/>
        </w:rPr>
        <w:t>，所以最大储量约</w:t>
      </w:r>
      <w:r>
        <w:rPr>
          <w:rFonts w:hint="eastAsia"/>
          <w:color w:val="000000" w:themeColor="text1"/>
          <w:sz w:val="28"/>
          <w:szCs w:val="28"/>
        </w:rPr>
        <w:t>63.2</w:t>
      </w:r>
      <w:r>
        <w:rPr>
          <w:color w:val="000000" w:themeColor="text1"/>
          <w:sz w:val="28"/>
          <w:szCs w:val="28"/>
        </w:rPr>
        <w:t>3吨。</w:t>
      </w:r>
    </w:p>
    <w:p>
      <w:pPr>
        <w:spacing w:line="500" w:lineRule="exact"/>
        <w:ind w:firstLine="560" w:firstLineChars="200"/>
        <w:rPr>
          <w:rFonts w:eastAsia="黑体"/>
          <w:b/>
          <w:bCs/>
          <w:snapToGrid w:val="0"/>
          <w:color w:val="000000" w:themeColor="text1"/>
          <w:kern w:val="0"/>
          <w:sz w:val="32"/>
          <w:szCs w:val="32"/>
        </w:rPr>
      </w:pPr>
      <w:r>
        <w:rPr>
          <w:color w:val="000000" w:themeColor="text1"/>
          <w:sz w:val="28"/>
        </w:rPr>
        <w:t>S=q</w:t>
      </w:r>
      <w:r>
        <w:rPr>
          <w:color w:val="000000" w:themeColor="text1"/>
          <w:sz w:val="28"/>
          <w:vertAlign w:val="subscript"/>
        </w:rPr>
        <w:t>1</w:t>
      </w:r>
      <w:r>
        <w:rPr>
          <w:color w:val="000000" w:themeColor="text1"/>
          <w:sz w:val="28"/>
        </w:rPr>
        <w:t>/Q</w:t>
      </w:r>
      <w:r>
        <w:rPr>
          <w:color w:val="000000" w:themeColor="text1"/>
          <w:sz w:val="28"/>
          <w:vertAlign w:val="subscript"/>
        </w:rPr>
        <w:t>1</w:t>
      </w:r>
      <w:r>
        <w:rPr>
          <w:color w:val="000000" w:themeColor="text1"/>
          <w:sz w:val="28"/>
        </w:rPr>
        <w:t>=</w:t>
      </w:r>
      <w:r>
        <w:rPr>
          <w:rFonts w:hint="eastAsia"/>
          <w:color w:val="000000" w:themeColor="text1"/>
          <w:sz w:val="28"/>
        </w:rPr>
        <w:t>63.2</w:t>
      </w:r>
      <w:r>
        <w:rPr>
          <w:color w:val="000000" w:themeColor="text1"/>
          <w:sz w:val="28"/>
        </w:rPr>
        <w:t>t/500t=0.</w:t>
      </w:r>
      <w:r>
        <w:rPr>
          <w:rFonts w:hint="eastAsia"/>
          <w:color w:val="000000" w:themeColor="text1"/>
          <w:sz w:val="28"/>
        </w:rPr>
        <w:t>126</w:t>
      </w:r>
      <w:r>
        <w:rPr>
          <w:color w:val="000000" w:themeColor="text1"/>
          <w:sz w:val="28"/>
        </w:rPr>
        <w:t>&lt;1，因此不构成重大危险源。</w:t>
      </w:r>
    </w:p>
    <w:p>
      <w:pPr>
        <w:pStyle w:val="19"/>
        <w:spacing w:afterLines="100" w:line="500" w:lineRule="exact"/>
        <w:rPr>
          <w:rFonts w:ascii="黑体" w:hAnsi="宋体" w:eastAsia="黑体"/>
          <w:color w:val="000000" w:themeColor="text1"/>
          <w:kern w:val="3"/>
          <w:sz w:val="28"/>
          <w:szCs w:val="28"/>
        </w:rPr>
      </w:pPr>
      <w:bookmarkStart w:id="1354" w:name="_Toc13030"/>
      <w:bookmarkStart w:id="1355" w:name="_Toc286493605"/>
      <w:bookmarkStart w:id="1356" w:name="_Toc345765782"/>
      <w:bookmarkStart w:id="1357" w:name="_Toc11947"/>
      <w:bookmarkStart w:id="1358" w:name="_Toc12838"/>
      <w:bookmarkStart w:id="1359" w:name="_Toc17103"/>
      <w:bookmarkStart w:id="1360" w:name="_Toc18304"/>
      <w:bookmarkStart w:id="1361" w:name="_Toc9912"/>
      <w:bookmarkStart w:id="1362" w:name="_Toc15489"/>
      <w:bookmarkStart w:id="1363" w:name="_Toc14952"/>
      <w:bookmarkStart w:id="1364" w:name="_Toc32038"/>
      <w:bookmarkStart w:id="1365" w:name="_Toc2205"/>
      <w:bookmarkStart w:id="1366" w:name="_Toc20826"/>
      <w:r>
        <w:rPr>
          <w:rFonts w:hint="eastAsia" w:ascii="黑体" w:hAnsi="宋体" w:eastAsia="黑体"/>
          <w:color w:val="000000" w:themeColor="text1"/>
          <w:kern w:val="3"/>
          <w:sz w:val="28"/>
          <w:szCs w:val="28"/>
        </w:rPr>
        <w:t>3.8.3重大危险源辨识</w:t>
      </w:r>
      <w:bookmarkEnd w:id="1345"/>
      <w:bookmarkEnd w:id="1346"/>
      <w:bookmarkEnd w:id="1347"/>
      <w:bookmarkEnd w:id="1348"/>
      <w:bookmarkEnd w:id="1349"/>
      <w:bookmarkEnd w:id="1354"/>
      <w:bookmarkEnd w:id="1355"/>
      <w:bookmarkEnd w:id="1356"/>
      <w:r>
        <w:rPr>
          <w:rFonts w:hint="eastAsia" w:ascii="黑体" w:hAnsi="宋体" w:eastAsia="黑体"/>
          <w:color w:val="000000" w:themeColor="text1"/>
          <w:kern w:val="3"/>
          <w:sz w:val="28"/>
          <w:szCs w:val="28"/>
        </w:rPr>
        <w:t>结果</w:t>
      </w:r>
      <w:bookmarkEnd w:id="1357"/>
      <w:bookmarkEnd w:id="1358"/>
      <w:bookmarkEnd w:id="1359"/>
      <w:bookmarkEnd w:id="1360"/>
      <w:bookmarkEnd w:id="1361"/>
      <w:bookmarkEnd w:id="1362"/>
      <w:bookmarkEnd w:id="1363"/>
      <w:bookmarkEnd w:id="1364"/>
      <w:bookmarkEnd w:id="1365"/>
      <w:bookmarkEnd w:id="1366"/>
    </w:p>
    <w:p>
      <w:pPr>
        <w:spacing w:line="500" w:lineRule="exact"/>
        <w:ind w:firstLine="560" w:firstLineChars="200"/>
        <w:rPr>
          <w:color w:val="000000" w:themeColor="text1"/>
          <w:kern w:val="0"/>
          <w:sz w:val="28"/>
          <w:szCs w:val="28"/>
        </w:rPr>
      </w:pPr>
      <w:bookmarkStart w:id="1367" w:name="_Toc28730"/>
      <w:bookmarkStart w:id="1368" w:name="_Toc65402827"/>
      <w:bookmarkStart w:id="1369" w:name="_Toc67207613"/>
      <w:bookmarkStart w:id="1370" w:name="_Toc83198743"/>
      <w:bookmarkStart w:id="1371" w:name="_Toc65405766"/>
      <w:bookmarkStart w:id="1372" w:name="_Toc191729738"/>
      <w:bookmarkStart w:id="1373" w:name="_Toc101443039"/>
      <w:bookmarkStart w:id="1374" w:name="_Toc64780997"/>
      <w:bookmarkStart w:id="1375" w:name="_Toc208398736"/>
      <w:bookmarkStart w:id="1376" w:name="_Toc81898525"/>
      <w:bookmarkStart w:id="1377" w:name="_Toc191728178"/>
      <w:bookmarkStart w:id="1378" w:name="_Toc64879179"/>
      <w:bookmarkStart w:id="1379" w:name="_Toc194389941"/>
      <w:bookmarkStart w:id="1380" w:name="_Toc66067408"/>
      <w:bookmarkStart w:id="1381" w:name="_Toc89097954"/>
      <w:r>
        <w:rPr>
          <w:color w:val="000000" w:themeColor="text1"/>
          <w:kern w:val="0"/>
          <w:sz w:val="28"/>
          <w:szCs w:val="20"/>
        </w:rPr>
        <w:t>由以上辨识可知：</w:t>
      </w:r>
      <w:r>
        <w:rPr>
          <w:color w:val="000000" w:themeColor="text1"/>
          <w:sz w:val="28"/>
        </w:rPr>
        <w:t>根据《危险化学品重大危险源辨识》（GB18218-2018）辨识，</w:t>
      </w:r>
      <w:r>
        <w:rPr>
          <w:color w:val="000000" w:themeColor="text1"/>
          <w:kern w:val="0"/>
          <w:sz w:val="28"/>
          <w:szCs w:val="28"/>
        </w:rPr>
        <w:t>该项目不构成危险化学品重大危险源。</w:t>
      </w:r>
    </w:p>
    <w:p>
      <w:pPr>
        <w:pStyle w:val="19"/>
        <w:spacing w:afterLines="100" w:line="500" w:lineRule="exact"/>
        <w:jc w:val="center"/>
        <w:rPr>
          <w:rFonts w:ascii="楷体_GB2312" w:hAnsi="宋体" w:eastAsia="楷体_GB2312"/>
          <w:color w:val="000000" w:themeColor="text1"/>
          <w:kern w:val="3"/>
        </w:rPr>
      </w:pPr>
      <w:bookmarkStart w:id="1382" w:name="_Toc16956"/>
      <w:bookmarkStart w:id="1383" w:name="_Toc24712"/>
      <w:bookmarkStart w:id="1384" w:name="_Toc2401"/>
      <w:bookmarkStart w:id="1385" w:name="_Toc4047"/>
      <w:bookmarkStart w:id="1386" w:name="_Toc14614"/>
      <w:bookmarkStart w:id="1387" w:name="_Toc14382"/>
      <w:bookmarkStart w:id="1388" w:name="_Toc20622"/>
      <w:bookmarkStart w:id="1389" w:name="_Toc17581"/>
      <w:bookmarkStart w:id="1390" w:name="_Toc11374"/>
      <w:bookmarkStart w:id="1391" w:name="_Toc10606"/>
      <w:bookmarkStart w:id="1392" w:name="_Toc6927"/>
      <w:bookmarkStart w:id="1393" w:name="_Toc13223"/>
      <w:bookmarkStart w:id="1394" w:name="_Toc19219"/>
      <w:bookmarkStart w:id="1395" w:name="_Toc8232"/>
      <w:bookmarkStart w:id="1396" w:name="_Toc6367"/>
      <w:bookmarkStart w:id="1397" w:name="_Toc17971_WPSOffice_Level2"/>
      <w:r>
        <w:rPr>
          <w:rFonts w:hint="eastAsia" w:ascii="楷体_GB2312" w:hAnsi="宋体" w:eastAsia="楷体_GB2312"/>
          <w:color w:val="000000" w:themeColor="text1"/>
          <w:kern w:val="3"/>
        </w:rPr>
        <w:t>3.9事故案例分析</w:t>
      </w:r>
      <w:bookmarkEnd w:id="1367"/>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p>
    <w:p>
      <w:pPr>
        <w:pStyle w:val="19"/>
        <w:spacing w:afterLines="100" w:line="500" w:lineRule="exact"/>
        <w:rPr>
          <w:rFonts w:ascii="黑体" w:hAnsi="宋体" w:eastAsia="黑体"/>
          <w:color w:val="000000" w:themeColor="text1"/>
          <w:kern w:val="3"/>
          <w:sz w:val="28"/>
          <w:szCs w:val="28"/>
        </w:rPr>
      </w:pPr>
      <w:bookmarkStart w:id="1398" w:name="_Toc8953"/>
      <w:bookmarkStart w:id="1399" w:name="_Toc4268"/>
      <w:bookmarkStart w:id="1400" w:name="_Toc31261"/>
      <w:bookmarkStart w:id="1401" w:name="_Toc15000"/>
      <w:bookmarkStart w:id="1402" w:name="_Toc15580"/>
      <w:bookmarkStart w:id="1403" w:name="_Toc12243"/>
      <w:bookmarkStart w:id="1404" w:name="_Toc17801"/>
      <w:bookmarkStart w:id="1405" w:name="_Toc7490"/>
      <w:bookmarkStart w:id="1406" w:name="_Toc9256"/>
      <w:bookmarkStart w:id="1407" w:name="_Toc15578"/>
      <w:r>
        <w:rPr>
          <w:rFonts w:hint="eastAsia" w:ascii="黑体" w:hAnsi="宋体" w:eastAsia="黑体"/>
          <w:color w:val="000000" w:themeColor="text1"/>
          <w:kern w:val="3"/>
          <w:sz w:val="28"/>
          <w:szCs w:val="28"/>
        </w:rPr>
        <w:t>3.9.1甲醇储罐火灾事故案例</w:t>
      </w:r>
      <w:bookmarkEnd w:id="1398"/>
      <w:bookmarkEnd w:id="1399"/>
      <w:bookmarkEnd w:id="1400"/>
      <w:bookmarkEnd w:id="1401"/>
      <w:bookmarkEnd w:id="1402"/>
      <w:bookmarkEnd w:id="1403"/>
      <w:bookmarkEnd w:id="1404"/>
      <w:bookmarkEnd w:id="1405"/>
      <w:bookmarkEnd w:id="1406"/>
      <w:bookmarkEnd w:id="1407"/>
    </w:p>
    <w:p>
      <w:pPr>
        <w:snapToGrid w:val="0"/>
        <w:spacing w:line="500" w:lineRule="exact"/>
        <w:ind w:firstLine="562" w:firstLineChars="200"/>
        <w:rPr>
          <w:rFonts w:eastAsiaTheme="minorEastAsia"/>
          <w:b/>
          <w:snapToGrid w:val="0"/>
          <w:color w:val="000000" w:themeColor="text1"/>
          <w:sz w:val="28"/>
          <w:szCs w:val="28"/>
        </w:rPr>
      </w:pPr>
      <w:bookmarkStart w:id="1408" w:name="_Toc7889"/>
      <w:r>
        <w:rPr>
          <w:rFonts w:eastAsiaTheme="minorEastAsia"/>
          <w:b/>
          <w:snapToGrid w:val="0"/>
          <w:color w:val="000000" w:themeColor="text1"/>
          <w:sz w:val="28"/>
          <w:szCs w:val="28"/>
        </w:rPr>
        <w:t>1</w:t>
      </w:r>
      <w:r>
        <w:rPr>
          <w:rFonts w:hint="eastAsia" w:eastAsiaTheme="minorEastAsia"/>
          <w:b/>
          <w:snapToGrid w:val="0"/>
          <w:color w:val="000000" w:themeColor="text1"/>
          <w:sz w:val="28"/>
          <w:szCs w:val="28"/>
        </w:rPr>
        <w:t>.</w:t>
      </w:r>
      <w:r>
        <w:rPr>
          <w:rFonts w:eastAsiaTheme="minorEastAsia"/>
          <w:b/>
          <w:snapToGrid w:val="0"/>
          <w:color w:val="000000" w:themeColor="text1"/>
          <w:sz w:val="28"/>
          <w:szCs w:val="28"/>
        </w:rPr>
        <w:t>事故概况</w:t>
      </w:r>
      <w:bookmarkEnd w:id="1408"/>
    </w:p>
    <w:p>
      <w:pPr>
        <w:snapToGrid w:val="0"/>
        <w:spacing w:line="500" w:lineRule="exact"/>
        <w:ind w:firstLine="560" w:firstLineChars="200"/>
        <w:rPr>
          <w:rFonts w:eastAsiaTheme="minorEastAsia"/>
          <w:snapToGrid w:val="0"/>
          <w:color w:val="000000" w:themeColor="text1"/>
          <w:sz w:val="28"/>
          <w:szCs w:val="28"/>
        </w:rPr>
      </w:pPr>
      <w:r>
        <w:rPr>
          <w:rFonts w:eastAsiaTheme="minorEastAsia"/>
          <w:snapToGrid w:val="0"/>
          <w:color w:val="000000" w:themeColor="text1"/>
          <w:sz w:val="28"/>
          <w:szCs w:val="28"/>
        </w:rPr>
        <w:t>2008年8月2日，贵州兴化化工有限责任公司甲醇储罐发生爆炸燃烧事故，事故造成在现场的施工人员3人死亡，2人受伤(其中1人严重烧伤)，6个储罐被摧毁。事故发生后，黔西南州、兴义市政府及相关部门立即开展事故应急救援工作，控制了事故的进一步蔓延。据当地环保部门监测，事故未对环境造成景响，但该事故发生在奥运前夕，影响十分恶劣。</w:t>
      </w:r>
    </w:p>
    <w:p>
      <w:pPr>
        <w:snapToGrid w:val="0"/>
        <w:spacing w:line="500" w:lineRule="exact"/>
        <w:ind w:firstLine="562" w:firstLineChars="200"/>
        <w:rPr>
          <w:rFonts w:eastAsiaTheme="minorEastAsia"/>
          <w:b/>
          <w:snapToGrid w:val="0"/>
          <w:color w:val="000000" w:themeColor="text1"/>
          <w:sz w:val="28"/>
          <w:szCs w:val="28"/>
        </w:rPr>
      </w:pPr>
      <w:bookmarkStart w:id="1409" w:name="_Toc26391"/>
      <w:r>
        <w:rPr>
          <w:rFonts w:eastAsiaTheme="minorEastAsia"/>
          <w:b/>
          <w:snapToGrid w:val="0"/>
          <w:color w:val="000000" w:themeColor="text1"/>
          <w:sz w:val="28"/>
          <w:szCs w:val="28"/>
        </w:rPr>
        <w:t>2</w:t>
      </w:r>
      <w:r>
        <w:rPr>
          <w:rFonts w:hint="eastAsia" w:eastAsiaTheme="minorEastAsia"/>
          <w:b/>
          <w:snapToGrid w:val="0"/>
          <w:color w:val="000000" w:themeColor="text1"/>
          <w:sz w:val="28"/>
          <w:szCs w:val="28"/>
        </w:rPr>
        <w:t>.</w:t>
      </w:r>
      <w:r>
        <w:rPr>
          <w:rFonts w:eastAsiaTheme="minorEastAsia"/>
          <w:b/>
          <w:snapToGrid w:val="0"/>
          <w:color w:val="000000" w:themeColor="text1"/>
          <w:sz w:val="28"/>
          <w:szCs w:val="28"/>
        </w:rPr>
        <w:t>事故原因</w:t>
      </w:r>
      <w:bookmarkEnd w:id="1409"/>
    </w:p>
    <w:p>
      <w:pPr>
        <w:snapToGrid w:val="0"/>
        <w:spacing w:line="500" w:lineRule="exact"/>
        <w:ind w:firstLine="560" w:firstLineChars="200"/>
        <w:rPr>
          <w:rFonts w:eastAsiaTheme="minorEastAsia"/>
          <w:snapToGrid w:val="0"/>
          <w:color w:val="000000" w:themeColor="text1"/>
          <w:sz w:val="28"/>
          <w:szCs w:val="28"/>
        </w:rPr>
      </w:pPr>
      <w:r>
        <w:rPr>
          <w:rFonts w:eastAsiaTheme="minorEastAsia"/>
          <w:snapToGrid w:val="0"/>
          <w:color w:val="000000" w:themeColor="text1"/>
          <w:sz w:val="28"/>
          <w:szCs w:val="28"/>
        </w:rPr>
        <w:t>(1)施工单位缺乏化工安全的基本知识，施工中严重违规违章作业。施工人员在未对储罐进行必要的安全处置的情况下，违规将精甲醇C罐顶部备用短接打开与二氧化碳管道进行连接配管，造成罐体内部通过管道与大气直接连通。同时又严重违规违章在罐旁进行电焊等动火作业，没有严格履行安全操作规程和动火作业审批程序，最终引发事故。</w:t>
      </w:r>
    </w:p>
    <w:p>
      <w:pPr>
        <w:snapToGrid w:val="0"/>
        <w:spacing w:line="500" w:lineRule="exact"/>
        <w:ind w:firstLine="560" w:firstLineChars="200"/>
        <w:rPr>
          <w:rFonts w:eastAsiaTheme="minorEastAsia"/>
          <w:snapToGrid w:val="0"/>
          <w:color w:val="000000" w:themeColor="text1"/>
          <w:sz w:val="28"/>
          <w:szCs w:val="28"/>
        </w:rPr>
      </w:pPr>
      <w:r>
        <w:rPr>
          <w:rFonts w:eastAsiaTheme="minorEastAsia"/>
          <w:snapToGrid w:val="0"/>
          <w:color w:val="000000" w:themeColor="text1"/>
          <w:sz w:val="28"/>
          <w:szCs w:val="28"/>
        </w:rPr>
        <w:t>(2)企业安全生产主体责任不落实。对施工作业管理不到位，在施工单位资质已过期的情况下，企业仍委托其进行施工作业;对外来施工单位的管理、监督不到位，现场管理混乱，生产、施工交叉作业没有统一的指挥、协调，危险区域内的施工作业现场无任何安全措施，管理人员和操作人员对施工单位的违规违章行为熟视无睹，未及时制正、纠正;对外来施工单位的培训教育不到位，施工人员不清楚作业场所危害的基本安全知识。</w:t>
      </w:r>
      <w:r>
        <w:rPr>
          <w:rFonts w:eastAsiaTheme="minorEastAsia"/>
          <w:snapToGrid w:val="0"/>
          <w:color w:val="000000" w:themeColor="text1"/>
          <w:sz w:val="28"/>
          <w:szCs w:val="28"/>
        </w:rPr>
        <w:br w:type="textWrapping"/>
      </w:r>
      <w:r>
        <w:rPr>
          <w:rFonts w:eastAsiaTheme="minorEastAsia"/>
          <w:snapToGrid w:val="0"/>
          <w:color w:val="000000" w:themeColor="text1"/>
          <w:sz w:val="28"/>
          <w:szCs w:val="28"/>
        </w:rPr>
        <w:t xml:space="preserve">    (3)地方安全生产监管部门的监管工作有待加强。虽然经过百日安全督查，安全生产监管部门对企业存在的管理混乱、严重违规违章等行为未能及时发现、处理。地方安监部门应加强监管，将各项监管措施落实到位。</w:t>
      </w:r>
    </w:p>
    <w:p>
      <w:pPr>
        <w:snapToGrid w:val="0"/>
        <w:spacing w:line="500" w:lineRule="exact"/>
        <w:ind w:firstLine="562" w:firstLineChars="200"/>
        <w:rPr>
          <w:rFonts w:eastAsiaTheme="minorEastAsia"/>
          <w:b/>
          <w:snapToGrid w:val="0"/>
          <w:color w:val="000000" w:themeColor="text1"/>
          <w:sz w:val="28"/>
          <w:szCs w:val="28"/>
        </w:rPr>
      </w:pPr>
      <w:bookmarkStart w:id="1410" w:name="_Toc2055"/>
      <w:r>
        <w:rPr>
          <w:rFonts w:eastAsiaTheme="minorEastAsia"/>
          <w:b/>
          <w:snapToGrid w:val="0"/>
          <w:color w:val="000000" w:themeColor="text1"/>
          <w:sz w:val="28"/>
          <w:szCs w:val="28"/>
        </w:rPr>
        <w:t>3</w:t>
      </w:r>
      <w:r>
        <w:rPr>
          <w:rFonts w:hint="eastAsia" w:eastAsiaTheme="minorEastAsia"/>
          <w:b/>
          <w:snapToGrid w:val="0"/>
          <w:color w:val="000000" w:themeColor="text1"/>
          <w:sz w:val="28"/>
          <w:szCs w:val="28"/>
        </w:rPr>
        <w:t>.</w:t>
      </w:r>
      <w:r>
        <w:rPr>
          <w:rFonts w:eastAsiaTheme="minorEastAsia"/>
          <w:b/>
          <w:snapToGrid w:val="0"/>
          <w:color w:val="000000" w:themeColor="text1"/>
          <w:sz w:val="28"/>
          <w:szCs w:val="28"/>
        </w:rPr>
        <w:t>事故教训</w:t>
      </w:r>
      <w:bookmarkEnd w:id="1410"/>
    </w:p>
    <w:p>
      <w:pPr>
        <w:snapToGrid w:val="0"/>
        <w:spacing w:line="500" w:lineRule="exact"/>
        <w:ind w:firstLine="560" w:firstLineChars="200"/>
        <w:rPr>
          <w:rFonts w:eastAsiaTheme="minorEastAsia"/>
          <w:snapToGrid w:val="0"/>
          <w:color w:val="000000" w:themeColor="text1"/>
          <w:sz w:val="28"/>
          <w:szCs w:val="28"/>
        </w:rPr>
      </w:pPr>
      <w:r>
        <w:rPr>
          <w:rFonts w:eastAsiaTheme="minorEastAsia"/>
          <w:snapToGrid w:val="0"/>
          <w:color w:val="000000" w:themeColor="text1"/>
          <w:sz w:val="28"/>
          <w:szCs w:val="28"/>
        </w:rPr>
        <w:t>(1)切实加强对危险化学品生产、储存场所施工作业的安全监管，对施工单位资质不符合要求、作业现场安全措施不到位、作业人员不清楚作业现场危害以及存在严重违规违章行为的施工作业要立即责令立即停工整顿并进行处罚。</w:t>
      </w:r>
    </w:p>
    <w:p>
      <w:pPr>
        <w:snapToGrid w:val="0"/>
        <w:spacing w:line="500" w:lineRule="exact"/>
        <w:ind w:firstLine="560" w:firstLineChars="200"/>
        <w:rPr>
          <w:rFonts w:eastAsiaTheme="minorEastAsia"/>
          <w:snapToGrid w:val="0"/>
          <w:color w:val="000000" w:themeColor="text1"/>
          <w:sz w:val="28"/>
          <w:szCs w:val="28"/>
        </w:rPr>
      </w:pPr>
      <w:r>
        <w:rPr>
          <w:rFonts w:eastAsiaTheme="minorEastAsia"/>
          <w:snapToGrid w:val="0"/>
          <w:color w:val="000000" w:themeColor="text1"/>
          <w:sz w:val="28"/>
          <w:szCs w:val="28"/>
        </w:rPr>
        <w:t>(2)督促、监督企业加强对外来施工单位的管理，确保企业对外来施工单位的教育培训到位;危险区域施工现场的管理、监督到位;交叉作业的统一管理到位;动火、入罐、进入受限空间作业等危险作业的票证管理制度落实到位;危险区域施工作业的各项安全措旅落实到位。对管理措施不到位的企业，要责令停止建设，并给予处罚。</w:t>
      </w:r>
    </w:p>
    <w:p>
      <w:pPr>
        <w:snapToGrid w:val="0"/>
        <w:spacing w:line="500" w:lineRule="exact"/>
        <w:ind w:firstLine="560" w:firstLineChars="200"/>
        <w:rPr>
          <w:rFonts w:eastAsiaTheme="minorEastAsia"/>
          <w:snapToGrid w:val="0"/>
          <w:color w:val="000000" w:themeColor="text1"/>
          <w:sz w:val="28"/>
          <w:szCs w:val="28"/>
        </w:rPr>
      </w:pPr>
      <w:r>
        <w:rPr>
          <w:rFonts w:eastAsiaTheme="minorEastAsia"/>
          <w:snapToGrid w:val="0"/>
          <w:color w:val="000000" w:themeColor="text1"/>
          <w:sz w:val="28"/>
          <w:szCs w:val="28"/>
        </w:rPr>
        <w:t>(3)各地要立即将本通报转发辖区内危险化学品从业单位和各级监管部门，督促企业认真吸取事故教训，组织企业立即开展全面的自查自纠，对自查自纠工作不落实、走过场的企业，要加大处罚力度，切实消除安全隐患。</w:t>
      </w:r>
    </w:p>
    <w:p>
      <w:pPr>
        <w:snapToGrid w:val="0"/>
        <w:spacing w:line="500" w:lineRule="exact"/>
        <w:ind w:firstLine="560" w:firstLineChars="200"/>
        <w:rPr>
          <w:rFonts w:eastAsiaTheme="minorEastAsia"/>
          <w:snapToGrid w:val="0"/>
          <w:color w:val="000000" w:themeColor="text1"/>
          <w:sz w:val="28"/>
          <w:szCs w:val="28"/>
        </w:rPr>
      </w:pPr>
      <w:r>
        <w:rPr>
          <w:rFonts w:eastAsiaTheme="minorEastAsia"/>
          <w:snapToGrid w:val="0"/>
          <w:color w:val="000000" w:themeColor="text1"/>
          <w:sz w:val="28"/>
          <w:szCs w:val="28"/>
        </w:rPr>
        <w:t>(4)各级安监部门要切实加强对危险化学品企业的监管，确保安全生产隐患排查治理专项行动和百日督查专项行动的各项要求落实到位，确保安全监管主体责任落实到位。</w:t>
      </w:r>
    </w:p>
    <w:p>
      <w:pPr>
        <w:snapToGrid w:val="0"/>
        <w:spacing w:line="500" w:lineRule="exact"/>
        <w:ind w:firstLine="560" w:firstLineChars="200"/>
        <w:rPr>
          <w:rFonts w:eastAsiaTheme="minorEastAsia"/>
          <w:snapToGrid w:val="0"/>
          <w:color w:val="000000" w:themeColor="text1"/>
          <w:sz w:val="28"/>
          <w:szCs w:val="28"/>
        </w:rPr>
      </w:pPr>
      <w:r>
        <w:rPr>
          <w:rFonts w:eastAsiaTheme="minorEastAsia"/>
          <w:snapToGrid w:val="0"/>
          <w:color w:val="000000" w:themeColor="text1"/>
          <w:sz w:val="28"/>
          <w:szCs w:val="28"/>
        </w:rPr>
        <w:t>(5)企业应加强对从业人员的安全培训工作，增强员工安全意识，安全知识，以及应急能力。</w:t>
      </w:r>
    </w:p>
    <w:p>
      <w:pPr>
        <w:snapToGrid w:val="0"/>
        <w:spacing w:line="500" w:lineRule="exact"/>
        <w:ind w:firstLine="560" w:firstLineChars="200"/>
        <w:rPr>
          <w:rFonts w:eastAsiaTheme="minorEastAsia"/>
          <w:snapToGrid w:val="0"/>
          <w:color w:val="000000" w:themeColor="text1"/>
          <w:sz w:val="28"/>
          <w:szCs w:val="28"/>
        </w:rPr>
      </w:pPr>
      <w:r>
        <w:rPr>
          <w:rFonts w:eastAsiaTheme="minorEastAsia"/>
          <w:snapToGrid w:val="0"/>
          <w:color w:val="000000" w:themeColor="text1"/>
          <w:sz w:val="28"/>
          <w:szCs w:val="28"/>
        </w:rPr>
        <w:t>(6)加强对外来施工人员的培训教育工作，选择有资质的施工单位来进行施工工作，严格外来施工单位资质审查。</w:t>
      </w:r>
    </w:p>
    <w:p>
      <w:pPr>
        <w:pStyle w:val="19"/>
        <w:spacing w:afterLines="100" w:line="500" w:lineRule="exact"/>
        <w:rPr>
          <w:rFonts w:ascii="黑体" w:hAnsi="宋体" w:eastAsia="黑体"/>
          <w:color w:val="000000" w:themeColor="text1"/>
          <w:kern w:val="3"/>
          <w:sz w:val="28"/>
          <w:szCs w:val="28"/>
        </w:rPr>
      </w:pPr>
      <w:bookmarkStart w:id="1411" w:name="_Toc28902"/>
      <w:bookmarkStart w:id="1412" w:name="_Toc8448"/>
      <w:bookmarkStart w:id="1413" w:name="_Toc2620"/>
      <w:bookmarkStart w:id="1414" w:name="_Toc3290"/>
      <w:bookmarkStart w:id="1415" w:name="_Toc29957"/>
      <w:bookmarkStart w:id="1416" w:name="_Toc28460"/>
      <w:bookmarkStart w:id="1417" w:name="_Toc24612"/>
      <w:r>
        <w:rPr>
          <w:rFonts w:hint="eastAsia" w:ascii="黑体" w:hAnsi="宋体" w:eastAsia="黑体"/>
          <w:color w:val="000000" w:themeColor="text1"/>
          <w:kern w:val="3"/>
          <w:sz w:val="28"/>
          <w:szCs w:val="28"/>
        </w:rPr>
        <w:t>3.9.2甲醇中毒事故案例</w:t>
      </w:r>
      <w:bookmarkEnd w:id="1411"/>
      <w:bookmarkEnd w:id="1412"/>
      <w:bookmarkEnd w:id="1413"/>
      <w:bookmarkEnd w:id="1414"/>
      <w:bookmarkEnd w:id="1415"/>
      <w:bookmarkEnd w:id="1416"/>
      <w:bookmarkEnd w:id="1417"/>
    </w:p>
    <w:p>
      <w:pPr>
        <w:adjustRightInd w:val="0"/>
        <w:snapToGrid w:val="0"/>
        <w:spacing w:line="500" w:lineRule="exact"/>
        <w:ind w:firstLine="562" w:firstLineChars="200"/>
        <w:rPr>
          <w:rFonts w:eastAsiaTheme="minorEastAsia"/>
          <w:b/>
          <w:bCs/>
          <w:snapToGrid w:val="0"/>
          <w:color w:val="000000" w:themeColor="text1"/>
          <w:sz w:val="28"/>
          <w:szCs w:val="28"/>
        </w:rPr>
      </w:pPr>
      <w:bookmarkStart w:id="1418" w:name="_Toc31367"/>
      <w:r>
        <w:rPr>
          <w:rFonts w:eastAsiaTheme="minorEastAsia"/>
          <w:b/>
          <w:bCs/>
          <w:snapToGrid w:val="0"/>
          <w:color w:val="000000" w:themeColor="text1"/>
          <w:sz w:val="28"/>
          <w:szCs w:val="28"/>
        </w:rPr>
        <w:t>1</w:t>
      </w:r>
      <w:r>
        <w:rPr>
          <w:rFonts w:hint="eastAsia" w:eastAsiaTheme="minorEastAsia"/>
          <w:b/>
          <w:bCs/>
          <w:snapToGrid w:val="0"/>
          <w:color w:val="000000" w:themeColor="text1"/>
          <w:sz w:val="28"/>
          <w:szCs w:val="28"/>
        </w:rPr>
        <w:t>.</w:t>
      </w:r>
      <w:r>
        <w:rPr>
          <w:rFonts w:eastAsiaTheme="minorEastAsia"/>
          <w:b/>
          <w:bCs/>
          <w:snapToGrid w:val="0"/>
          <w:color w:val="000000" w:themeColor="text1"/>
          <w:sz w:val="28"/>
          <w:szCs w:val="28"/>
        </w:rPr>
        <w:t>事故概况</w:t>
      </w:r>
      <w:bookmarkEnd w:id="1418"/>
    </w:p>
    <w:p>
      <w:pPr>
        <w:pStyle w:val="51"/>
        <w:rPr>
          <w:rFonts w:ascii="Times New Roman" w:hAnsi="Times New Roman"/>
          <w:color w:val="000000" w:themeColor="text1"/>
        </w:rPr>
      </w:pPr>
      <w:r>
        <w:rPr>
          <w:rFonts w:ascii="Times New Roman" w:hAnsi="Times New Roman"/>
          <w:color w:val="000000" w:themeColor="text1"/>
        </w:rPr>
        <w:t>2010年10月27日中午，某化工厂车间甲醇泵岗位两名操作工午饭后来到甲醇泵室，因当天降温、室外寒冷并雨雪交加。2人就在温度较高的甲醇泵房内休息。13 时30分，即2人在甲醇泵房内逗留大约90min 后，操作工A自觉头晕、呕吐、双眼疼痛并视物不清，于是2人互相搀扶走出泵房，打算到室外换换新鲜空气。这时，操作工A上述症状加重，头晕的不能走，操作工B立即通知班长，将他送往医院诊治。操作工 B在回到甲醇泵房休息室休息1h后也出现了呕吐、眼痛、双眼睁不开等症状，也被车间送往医院进行诊治。其中1人在24h内，甲醇中毒症状和体征消失，第二天痊愈出院</w:t>
      </w:r>
      <w:r>
        <w:rPr>
          <w:rFonts w:hint="eastAsia" w:ascii="Times New Roman" w:hAnsi="Times New Roman"/>
          <w:color w:val="000000" w:themeColor="text1"/>
        </w:rPr>
        <w:t>，</w:t>
      </w:r>
      <w:r>
        <w:rPr>
          <w:rFonts w:ascii="Times New Roman" w:hAnsi="Times New Roman"/>
          <w:color w:val="000000" w:themeColor="text1"/>
        </w:rPr>
        <w:t>而另1人因中毒较重，住院3个月后出院。</w:t>
      </w:r>
    </w:p>
    <w:p>
      <w:pPr>
        <w:pStyle w:val="51"/>
        <w:ind w:firstLine="562"/>
        <w:rPr>
          <w:rFonts w:ascii="Times New Roman" w:hAnsi="Times New Roman"/>
          <w:b/>
          <w:bCs/>
          <w:color w:val="000000" w:themeColor="text1"/>
        </w:rPr>
      </w:pPr>
      <w:bookmarkStart w:id="1419" w:name="_Toc25582"/>
      <w:r>
        <w:rPr>
          <w:rFonts w:ascii="Times New Roman" w:hAnsi="Times New Roman"/>
          <w:b/>
          <w:bCs/>
          <w:color w:val="000000" w:themeColor="text1"/>
        </w:rPr>
        <w:t>2</w:t>
      </w:r>
      <w:r>
        <w:rPr>
          <w:rFonts w:hint="eastAsia" w:ascii="Times New Roman" w:hAnsi="Times New Roman"/>
          <w:b/>
          <w:bCs/>
          <w:color w:val="000000" w:themeColor="text1"/>
        </w:rPr>
        <w:t>.</w:t>
      </w:r>
      <w:r>
        <w:rPr>
          <w:rFonts w:ascii="Times New Roman" w:hAnsi="Times New Roman"/>
          <w:b/>
          <w:bCs/>
          <w:color w:val="000000" w:themeColor="text1"/>
        </w:rPr>
        <w:t>事故原因</w:t>
      </w:r>
      <w:bookmarkEnd w:id="1419"/>
    </w:p>
    <w:p>
      <w:pPr>
        <w:pStyle w:val="51"/>
        <w:rPr>
          <w:rFonts w:ascii="Times New Roman" w:hAnsi="Times New Roman"/>
          <w:color w:val="000000" w:themeColor="text1"/>
        </w:rPr>
      </w:pPr>
      <w:r>
        <w:rPr>
          <w:rFonts w:ascii="Times New Roman" w:hAnsi="Times New Roman"/>
          <w:color w:val="000000" w:themeColor="text1"/>
        </w:rPr>
        <w:t>从事故的定义讲，事故是由于人的不安全行为、物的不安全状态、管理缺欠、环境因素同时出现并联合作用而导致的人员伤亡和财产损失。那么，从以上4个方面来分析这起事故发生的原因。</w:t>
      </w:r>
    </w:p>
    <w:p>
      <w:pPr>
        <w:pStyle w:val="51"/>
        <w:rPr>
          <w:rFonts w:ascii="Times New Roman" w:hAnsi="Times New Roman"/>
          <w:color w:val="000000" w:themeColor="text1"/>
        </w:rPr>
      </w:pPr>
      <w:r>
        <w:rPr>
          <w:rFonts w:hint="eastAsia" w:ascii="Times New Roman" w:hAnsi="Times New Roman"/>
          <w:color w:val="000000" w:themeColor="text1"/>
        </w:rPr>
        <w:t>（1）人的不安全行为</w:t>
      </w:r>
    </w:p>
    <w:p>
      <w:pPr>
        <w:pStyle w:val="51"/>
        <w:rPr>
          <w:rFonts w:ascii="Times New Roman" w:hAnsi="Times New Roman"/>
          <w:color w:val="000000" w:themeColor="text1"/>
        </w:rPr>
      </w:pPr>
      <w:r>
        <w:rPr>
          <w:rFonts w:hint="eastAsia" w:ascii="Times New Roman" w:hAnsi="Times New Roman"/>
          <w:color w:val="000000" w:themeColor="text1"/>
        </w:rPr>
        <w:t>一是此次甲醇中毒的2个人都是甲醇泵房岗位的操作工，对甲醇的理化性质和危害后果不清楚，长时间逗留在有甲醇泄漏的生产作业环境中，主观上没有高度重视甲醇中毒所造成的严重后果；</w:t>
      </w:r>
    </w:p>
    <w:p>
      <w:pPr>
        <w:pStyle w:val="51"/>
        <w:rPr>
          <w:rFonts w:ascii="Times New Roman" w:hAnsi="Times New Roman"/>
          <w:color w:val="000000" w:themeColor="text1"/>
        </w:rPr>
      </w:pPr>
      <w:r>
        <w:rPr>
          <w:rFonts w:hint="eastAsia" w:ascii="Times New Roman" w:hAnsi="Times New Roman"/>
          <w:color w:val="000000" w:themeColor="text1"/>
        </w:rPr>
        <w:t>二是岗位员工在有甲醇泄漏的环境中长时间逗留而没有任何防护意识并采取有效的防护措施；</w:t>
      </w:r>
    </w:p>
    <w:p>
      <w:pPr>
        <w:pStyle w:val="51"/>
        <w:rPr>
          <w:rFonts w:ascii="Times New Roman" w:hAnsi="Times New Roman"/>
          <w:color w:val="000000" w:themeColor="text1"/>
        </w:rPr>
      </w:pPr>
      <w:r>
        <w:rPr>
          <w:rFonts w:hint="eastAsia" w:ascii="Times New Roman" w:hAnsi="Times New Roman"/>
          <w:color w:val="000000" w:themeColor="text1"/>
        </w:rPr>
        <w:t>三是2人都是该岗位的操作工，平时的责任意识差，没有及时将泄漏的设备告知车间修理，也没有督促车间及时修补堵漏。所以，人的安全意识差、安全技能低是本次事故发生的主要原因。</w:t>
      </w:r>
    </w:p>
    <w:p>
      <w:pPr>
        <w:pStyle w:val="51"/>
        <w:rPr>
          <w:rFonts w:ascii="Times New Roman" w:hAnsi="Times New Roman"/>
          <w:color w:val="000000" w:themeColor="text1"/>
        </w:rPr>
      </w:pPr>
      <w:r>
        <w:rPr>
          <w:rFonts w:hint="eastAsia" w:ascii="Times New Roman" w:hAnsi="Times New Roman"/>
          <w:color w:val="000000" w:themeColor="text1"/>
        </w:rPr>
        <w:t>（2）物的不安全状态</w:t>
      </w:r>
    </w:p>
    <w:p>
      <w:pPr>
        <w:pStyle w:val="51"/>
        <w:rPr>
          <w:rFonts w:ascii="Times New Roman" w:hAnsi="Times New Roman"/>
          <w:color w:val="000000" w:themeColor="text1"/>
        </w:rPr>
      </w:pPr>
      <w:r>
        <w:rPr>
          <w:rFonts w:hint="eastAsia" w:ascii="Times New Roman" w:hAnsi="Times New Roman"/>
          <w:color w:val="000000" w:themeColor="text1"/>
        </w:rPr>
        <w:t>甲醇离心泵出口阀门发生泄漏是本次事故发生的直接原因。</w:t>
      </w:r>
    </w:p>
    <w:p>
      <w:pPr>
        <w:pStyle w:val="51"/>
        <w:rPr>
          <w:rFonts w:ascii="Times New Roman" w:hAnsi="Times New Roman"/>
          <w:color w:val="000000" w:themeColor="text1"/>
        </w:rPr>
      </w:pPr>
      <w:r>
        <w:rPr>
          <w:rFonts w:hint="eastAsia" w:ascii="Times New Roman" w:hAnsi="Times New Roman"/>
          <w:color w:val="000000" w:themeColor="text1"/>
        </w:rPr>
        <w:t>（3）管理缺欠</w:t>
      </w:r>
    </w:p>
    <w:p>
      <w:pPr>
        <w:pStyle w:val="51"/>
        <w:rPr>
          <w:rFonts w:ascii="Times New Roman" w:hAnsi="Times New Roman"/>
          <w:color w:val="000000" w:themeColor="text1"/>
        </w:rPr>
      </w:pPr>
      <w:r>
        <w:rPr>
          <w:rFonts w:hint="eastAsia" w:ascii="Times New Roman" w:hAnsi="Times New Roman"/>
          <w:color w:val="000000" w:themeColor="text1"/>
        </w:rPr>
        <w:t>一是甲醇离心泵出口阀门发生泄漏没有引起车间各级管理人员和岗位操作人员的高度重视，车间每日的专业技术干部巡检、车间领导干部巡检都发现了甲醇离心泵出口阀门泄漏这一隐患问题，但都没有及时对泄漏的设备进行检修堵漏处理，也没有挂放设备泄漏标志牌，更没有针对甲醇离心泵出口阀门泄漏问题制定相应的监督监管安全技术措施和应急预案。</w:t>
      </w:r>
    </w:p>
    <w:p>
      <w:pPr>
        <w:pStyle w:val="51"/>
        <w:rPr>
          <w:rFonts w:ascii="Times New Roman" w:hAnsi="Times New Roman"/>
          <w:color w:val="000000" w:themeColor="text1"/>
        </w:rPr>
      </w:pPr>
      <w:r>
        <w:rPr>
          <w:rFonts w:hint="eastAsia" w:ascii="Times New Roman" w:hAnsi="Times New Roman"/>
          <w:color w:val="000000" w:themeColor="text1"/>
        </w:rPr>
        <w:t>二是车间各级管理人员对岗位员工疏于管理，员工午休时间不在休息室休息，而是长时间逗留在操作现场，没有人予以制止。</w:t>
      </w:r>
    </w:p>
    <w:p>
      <w:pPr>
        <w:pStyle w:val="51"/>
        <w:rPr>
          <w:rFonts w:ascii="Times New Roman" w:hAnsi="Times New Roman"/>
          <w:color w:val="000000" w:themeColor="text1"/>
        </w:rPr>
      </w:pPr>
      <w:r>
        <w:rPr>
          <w:rFonts w:hint="eastAsia" w:ascii="Times New Roman" w:hAnsi="Times New Roman"/>
          <w:color w:val="000000" w:themeColor="text1"/>
        </w:rPr>
        <w:t>三是车间对员工的安全教育不到位，没有将甲醇中毒的危害以及泄漏后要佩戴个人防护设施的要求落实到每名员工。</w:t>
      </w:r>
    </w:p>
    <w:p>
      <w:pPr>
        <w:pStyle w:val="51"/>
        <w:rPr>
          <w:rFonts w:ascii="Times New Roman" w:hAnsi="Times New Roman"/>
          <w:color w:val="000000" w:themeColor="text1"/>
        </w:rPr>
      </w:pPr>
      <w:r>
        <w:rPr>
          <w:rFonts w:hint="eastAsia" w:ascii="Times New Roman" w:hAnsi="Times New Roman"/>
          <w:color w:val="000000" w:themeColor="text1"/>
        </w:rPr>
        <w:t>（4）环境因素</w:t>
      </w:r>
    </w:p>
    <w:p>
      <w:pPr>
        <w:pStyle w:val="51"/>
        <w:rPr>
          <w:rFonts w:ascii="Times New Roman" w:hAnsi="Times New Roman"/>
          <w:color w:val="000000" w:themeColor="text1"/>
        </w:rPr>
      </w:pPr>
      <w:r>
        <w:rPr>
          <w:rFonts w:hint="eastAsia" w:ascii="Times New Roman" w:hAnsi="Times New Roman"/>
          <w:color w:val="000000" w:themeColor="text1"/>
        </w:rPr>
        <w:t>在这起事故中，环境因素起了重要作用。试想，如果天气不降温，甲醇泵房就不用关好门窗，那么室内泄漏的有毒甲醇物料就不会积聚在室内；如果天气不寒冷，员工就不能长时间逗留在温暖的甲醇泵房生产作业现场而增加人体吸入甲醇的剂量。</w:t>
      </w:r>
    </w:p>
    <w:p>
      <w:pPr>
        <w:pStyle w:val="51"/>
        <w:ind w:left="630" w:firstLine="0" w:firstLineChars="0"/>
        <w:rPr>
          <w:rFonts w:ascii="Times New Roman" w:hAnsi="Times New Roman"/>
          <w:b/>
          <w:bCs/>
          <w:color w:val="000000" w:themeColor="text1"/>
        </w:rPr>
      </w:pPr>
      <w:bookmarkStart w:id="1420" w:name="_Toc23508"/>
      <w:r>
        <w:rPr>
          <w:rFonts w:hint="eastAsia" w:ascii="Times New Roman" w:hAnsi="Times New Roman"/>
          <w:b/>
          <w:bCs/>
          <w:color w:val="000000" w:themeColor="text1"/>
        </w:rPr>
        <w:t>3.</w:t>
      </w:r>
      <w:r>
        <w:rPr>
          <w:rFonts w:ascii="Times New Roman" w:hAnsi="Times New Roman"/>
          <w:b/>
          <w:bCs/>
          <w:color w:val="000000" w:themeColor="text1"/>
        </w:rPr>
        <w:t>吸取的教训和采取的安全技术措施</w:t>
      </w:r>
      <w:bookmarkEnd w:id="1420"/>
    </w:p>
    <w:p>
      <w:pPr>
        <w:pStyle w:val="51"/>
        <w:rPr>
          <w:rFonts w:ascii="Times New Roman" w:hAnsi="Times New Roman"/>
          <w:color w:val="000000" w:themeColor="text1"/>
        </w:rPr>
      </w:pPr>
      <w:r>
        <w:rPr>
          <w:rFonts w:hint="eastAsia" w:ascii="Times New Roman" w:hAnsi="Times New Roman"/>
          <w:color w:val="000000" w:themeColor="text1"/>
        </w:rPr>
        <w:t>（1）</w:t>
      </w:r>
      <w:r>
        <w:rPr>
          <w:rFonts w:ascii="Times New Roman" w:hAnsi="Times New Roman"/>
          <w:color w:val="000000" w:themeColor="text1"/>
        </w:rPr>
        <w:t>各级管理部门要加强对员工的培训教育，提高全员对化工装置冬季生产的风险意识、防范意识。</w:t>
      </w:r>
    </w:p>
    <w:p>
      <w:pPr>
        <w:pStyle w:val="51"/>
        <w:rPr>
          <w:rFonts w:ascii="Times New Roman" w:hAnsi="Times New Roman"/>
          <w:color w:val="000000" w:themeColor="text1"/>
        </w:rPr>
      </w:pPr>
      <w:r>
        <w:rPr>
          <w:rFonts w:hint="eastAsia" w:ascii="Times New Roman" w:hAnsi="Times New Roman"/>
          <w:color w:val="000000" w:themeColor="text1"/>
        </w:rPr>
        <w:t>（2）</w:t>
      </w:r>
      <w:r>
        <w:rPr>
          <w:rFonts w:ascii="Times New Roman" w:hAnsi="Times New Roman"/>
          <w:color w:val="000000" w:themeColor="text1"/>
        </w:rPr>
        <w:t>加强工艺纪律和劳动纪律的管理，防止超温、超压、脱岗、睡岗等违章违纪现象的发生。</w:t>
      </w:r>
    </w:p>
    <w:p>
      <w:pPr>
        <w:pStyle w:val="51"/>
        <w:rPr>
          <w:rFonts w:ascii="Times New Roman" w:hAnsi="Times New Roman"/>
          <w:color w:val="000000" w:themeColor="text1"/>
        </w:rPr>
      </w:pPr>
      <w:r>
        <w:rPr>
          <w:rFonts w:hint="eastAsia" w:ascii="Times New Roman" w:hAnsi="Times New Roman"/>
          <w:color w:val="000000" w:themeColor="text1"/>
        </w:rPr>
        <w:t>（3）</w:t>
      </w:r>
      <w:r>
        <w:rPr>
          <w:rFonts w:ascii="Times New Roman" w:hAnsi="Times New Roman"/>
          <w:color w:val="000000" w:themeColor="text1"/>
        </w:rPr>
        <w:t>加强各级管理干部和员工的不间断巡检，及时发现设备跑冒滴漏现象，及时维修和处理这些隐患，避免中毒、着火爆炸事故的发生。</w:t>
      </w:r>
    </w:p>
    <w:p>
      <w:pPr>
        <w:pStyle w:val="51"/>
        <w:rPr>
          <w:rFonts w:ascii="Times New Roman" w:hAnsi="Times New Roman"/>
          <w:color w:val="000000" w:themeColor="text1"/>
        </w:rPr>
      </w:pPr>
      <w:r>
        <w:rPr>
          <w:rFonts w:hint="eastAsia" w:ascii="Times New Roman" w:hAnsi="Times New Roman"/>
          <w:color w:val="000000" w:themeColor="text1"/>
        </w:rPr>
        <w:t>（4）</w:t>
      </w:r>
      <w:r>
        <w:rPr>
          <w:rFonts w:ascii="Times New Roman" w:hAnsi="Times New Roman"/>
          <w:color w:val="000000" w:themeColor="text1"/>
        </w:rPr>
        <w:t>加强通排风设施的管理，防止有毒、可燃气体积聚导致中毒和着火爆炸事故的发生。各车间要对可燃、有毒气体报警仪进行有效管理，发现异常情况要查明原因，不能掉以轻心。</w:t>
      </w:r>
    </w:p>
    <w:p>
      <w:pPr>
        <w:pStyle w:val="51"/>
        <w:rPr>
          <w:rFonts w:ascii="Times New Roman" w:hAnsi="Times New Roman"/>
          <w:color w:val="000000" w:themeColor="text1"/>
        </w:rPr>
      </w:pPr>
      <w:r>
        <w:rPr>
          <w:rFonts w:hint="eastAsia" w:ascii="Times New Roman" w:hAnsi="Times New Roman"/>
          <w:color w:val="000000" w:themeColor="text1"/>
        </w:rPr>
        <w:t>（5）</w:t>
      </w:r>
      <w:r>
        <w:rPr>
          <w:rFonts w:ascii="Times New Roman" w:hAnsi="Times New Roman"/>
          <w:color w:val="000000" w:themeColor="text1"/>
        </w:rPr>
        <w:t>加强个人防护设施的佩戴，尤其是在设备泄漏的场所、处理泄漏设备、管线、阀门等突发险情时，必须佩戴有效的劳保用品，防止因不佩戴劳保用品而发生不必要的伤害。</w:t>
      </w:r>
    </w:p>
    <w:p>
      <w:pPr>
        <w:pStyle w:val="51"/>
        <w:rPr>
          <w:rFonts w:ascii="Times New Roman" w:hAnsi="Times New Roman"/>
          <w:color w:val="000000" w:themeColor="text1"/>
        </w:rPr>
      </w:pPr>
      <w:r>
        <w:rPr>
          <w:rFonts w:hint="eastAsia" w:ascii="Times New Roman" w:hAnsi="Times New Roman"/>
          <w:color w:val="000000" w:themeColor="text1"/>
        </w:rPr>
        <w:t>（6）</w:t>
      </w:r>
      <w:r>
        <w:rPr>
          <w:rFonts w:ascii="Times New Roman" w:hAnsi="Times New Roman"/>
          <w:color w:val="000000" w:themeColor="text1"/>
        </w:rPr>
        <w:t>各车间要将以往冬季发生的各类险情、事件、事故举一反三组织员工学习，挖掘发生事故的原因以及吸取的事故教训，确保冬季安全稳定生产。</w:t>
      </w:r>
    </w:p>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p>
      <w:pPr>
        <w:keepNext/>
        <w:keepLines/>
        <w:pageBreakBefore/>
        <w:spacing w:before="340" w:after="330" w:line="500" w:lineRule="exact"/>
        <w:jc w:val="center"/>
        <w:outlineLvl w:val="0"/>
        <w:rPr>
          <w:rFonts w:hint="eastAsia" w:ascii="楷体_GB2312" w:hAnsi="宋体" w:eastAsia="楷体_GB2312"/>
          <w:b/>
          <w:bCs/>
          <w:color w:val="000000" w:themeColor="text1"/>
          <w:kern w:val="3"/>
          <w:sz w:val="32"/>
          <w:szCs w:val="32"/>
        </w:rPr>
      </w:pPr>
      <w:bookmarkStart w:id="1421" w:name="_Toc18290"/>
      <w:bookmarkStart w:id="1422" w:name="_Toc14621"/>
      <w:bookmarkStart w:id="1423" w:name="_Toc26341"/>
      <w:bookmarkStart w:id="1424" w:name="_Toc5029"/>
      <w:bookmarkStart w:id="1425" w:name="_Toc17341"/>
      <w:bookmarkStart w:id="1426" w:name="_Toc1719"/>
      <w:bookmarkStart w:id="1427" w:name="_Toc5060"/>
      <w:bookmarkStart w:id="1428" w:name="_Toc9396"/>
      <w:bookmarkStart w:id="1429" w:name="_Toc15443"/>
      <w:bookmarkStart w:id="1430" w:name="_Toc359"/>
      <w:bookmarkStart w:id="1431" w:name="_Toc4669"/>
      <w:bookmarkStart w:id="1432" w:name="_Toc17732"/>
      <w:bookmarkStart w:id="1433" w:name="_Toc7841"/>
      <w:bookmarkStart w:id="1434" w:name="_Toc30335"/>
      <w:bookmarkStart w:id="1435" w:name="_Toc1939"/>
      <w:bookmarkStart w:id="1436" w:name="_Toc13273_WPSOffice_Level1"/>
      <w:bookmarkStart w:id="1437" w:name="_Toc6093"/>
      <w:r>
        <w:rPr>
          <w:rFonts w:hint="eastAsia" w:ascii="楷体_GB2312" w:hAnsi="宋体" w:eastAsia="楷体_GB2312"/>
          <w:b/>
          <w:bCs/>
          <w:color w:val="000000" w:themeColor="text1"/>
          <w:kern w:val="3"/>
          <w:sz w:val="32"/>
          <w:szCs w:val="32"/>
        </w:rPr>
        <w:t>第4章评价单元的划分和评价方法的选择</w:t>
      </w:r>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p>
    <w:p>
      <w:pPr>
        <w:pStyle w:val="19"/>
        <w:spacing w:afterLines="100" w:line="500" w:lineRule="exact"/>
        <w:jc w:val="center"/>
        <w:rPr>
          <w:rFonts w:ascii="楷体_GB2312" w:hAnsi="宋体" w:eastAsia="楷体_GB2312"/>
          <w:color w:val="000000" w:themeColor="text1"/>
          <w:kern w:val="3"/>
        </w:rPr>
      </w:pPr>
      <w:bookmarkStart w:id="1438" w:name="_Toc191728189"/>
      <w:bookmarkStart w:id="1439" w:name="_Toc20422"/>
      <w:bookmarkStart w:id="1440" w:name="_Toc13577"/>
      <w:bookmarkStart w:id="1441" w:name="_Toc10343"/>
      <w:bookmarkStart w:id="1442" w:name="_Toc6339"/>
      <w:bookmarkStart w:id="1443" w:name="_Toc30300_WPSOffice_Level2"/>
      <w:bookmarkStart w:id="1444" w:name="_Toc194389947"/>
      <w:bookmarkStart w:id="1445" w:name="_Toc191729749"/>
      <w:bookmarkStart w:id="1446" w:name="_Toc11737"/>
      <w:bookmarkStart w:id="1447" w:name="_Toc191730033"/>
      <w:bookmarkStart w:id="1448" w:name="_Toc10806"/>
      <w:bookmarkStart w:id="1449" w:name="_Toc8164"/>
      <w:bookmarkStart w:id="1450" w:name="_Toc21209"/>
      <w:bookmarkStart w:id="1451" w:name="_Toc217444233"/>
      <w:bookmarkStart w:id="1452" w:name="_Toc7326"/>
      <w:bookmarkStart w:id="1453" w:name="_Toc30091"/>
      <w:bookmarkStart w:id="1454" w:name="_Toc8879"/>
      <w:bookmarkStart w:id="1455" w:name="_Toc32358"/>
      <w:bookmarkStart w:id="1456" w:name="_Toc2045"/>
      <w:bookmarkStart w:id="1457" w:name="_Toc5740"/>
      <w:bookmarkStart w:id="1458" w:name="_Toc24406"/>
      <w:bookmarkStart w:id="1459" w:name="_Toc4623"/>
      <w:r>
        <w:rPr>
          <w:rFonts w:hint="eastAsia" w:ascii="楷体_GB2312" w:hAnsi="宋体" w:eastAsia="楷体_GB2312"/>
          <w:color w:val="000000" w:themeColor="text1"/>
          <w:kern w:val="3"/>
        </w:rPr>
        <w:t>4.1评价单元划分</w:t>
      </w:r>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p>
    <w:p>
      <w:pPr>
        <w:pStyle w:val="19"/>
        <w:spacing w:afterLines="100" w:line="500" w:lineRule="exact"/>
        <w:rPr>
          <w:rFonts w:ascii="黑体" w:hAnsi="宋体" w:eastAsia="黑体"/>
          <w:color w:val="000000" w:themeColor="text1"/>
          <w:kern w:val="3"/>
          <w:sz w:val="28"/>
          <w:szCs w:val="28"/>
        </w:rPr>
      </w:pPr>
      <w:bookmarkStart w:id="1460" w:name="_Toc3397"/>
      <w:bookmarkStart w:id="1461" w:name="_Toc151353653"/>
      <w:bookmarkStart w:id="1462" w:name="_Toc7316"/>
      <w:bookmarkStart w:id="1463" w:name="_Toc12294"/>
      <w:bookmarkStart w:id="1464" w:name="_Toc18703"/>
      <w:bookmarkStart w:id="1465" w:name="_Toc5655"/>
      <w:bookmarkStart w:id="1466" w:name="_Toc30668"/>
      <w:bookmarkStart w:id="1467" w:name="_Toc28209"/>
      <w:bookmarkStart w:id="1468" w:name="_Toc217444234"/>
      <w:bookmarkStart w:id="1469" w:name="_Toc13435"/>
      <w:bookmarkStart w:id="1470" w:name="_Toc191728190"/>
      <w:bookmarkStart w:id="1471" w:name="_Toc194389948"/>
      <w:bookmarkStart w:id="1472" w:name="_Toc191730034"/>
      <w:bookmarkStart w:id="1473" w:name="_Toc132"/>
      <w:bookmarkStart w:id="1474" w:name="_Toc5032"/>
      <w:bookmarkStart w:id="1475" w:name="_Toc191729750"/>
      <w:bookmarkStart w:id="1476" w:name="_Toc5311"/>
      <w:r>
        <w:rPr>
          <w:rFonts w:hint="eastAsia" w:ascii="黑体" w:hAnsi="宋体" w:eastAsia="黑体"/>
          <w:color w:val="000000" w:themeColor="text1"/>
          <w:kern w:val="3"/>
          <w:sz w:val="28"/>
          <w:szCs w:val="28"/>
        </w:rPr>
        <w:t>4.1.1评价单元划分原则</w:t>
      </w:r>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p>
    <w:p>
      <w:pPr>
        <w:adjustRightInd w:val="0"/>
        <w:snapToGrid w:val="0"/>
        <w:spacing w:line="500" w:lineRule="exact"/>
        <w:ind w:firstLine="560" w:firstLineChars="200"/>
        <w:rPr>
          <w:snapToGrid w:val="0"/>
          <w:color w:val="000000" w:themeColor="text1"/>
          <w:kern w:val="0"/>
          <w:sz w:val="28"/>
          <w:szCs w:val="24"/>
        </w:rPr>
      </w:pPr>
      <w:r>
        <w:rPr>
          <w:snapToGrid w:val="0"/>
          <w:color w:val="000000" w:themeColor="text1"/>
          <w:kern w:val="0"/>
          <w:sz w:val="28"/>
          <w:szCs w:val="24"/>
        </w:rPr>
        <w:t>评价单元划分是在对危险、有害因素辨析的基础上，根据评价目的和评价方法的需要，将系统分成若干子单元的需要评价的单元，以提高评价的客观性和准确性。</w:t>
      </w:r>
    </w:p>
    <w:p>
      <w:pPr>
        <w:adjustRightInd w:val="0"/>
        <w:snapToGrid w:val="0"/>
        <w:spacing w:line="500" w:lineRule="exact"/>
        <w:ind w:firstLine="560" w:firstLineChars="200"/>
        <w:rPr>
          <w:snapToGrid w:val="0"/>
          <w:color w:val="000000" w:themeColor="text1"/>
          <w:kern w:val="0"/>
          <w:sz w:val="28"/>
          <w:szCs w:val="24"/>
        </w:rPr>
      </w:pPr>
      <w:r>
        <w:rPr>
          <w:snapToGrid w:val="0"/>
          <w:color w:val="000000" w:themeColor="text1"/>
          <w:kern w:val="0"/>
          <w:sz w:val="28"/>
          <w:szCs w:val="24"/>
        </w:rPr>
        <w:t>评价单元的划分，一般将生产工艺、工艺装置、物料的特性及危险、有害因素类别、分布状况综合考虑后，进行划分。</w:t>
      </w:r>
    </w:p>
    <w:p>
      <w:pPr>
        <w:pStyle w:val="19"/>
        <w:spacing w:afterLines="100" w:line="500" w:lineRule="exact"/>
        <w:rPr>
          <w:rFonts w:ascii="黑体" w:hAnsi="宋体" w:eastAsia="黑体"/>
          <w:color w:val="000000" w:themeColor="text1"/>
          <w:kern w:val="3"/>
          <w:sz w:val="28"/>
          <w:szCs w:val="28"/>
        </w:rPr>
      </w:pPr>
      <w:bookmarkStart w:id="1477" w:name="_Toc1209"/>
      <w:bookmarkStart w:id="1478" w:name="_Toc191729751"/>
      <w:bookmarkStart w:id="1479" w:name="_Toc1241"/>
      <w:bookmarkStart w:id="1480" w:name="_Toc217444235"/>
      <w:bookmarkStart w:id="1481" w:name="_Toc191730035"/>
      <w:bookmarkStart w:id="1482" w:name="_Toc29380"/>
      <w:bookmarkStart w:id="1483" w:name="_Toc12777"/>
      <w:bookmarkStart w:id="1484" w:name="_Toc8856"/>
      <w:bookmarkStart w:id="1485" w:name="_Toc151353654"/>
      <w:bookmarkStart w:id="1486" w:name="_Toc27829"/>
      <w:bookmarkStart w:id="1487" w:name="_Toc20163"/>
      <w:bookmarkStart w:id="1488" w:name="_Toc194389949"/>
      <w:bookmarkStart w:id="1489" w:name="_Toc6640"/>
      <w:bookmarkStart w:id="1490" w:name="_Toc25569"/>
      <w:bookmarkStart w:id="1491" w:name="_Toc191728191"/>
      <w:bookmarkStart w:id="1492" w:name="_Toc3870"/>
      <w:bookmarkStart w:id="1493" w:name="_Toc2279"/>
      <w:r>
        <w:rPr>
          <w:rFonts w:hint="eastAsia" w:ascii="黑体" w:hAnsi="宋体" w:eastAsia="黑体"/>
          <w:color w:val="000000" w:themeColor="text1"/>
          <w:kern w:val="3"/>
          <w:sz w:val="28"/>
          <w:szCs w:val="28"/>
        </w:rPr>
        <w:t>4.1.2评价单元划分方法</w:t>
      </w:r>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p>
    <w:p>
      <w:pPr>
        <w:adjustRightInd w:val="0"/>
        <w:snapToGrid w:val="0"/>
        <w:spacing w:line="500" w:lineRule="exact"/>
        <w:ind w:firstLine="560" w:firstLineChars="200"/>
        <w:rPr>
          <w:snapToGrid w:val="0"/>
          <w:color w:val="000000" w:themeColor="text1"/>
          <w:kern w:val="0"/>
          <w:sz w:val="28"/>
          <w:szCs w:val="24"/>
        </w:rPr>
      </w:pPr>
      <w:r>
        <w:rPr>
          <w:snapToGrid w:val="0"/>
          <w:color w:val="000000" w:themeColor="text1"/>
          <w:kern w:val="0"/>
          <w:sz w:val="28"/>
          <w:szCs w:val="24"/>
        </w:rPr>
        <w:t>常用的评价单元划分方法有：</w:t>
      </w:r>
    </w:p>
    <w:p>
      <w:pPr>
        <w:adjustRightInd w:val="0"/>
        <w:snapToGrid w:val="0"/>
        <w:spacing w:line="500" w:lineRule="exact"/>
        <w:ind w:firstLine="560" w:firstLineChars="200"/>
        <w:rPr>
          <w:snapToGrid w:val="0"/>
          <w:color w:val="000000" w:themeColor="text1"/>
          <w:kern w:val="0"/>
          <w:sz w:val="28"/>
          <w:szCs w:val="24"/>
        </w:rPr>
      </w:pPr>
      <w:r>
        <w:rPr>
          <w:snapToGrid w:val="0"/>
          <w:color w:val="000000" w:themeColor="text1"/>
          <w:kern w:val="0"/>
          <w:sz w:val="28"/>
          <w:szCs w:val="24"/>
        </w:rPr>
        <w:t>1</w:t>
      </w:r>
      <w:r>
        <w:rPr>
          <w:rFonts w:hint="eastAsia"/>
          <w:snapToGrid w:val="0"/>
          <w:color w:val="000000" w:themeColor="text1"/>
          <w:kern w:val="0"/>
          <w:sz w:val="28"/>
          <w:szCs w:val="24"/>
        </w:rPr>
        <w:t>.</w:t>
      </w:r>
      <w:r>
        <w:rPr>
          <w:snapToGrid w:val="0"/>
          <w:color w:val="000000" w:themeColor="text1"/>
          <w:kern w:val="0"/>
          <w:sz w:val="28"/>
          <w:szCs w:val="24"/>
        </w:rPr>
        <w:t>以危险、有害因素的类别为主划分评价单元。</w:t>
      </w:r>
    </w:p>
    <w:p>
      <w:pPr>
        <w:adjustRightInd w:val="0"/>
        <w:snapToGrid w:val="0"/>
        <w:spacing w:line="500" w:lineRule="exact"/>
        <w:ind w:firstLine="560" w:firstLineChars="200"/>
        <w:rPr>
          <w:snapToGrid w:val="0"/>
          <w:color w:val="000000" w:themeColor="text1"/>
          <w:kern w:val="0"/>
          <w:sz w:val="28"/>
          <w:szCs w:val="24"/>
        </w:rPr>
      </w:pPr>
      <w:r>
        <w:rPr>
          <w:rFonts w:hint="eastAsia"/>
          <w:snapToGrid w:val="0"/>
          <w:color w:val="000000" w:themeColor="text1"/>
          <w:kern w:val="0"/>
          <w:sz w:val="28"/>
          <w:szCs w:val="24"/>
        </w:rPr>
        <w:t>（1）</w:t>
      </w:r>
      <w:r>
        <w:rPr>
          <w:snapToGrid w:val="0"/>
          <w:color w:val="000000" w:themeColor="text1"/>
          <w:kern w:val="0"/>
          <w:sz w:val="28"/>
          <w:szCs w:val="24"/>
        </w:rPr>
        <w:t>对工艺方案、总体布置及自然条件、环境对系统影响等综合方面的危险、有害因素的分析和评价，可将整个系统作为一个评价单元</w:t>
      </w:r>
      <w:r>
        <w:rPr>
          <w:rFonts w:hint="eastAsia"/>
          <w:snapToGrid w:val="0"/>
          <w:color w:val="000000" w:themeColor="text1"/>
          <w:kern w:val="0"/>
          <w:sz w:val="28"/>
          <w:szCs w:val="24"/>
        </w:rPr>
        <w:t>。</w:t>
      </w:r>
    </w:p>
    <w:p>
      <w:pPr>
        <w:adjustRightInd w:val="0"/>
        <w:snapToGrid w:val="0"/>
        <w:spacing w:line="500" w:lineRule="exact"/>
        <w:ind w:left="561" w:leftChars="267"/>
        <w:rPr>
          <w:snapToGrid w:val="0"/>
          <w:color w:val="000000" w:themeColor="text1"/>
          <w:kern w:val="0"/>
          <w:sz w:val="28"/>
          <w:szCs w:val="24"/>
        </w:rPr>
      </w:pPr>
      <w:r>
        <w:rPr>
          <w:rFonts w:hint="eastAsia"/>
          <w:snapToGrid w:val="0"/>
          <w:color w:val="000000" w:themeColor="text1"/>
          <w:kern w:val="0"/>
          <w:sz w:val="28"/>
          <w:szCs w:val="24"/>
        </w:rPr>
        <w:t>（2）</w:t>
      </w:r>
      <w:r>
        <w:rPr>
          <w:snapToGrid w:val="0"/>
          <w:color w:val="000000" w:themeColor="text1"/>
          <w:kern w:val="0"/>
          <w:sz w:val="28"/>
          <w:szCs w:val="24"/>
        </w:rPr>
        <w:t>将具有共性危险因素、有害因素的场所和装置划为一个单元。</w:t>
      </w:r>
    </w:p>
    <w:p>
      <w:pPr>
        <w:adjustRightInd w:val="0"/>
        <w:snapToGrid w:val="0"/>
        <w:spacing w:line="500" w:lineRule="exact"/>
        <w:ind w:firstLine="560" w:firstLineChars="200"/>
        <w:rPr>
          <w:snapToGrid w:val="0"/>
          <w:color w:val="000000" w:themeColor="text1"/>
          <w:kern w:val="0"/>
          <w:sz w:val="28"/>
          <w:szCs w:val="24"/>
        </w:rPr>
      </w:pPr>
      <w:r>
        <w:rPr>
          <w:snapToGrid w:val="0"/>
          <w:color w:val="000000" w:themeColor="text1"/>
          <w:kern w:val="0"/>
          <w:sz w:val="28"/>
          <w:szCs w:val="24"/>
        </w:rPr>
        <w:t>2</w:t>
      </w:r>
      <w:r>
        <w:rPr>
          <w:rFonts w:hint="eastAsia"/>
          <w:snapToGrid w:val="0"/>
          <w:color w:val="000000" w:themeColor="text1"/>
          <w:kern w:val="0"/>
          <w:sz w:val="28"/>
          <w:szCs w:val="24"/>
        </w:rPr>
        <w:t>.</w:t>
      </w:r>
      <w:r>
        <w:rPr>
          <w:snapToGrid w:val="0"/>
          <w:color w:val="000000" w:themeColor="text1"/>
          <w:kern w:val="0"/>
          <w:sz w:val="28"/>
          <w:szCs w:val="24"/>
        </w:rPr>
        <w:t>以装置和物质特征划分评价单元。</w:t>
      </w:r>
    </w:p>
    <w:p>
      <w:pPr>
        <w:adjustRightInd w:val="0"/>
        <w:snapToGrid w:val="0"/>
        <w:spacing w:line="500" w:lineRule="exact"/>
        <w:ind w:left="561" w:leftChars="267"/>
        <w:rPr>
          <w:snapToGrid w:val="0"/>
          <w:color w:val="000000" w:themeColor="text1"/>
          <w:kern w:val="0"/>
          <w:sz w:val="28"/>
          <w:szCs w:val="24"/>
        </w:rPr>
      </w:pPr>
      <w:r>
        <w:rPr>
          <w:rFonts w:hint="eastAsia"/>
          <w:snapToGrid w:val="0"/>
          <w:color w:val="000000" w:themeColor="text1"/>
          <w:kern w:val="0"/>
          <w:sz w:val="28"/>
          <w:szCs w:val="24"/>
        </w:rPr>
        <w:t>（1）</w:t>
      </w:r>
      <w:r>
        <w:rPr>
          <w:snapToGrid w:val="0"/>
          <w:color w:val="000000" w:themeColor="text1"/>
          <w:kern w:val="0"/>
          <w:sz w:val="28"/>
          <w:szCs w:val="24"/>
        </w:rPr>
        <w:t>按装置工艺功能划分</w:t>
      </w:r>
      <w:r>
        <w:rPr>
          <w:rFonts w:hint="eastAsia"/>
          <w:snapToGrid w:val="0"/>
          <w:color w:val="000000" w:themeColor="text1"/>
          <w:kern w:val="0"/>
          <w:sz w:val="28"/>
          <w:szCs w:val="24"/>
        </w:rPr>
        <w:t>。</w:t>
      </w:r>
    </w:p>
    <w:p>
      <w:pPr>
        <w:adjustRightInd w:val="0"/>
        <w:snapToGrid w:val="0"/>
        <w:spacing w:line="500" w:lineRule="exact"/>
        <w:ind w:left="561" w:leftChars="267"/>
        <w:rPr>
          <w:snapToGrid w:val="0"/>
          <w:color w:val="000000" w:themeColor="text1"/>
          <w:kern w:val="0"/>
          <w:sz w:val="28"/>
          <w:szCs w:val="24"/>
        </w:rPr>
      </w:pPr>
      <w:r>
        <w:rPr>
          <w:rFonts w:hint="eastAsia"/>
          <w:snapToGrid w:val="0"/>
          <w:color w:val="000000" w:themeColor="text1"/>
          <w:kern w:val="0"/>
          <w:sz w:val="28"/>
          <w:szCs w:val="24"/>
        </w:rPr>
        <w:t>（2）</w:t>
      </w:r>
      <w:r>
        <w:rPr>
          <w:snapToGrid w:val="0"/>
          <w:color w:val="000000" w:themeColor="text1"/>
          <w:kern w:val="0"/>
          <w:sz w:val="28"/>
          <w:szCs w:val="24"/>
        </w:rPr>
        <w:t>按布置的相对独立性划分</w:t>
      </w:r>
      <w:r>
        <w:rPr>
          <w:rFonts w:hint="eastAsia"/>
          <w:snapToGrid w:val="0"/>
          <w:color w:val="000000" w:themeColor="text1"/>
          <w:kern w:val="0"/>
          <w:sz w:val="28"/>
          <w:szCs w:val="24"/>
        </w:rPr>
        <w:t>。</w:t>
      </w:r>
    </w:p>
    <w:p>
      <w:pPr>
        <w:adjustRightInd w:val="0"/>
        <w:snapToGrid w:val="0"/>
        <w:spacing w:line="500" w:lineRule="exact"/>
        <w:ind w:left="561" w:leftChars="267"/>
        <w:rPr>
          <w:snapToGrid w:val="0"/>
          <w:color w:val="000000" w:themeColor="text1"/>
          <w:kern w:val="0"/>
          <w:sz w:val="28"/>
          <w:szCs w:val="24"/>
        </w:rPr>
      </w:pPr>
      <w:r>
        <w:rPr>
          <w:rFonts w:hint="eastAsia"/>
          <w:snapToGrid w:val="0"/>
          <w:color w:val="000000" w:themeColor="text1"/>
          <w:kern w:val="0"/>
          <w:sz w:val="28"/>
          <w:szCs w:val="24"/>
        </w:rPr>
        <w:t>（3）</w:t>
      </w:r>
      <w:r>
        <w:rPr>
          <w:snapToGrid w:val="0"/>
          <w:color w:val="000000" w:themeColor="text1"/>
          <w:kern w:val="0"/>
          <w:sz w:val="28"/>
          <w:szCs w:val="24"/>
        </w:rPr>
        <w:t>按工艺条件划分评价单元</w:t>
      </w:r>
      <w:r>
        <w:rPr>
          <w:rFonts w:hint="eastAsia"/>
          <w:snapToGrid w:val="0"/>
          <w:color w:val="000000" w:themeColor="text1"/>
          <w:kern w:val="0"/>
          <w:sz w:val="28"/>
          <w:szCs w:val="24"/>
        </w:rPr>
        <w:t>。</w:t>
      </w:r>
    </w:p>
    <w:p>
      <w:pPr>
        <w:adjustRightInd w:val="0"/>
        <w:snapToGrid w:val="0"/>
        <w:spacing w:line="500" w:lineRule="exact"/>
        <w:ind w:firstLine="560" w:firstLineChars="200"/>
        <w:rPr>
          <w:snapToGrid w:val="0"/>
          <w:color w:val="000000" w:themeColor="text1"/>
          <w:kern w:val="0"/>
          <w:sz w:val="28"/>
          <w:szCs w:val="24"/>
        </w:rPr>
      </w:pPr>
      <w:r>
        <w:rPr>
          <w:rFonts w:hint="eastAsia"/>
          <w:snapToGrid w:val="0"/>
          <w:color w:val="000000" w:themeColor="text1"/>
          <w:kern w:val="0"/>
          <w:sz w:val="28"/>
          <w:szCs w:val="24"/>
        </w:rPr>
        <w:t>（4）</w:t>
      </w:r>
      <w:r>
        <w:rPr>
          <w:snapToGrid w:val="0"/>
          <w:color w:val="000000" w:themeColor="text1"/>
          <w:kern w:val="0"/>
          <w:sz w:val="28"/>
          <w:szCs w:val="24"/>
        </w:rPr>
        <w:t>按贮存、处理危险物品的潜在化学能、毒性和危险物品的数量划分评价单元</w:t>
      </w:r>
      <w:r>
        <w:rPr>
          <w:rFonts w:hint="eastAsia"/>
          <w:snapToGrid w:val="0"/>
          <w:color w:val="000000" w:themeColor="text1"/>
          <w:kern w:val="0"/>
          <w:sz w:val="28"/>
          <w:szCs w:val="24"/>
        </w:rPr>
        <w:t>。</w:t>
      </w:r>
    </w:p>
    <w:p>
      <w:pPr>
        <w:adjustRightInd w:val="0"/>
        <w:snapToGrid w:val="0"/>
        <w:spacing w:line="500" w:lineRule="exact"/>
        <w:ind w:firstLine="560" w:firstLineChars="200"/>
        <w:rPr>
          <w:snapToGrid w:val="0"/>
          <w:color w:val="000000" w:themeColor="text1"/>
          <w:kern w:val="0"/>
          <w:sz w:val="28"/>
          <w:szCs w:val="24"/>
        </w:rPr>
      </w:pPr>
      <w:r>
        <w:rPr>
          <w:rFonts w:hint="eastAsia"/>
          <w:snapToGrid w:val="0"/>
          <w:color w:val="000000" w:themeColor="text1"/>
          <w:kern w:val="0"/>
          <w:sz w:val="28"/>
          <w:szCs w:val="24"/>
        </w:rPr>
        <w:t>（5）</w:t>
      </w:r>
      <w:r>
        <w:rPr>
          <w:snapToGrid w:val="0"/>
          <w:color w:val="000000" w:themeColor="text1"/>
          <w:kern w:val="0"/>
          <w:sz w:val="28"/>
          <w:szCs w:val="24"/>
        </w:rPr>
        <w:t>根据以往事故资料，将发生事故能导致停产、波及范围大、造成巨大损失和伤害的关键设备作为一个单元</w:t>
      </w:r>
      <w:r>
        <w:rPr>
          <w:rFonts w:hint="eastAsia"/>
          <w:snapToGrid w:val="0"/>
          <w:color w:val="000000" w:themeColor="text1"/>
          <w:kern w:val="0"/>
          <w:sz w:val="28"/>
          <w:szCs w:val="24"/>
        </w:rPr>
        <w:t>。</w:t>
      </w:r>
    </w:p>
    <w:p>
      <w:pPr>
        <w:adjustRightInd w:val="0"/>
        <w:snapToGrid w:val="0"/>
        <w:spacing w:line="500" w:lineRule="exact"/>
        <w:ind w:firstLine="560" w:firstLineChars="200"/>
        <w:rPr>
          <w:snapToGrid w:val="0"/>
          <w:color w:val="000000" w:themeColor="text1"/>
          <w:kern w:val="0"/>
          <w:sz w:val="28"/>
          <w:szCs w:val="24"/>
        </w:rPr>
      </w:pPr>
      <w:r>
        <w:rPr>
          <w:rFonts w:hint="eastAsia"/>
          <w:snapToGrid w:val="0"/>
          <w:color w:val="000000" w:themeColor="text1"/>
          <w:kern w:val="0"/>
          <w:sz w:val="28"/>
          <w:szCs w:val="24"/>
        </w:rPr>
        <w:t>（6）</w:t>
      </w:r>
      <w:r>
        <w:rPr>
          <w:snapToGrid w:val="0"/>
          <w:color w:val="000000" w:themeColor="text1"/>
          <w:kern w:val="0"/>
          <w:sz w:val="28"/>
          <w:szCs w:val="24"/>
        </w:rPr>
        <w:t>将危险性大且资金密度大的区域作为一个评价单元</w:t>
      </w:r>
      <w:r>
        <w:rPr>
          <w:rFonts w:hint="eastAsia"/>
          <w:snapToGrid w:val="0"/>
          <w:color w:val="000000" w:themeColor="text1"/>
          <w:kern w:val="0"/>
          <w:sz w:val="28"/>
          <w:szCs w:val="24"/>
        </w:rPr>
        <w:t>。</w:t>
      </w:r>
    </w:p>
    <w:p>
      <w:pPr>
        <w:adjustRightInd w:val="0"/>
        <w:snapToGrid w:val="0"/>
        <w:spacing w:line="500" w:lineRule="exact"/>
        <w:ind w:firstLine="560" w:firstLineChars="200"/>
        <w:rPr>
          <w:snapToGrid w:val="0"/>
          <w:color w:val="000000" w:themeColor="text1"/>
          <w:kern w:val="0"/>
          <w:sz w:val="28"/>
          <w:szCs w:val="24"/>
        </w:rPr>
      </w:pPr>
      <w:r>
        <w:rPr>
          <w:rFonts w:hint="eastAsia"/>
          <w:snapToGrid w:val="0"/>
          <w:color w:val="000000" w:themeColor="text1"/>
          <w:kern w:val="0"/>
          <w:sz w:val="28"/>
          <w:szCs w:val="24"/>
        </w:rPr>
        <w:t>（7）</w:t>
      </w:r>
      <w:r>
        <w:rPr>
          <w:snapToGrid w:val="0"/>
          <w:color w:val="000000" w:themeColor="text1"/>
          <w:kern w:val="0"/>
          <w:sz w:val="28"/>
          <w:szCs w:val="24"/>
        </w:rPr>
        <w:t>将危险性特别大的区域、装置作为一个评价单元</w:t>
      </w:r>
      <w:r>
        <w:rPr>
          <w:rFonts w:hint="eastAsia"/>
          <w:snapToGrid w:val="0"/>
          <w:color w:val="000000" w:themeColor="text1"/>
          <w:kern w:val="0"/>
          <w:sz w:val="28"/>
          <w:szCs w:val="24"/>
        </w:rPr>
        <w:t>。</w:t>
      </w:r>
    </w:p>
    <w:p>
      <w:pPr>
        <w:adjustRightInd w:val="0"/>
        <w:snapToGrid w:val="0"/>
        <w:spacing w:line="500" w:lineRule="exact"/>
        <w:ind w:firstLine="560" w:firstLineChars="200"/>
        <w:rPr>
          <w:snapToGrid w:val="0"/>
          <w:color w:val="000000" w:themeColor="text1"/>
          <w:kern w:val="0"/>
          <w:sz w:val="28"/>
          <w:szCs w:val="24"/>
        </w:rPr>
      </w:pPr>
      <w:r>
        <w:rPr>
          <w:rFonts w:hint="eastAsia"/>
          <w:snapToGrid w:val="0"/>
          <w:color w:val="000000" w:themeColor="text1"/>
          <w:kern w:val="0"/>
          <w:sz w:val="28"/>
          <w:szCs w:val="24"/>
        </w:rPr>
        <w:t>（8）</w:t>
      </w:r>
      <w:r>
        <w:rPr>
          <w:snapToGrid w:val="0"/>
          <w:color w:val="000000" w:themeColor="text1"/>
          <w:kern w:val="0"/>
          <w:sz w:val="28"/>
          <w:szCs w:val="24"/>
        </w:rPr>
        <w:t>将具有类似危险性潜能的单元合并为一个大单元。</w:t>
      </w:r>
    </w:p>
    <w:p>
      <w:pPr>
        <w:pStyle w:val="19"/>
        <w:spacing w:afterLines="100" w:line="500" w:lineRule="exact"/>
        <w:rPr>
          <w:rFonts w:ascii="黑体" w:hAnsi="宋体" w:eastAsia="黑体"/>
          <w:color w:val="000000" w:themeColor="text1"/>
          <w:kern w:val="3"/>
          <w:sz w:val="28"/>
          <w:szCs w:val="28"/>
        </w:rPr>
      </w:pPr>
      <w:bookmarkStart w:id="1494" w:name="_Toc6676"/>
      <w:bookmarkStart w:id="1495" w:name="_Toc1609"/>
      <w:bookmarkStart w:id="1496" w:name="_Toc191730036"/>
      <w:bookmarkStart w:id="1497" w:name="_Toc25804"/>
      <w:bookmarkStart w:id="1498" w:name="_Toc7557"/>
      <w:bookmarkStart w:id="1499" w:name="_Toc14922"/>
      <w:bookmarkStart w:id="1500" w:name="_Toc191729752"/>
      <w:bookmarkStart w:id="1501" w:name="_Toc26388"/>
      <w:bookmarkStart w:id="1502" w:name="_Toc217444236"/>
      <w:bookmarkStart w:id="1503" w:name="_Toc151353655"/>
      <w:bookmarkStart w:id="1504" w:name="_Toc191728192"/>
      <w:bookmarkStart w:id="1505" w:name="_Toc194389950"/>
      <w:bookmarkStart w:id="1506" w:name="_Toc704"/>
      <w:bookmarkStart w:id="1507" w:name="_Toc3646"/>
      <w:bookmarkStart w:id="1508" w:name="_Toc4254"/>
      <w:bookmarkStart w:id="1509" w:name="_Toc10467"/>
      <w:bookmarkStart w:id="1510" w:name="_Toc1133"/>
      <w:r>
        <w:rPr>
          <w:rFonts w:hint="eastAsia" w:ascii="黑体" w:hAnsi="宋体" w:eastAsia="黑体"/>
          <w:color w:val="000000" w:themeColor="text1"/>
          <w:kern w:val="3"/>
          <w:sz w:val="28"/>
          <w:szCs w:val="28"/>
        </w:rPr>
        <w:t>4.1.3评价单元的划分</w:t>
      </w:r>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p>
    <w:p>
      <w:pPr>
        <w:pStyle w:val="28"/>
        <w:widowControl/>
        <w:tabs>
          <w:tab w:val="left" w:pos="112"/>
        </w:tabs>
        <w:adjustRightInd/>
        <w:rPr>
          <w:rFonts w:ascii="Times New Roman" w:hAnsi="Times New Roman"/>
          <w:bCs/>
          <w:color w:val="000000" w:themeColor="text1"/>
          <w:szCs w:val="28"/>
        </w:rPr>
      </w:pPr>
      <w:r>
        <w:rPr>
          <w:rFonts w:ascii="Times New Roman" w:hAnsi="Times New Roman"/>
          <w:bCs/>
          <w:color w:val="000000" w:themeColor="text1"/>
          <w:szCs w:val="28"/>
        </w:rPr>
        <w:t>根据</w:t>
      </w:r>
      <w:r>
        <w:rPr>
          <w:rFonts w:hint="eastAsia" w:ascii="Times New Roman" w:hAnsi="Times New Roman"/>
          <w:bCs/>
          <w:color w:val="000000" w:themeColor="text1"/>
          <w:szCs w:val="28"/>
        </w:rPr>
        <w:t>昭通市耀晨甲醇醇油有限公司</w:t>
      </w:r>
      <w:r>
        <w:rPr>
          <w:rFonts w:ascii="Times New Roman" w:hAnsi="Times New Roman"/>
          <w:bCs/>
          <w:color w:val="000000" w:themeColor="text1"/>
          <w:szCs w:val="28"/>
        </w:rPr>
        <w:t>经营储存甲醇过程中存在的主要危险、有害因素的性质和特点，将该项目划为以下评价单元：</w:t>
      </w:r>
    </w:p>
    <w:p>
      <w:pPr>
        <w:pStyle w:val="28"/>
        <w:widowControl/>
        <w:tabs>
          <w:tab w:val="left" w:pos="112"/>
        </w:tabs>
        <w:adjustRightInd/>
        <w:ind w:left="560" w:firstLine="0" w:firstLineChars="0"/>
        <w:rPr>
          <w:rFonts w:ascii="Times New Roman" w:hAnsi="Times New Roman"/>
          <w:bCs/>
          <w:color w:val="000000" w:themeColor="text1"/>
          <w:szCs w:val="28"/>
        </w:rPr>
      </w:pPr>
      <w:r>
        <w:rPr>
          <w:rFonts w:ascii="Times New Roman" w:hAnsi="Times New Roman"/>
          <w:bCs/>
          <w:color w:val="000000" w:themeColor="text1"/>
          <w:szCs w:val="28"/>
        </w:rPr>
        <w:t>1</w:t>
      </w:r>
      <w:r>
        <w:rPr>
          <w:rFonts w:hint="eastAsia" w:ascii="Times New Roman" w:hAnsi="Times New Roman"/>
          <w:bCs/>
          <w:color w:val="000000" w:themeColor="text1"/>
          <w:szCs w:val="28"/>
        </w:rPr>
        <w:t>.</w:t>
      </w:r>
      <w:r>
        <w:rPr>
          <w:rFonts w:ascii="Times New Roman" w:hAnsi="Times New Roman"/>
          <w:bCs/>
          <w:color w:val="000000" w:themeColor="text1"/>
          <w:szCs w:val="28"/>
        </w:rPr>
        <w:t>厂址及总平面布置评价单元；</w:t>
      </w:r>
    </w:p>
    <w:p>
      <w:pPr>
        <w:pStyle w:val="28"/>
        <w:widowControl/>
        <w:tabs>
          <w:tab w:val="left" w:pos="112"/>
        </w:tabs>
        <w:adjustRightInd/>
        <w:ind w:left="560" w:firstLine="0" w:firstLineChars="0"/>
        <w:rPr>
          <w:rFonts w:ascii="Times New Roman" w:hAnsi="Times New Roman"/>
          <w:bCs/>
          <w:color w:val="000000" w:themeColor="text1"/>
          <w:szCs w:val="28"/>
        </w:rPr>
      </w:pPr>
      <w:r>
        <w:rPr>
          <w:rFonts w:hint="eastAsia"/>
          <w:color w:val="000000" w:themeColor="text1"/>
          <w:szCs w:val="24"/>
        </w:rPr>
        <w:t>（1）</w:t>
      </w:r>
      <w:r>
        <w:rPr>
          <w:rFonts w:ascii="Times New Roman" w:hAnsi="Times New Roman"/>
          <w:bCs/>
          <w:color w:val="000000" w:themeColor="text1"/>
          <w:szCs w:val="28"/>
        </w:rPr>
        <w:t>厂址</w:t>
      </w:r>
      <w:r>
        <w:rPr>
          <w:rFonts w:hint="eastAsia" w:ascii="Times New Roman" w:hAnsi="Times New Roman"/>
          <w:bCs/>
          <w:color w:val="000000" w:themeColor="text1"/>
          <w:szCs w:val="28"/>
          <w:lang w:val="en-US" w:eastAsia="zh-CN"/>
        </w:rPr>
        <w:t>安全</w:t>
      </w:r>
      <w:r>
        <w:rPr>
          <w:rFonts w:ascii="Times New Roman" w:hAnsi="Times New Roman"/>
          <w:bCs/>
          <w:color w:val="000000" w:themeColor="text1"/>
          <w:szCs w:val="28"/>
        </w:rPr>
        <w:t>评价评价子单元</w:t>
      </w:r>
      <w:r>
        <w:rPr>
          <w:rFonts w:hint="eastAsia" w:ascii="Times New Roman" w:hAnsi="Times New Roman"/>
          <w:bCs/>
          <w:color w:val="000000" w:themeColor="text1"/>
          <w:szCs w:val="28"/>
        </w:rPr>
        <w:t>。</w:t>
      </w:r>
    </w:p>
    <w:p>
      <w:pPr>
        <w:pStyle w:val="28"/>
        <w:widowControl/>
        <w:tabs>
          <w:tab w:val="left" w:pos="112"/>
        </w:tabs>
        <w:adjustRightInd/>
        <w:ind w:left="560" w:firstLine="0" w:firstLineChars="0"/>
        <w:rPr>
          <w:rFonts w:ascii="Times New Roman" w:hAnsi="Times New Roman"/>
          <w:bCs/>
          <w:color w:val="000000" w:themeColor="text1"/>
          <w:szCs w:val="28"/>
        </w:rPr>
      </w:pPr>
      <w:r>
        <w:rPr>
          <w:rFonts w:hint="eastAsia"/>
          <w:color w:val="000000" w:themeColor="text1"/>
          <w:szCs w:val="24"/>
        </w:rPr>
        <w:t>（2）</w:t>
      </w:r>
      <w:r>
        <w:rPr>
          <w:rFonts w:ascii="Times New Roman" w:hAnsi="Times New Roman"/>
          <w:bCs/>
          <w:color w:val="000000" w:themeColor="text1"/>
          <w:szCs w:val="28"/>
        </w:rPr>
        <w:t>总平面布置</w:t>
      </w:r>
      <w:r>
        <w:rPr>
          <w:rFonts w:hint="eastAsia" w:ascii="Times New Roman" w:hAnsi="Times New Roman"/>
          <w:bCs/>
          <w:color w:val="000000" w:themeColor="text1"/>
          <w:szCs w:val="28"/>
          <w:lang w:val="en-US" w:eastAsia="zh-CN"/>
        </w:rPr>
        <w:t>安全</w:t>
      </w:r>
      <w:r>
        <w:rPr>
          <w:rFonts w:ascii="Times New Roman" w:hAnsi="Times New Roman"/>
          <w:bCs/>
          <w:color w:val="000000" w:themeColor="text1"/>
          <w:szCs w:val="28"/>
        </w:rPr>
        <w:t>评价子单元</w:t>
      </w:r>
      <w:r>
        <w:rPr>
          <w:rFonts w:hint="eastAsia" w:ascii="Times New Roman" w:hAnsi="Times New Roman"/>
          <w:bCs/>
          <w:color w:val="000000" w:themeColor="text1"/>
          <w:szCs w:val="28"/>
        </w:rPr>
        <w:t>。</w:t>
      </w:r>
    </w:p>
    <w:p>
      <w:pPr>
        <w:pStyle w:val="28"/>
        <w:widowControl/>
        <w:tabs>
          <w:tab w:val="left" w:pos="112"/>
        </w:tabs>
        <w:adjustRightInd/>
        <w:ind w:left="560" w:firstLine="0" w:firstLineChars="0"/>
        <w:rPr>
          <w:rFonts w:ascii="Times New Roman" w:hAnsi="Times New Roman"/>
          <w:bCs/>
          <w:color w:val="000000" w:themeColor="text1"/>
          <w:szCs w:val="28"/>
        </w:rPr>
      </w:pPr>
      <w:r>
        <w:rPr>
          <w:rFonts w:ascii="Times New Roman" w:hAnsi="Times New Roman"/>
          <w:bCs/>
          <w:color w:val="000000" w:themeColor="text1"/>
          <w:szCs w:val="28"/>
        </w:rPr>
        <w:t>2</w:t>
      </w:r>
      <w:r>
        <w:rPr>
          <w:rFonts w:hint="eastAsia" w:ascii="Times New Roman" w:hAnsi="Times New Roman"/>
          <w:bCs/>
          <w:color w:val="000000" w:themeColor="text1"/>
          <w:szCs w:val="28"/>
        </w:rPr>
        <w:t>.</w:t>
      </w:r>
      <w:r>
        <w:rPr>
          <w:rFonts w:ascii="Times New Roman" w:hAnsi="Times New Roman"/>
          <w:bCs/>
          <w:color w:val="000000" w:themeColor="text1"/>
          <w:szCs w:val="28"/>
        </w:rPr>
        <w:t>甲醇储存工艺设备、设施单元</w:t>
      </w:r>
      <w:r>
        <w:rPr>
          <w:rFonts w:hint="eastAsia" w:ascii="Times New Roman" w:hAnsi="Times New Roman"/>
          <w:bCs/>
          <w:color w:val="000000" w:themeColor="text1"/>
          <w:szCs w:val="28"/>
          <w:lang w:val="en-US" w:eastAsia="zh-CN"/>
        </w:rPr>
        <w:t>分析评价</w:t>
      </w:r>
      <w:r>
        <w:rPr>
          <w:rFonts w:ascii="Times New Roman" w:hAnsi="Times New Roman"/>
          <w:bCs/>
          <w:color w:val="000000" w:themeColor="text1"/>
          <w:szCs w:val="28"/>
        </w:rPr>
        <w:t>；</w:t>
      </w:r>
    </w:p>
    <w:p>
      <w:pPr>
        <w:pStyle w:val="28"/>
        <w:widowControl/>
        <w:tabs>
          <w:tab w:val="left" w:pos="112"/>
        </w:tabs>
        <w:adjustRightInd/>
        <w:rPr>
          <w:rFonts w:ascii="Times New Roman" w:hAnsi="Times New Roman"/>
          <w:bCs/>
          <w:color w:val="000000" w:themeColor="text1"/>
          <w:szCs w:val="28"/>
        </w:rPr>
      </w:pPr>
      <w:r>
        <w:rPr>
          <w:rFonts w:ascii="Times New Roman" w:hAnsi="Times New Roman"/>
          <w:bCs/>
          <w:color w:val="000000" w:themeColor="text1"/>
          <w:szCs w:val="28"/>
        </w:rPr>
        <w:t>3</w:t>
      </w:r>
      <w:r>
        <w:rPr>
          <w:rFonts w:hint="eastAsia" w:ascii="Times New Roman" w:hAnsi="Times New Roman"/>
          <w:bCs/>
          <w:color w:val="000000" w:themeColor="text1"/>
          <w:szCs w:val="28"/>
        </w:rPr>
        <w:t>.</w:t>
      </w:r>
      <w:r>
        <w:rPr>
          <w:rFonts w:ascii="Times New Roman" w:hAnsi="Times New Roman"/>
          <w:bCs/>
          <w:color w:val="000000" w:themeColor="text1"/>
          <w:szCs w:val="28"/>
        </w:rPr>
        <w:t>公辅设施评价单元；</w:t>
      </w:r>
    </w:p>
    <w:p>
      <w:pPr>
        <w:pStyle w:val="28"/>
        <w:widowControl/>
        <w:tabs>
          <w:tab w:val="left" w:pos="112"/>
        </w:tabs>
        <w:adjustRightInd/>
        <w:rPr>
          <w:rFonts w:ascii="Times New Roman" w:hAnsi="Times New Roman"/>
          <w:bCs/>
          <w:color w:val="000000" w:themeColor="text1"/>
          <w:szCs w:val="28"/>
        </w:rPr>
      </w:pPr>
      <w:r>
        <w:rPr>
          <w:rFonts w:hint="eastAsia"/>
          <w:color w:val="000000" w:themeColor="text1"/>
          <w:szCs w:val="24"/>
        </w:rPr>
        <w:t>（1）</w:t>
      </w:r>
      <w:r>
        <w:rPr>
          <w:rFonts w:ascii="Times New Roman" w:hAnsi="Times New Roman"/>
          <w:bCs/>
          <w:color w:val="000000" w:themeColor="text1"/>
          <w:szCs w:val="28"/>
        </w:rPr>
        <w:t>供配电评价子单元</w:t>
      </w:r>
      <w:r>
        <w:rPr>
          <w:rFonts w:hint="eastAsia" w:ascii="Times New Roman" w:hAnsi="Times New Roman"/>
          <w:bCs/>
          <w:color w:val="000000" w:themeColor="text1"/>
          <w:szCs w:val="28"/>
        </w:rPr>
        <w:t>。</w:t>
      </w:r>
    </w:p>
    <w:p>
      <w:pPr>
        <w:pStyle w:val="28"/>
        <w:widowControl/>
        <w:tabs>
          <w:tab w:val="left" w:pos="112"/>
        </w:tabs>
        <w:adjustRightInd/>
        <w:rPr>
          <w:rFonts w:ascii="Times New Roman" w:hAnsi="Times New Roman"/>
          <w:bCs/>
          <w:color w:val="000000" w:themeColor="text1"/>
          <w:szCs w:val="28"/>
        </w:rPr>
      </w:pPr>
      <w:r>
        <w:rPr>
          <w:rFonts w:hint="eastAsia"/>
          <w:color w:val="000000" w:themeColor="text1"/>
          <w:szCs w:val="24"/>
        </w:rPr>
        <w:t>（2）</w:t>
      </w:r>
      <w:r>
        <w:rPr>
          <w:rFonts w:ascii="Times New Roman" w:hAnsi="Times New Roman"/>
          <w:bCs/>
          <w:color w:val="000000" w:themeColor="text1"/>
          <w:szCs w:val="28"/>
        </w:rPr>
        <w:t>消防、给排水评价子单元</w:t>
      </w:r>
      <w:r>
        <w:rPr>
          <w:rFonts w:hint="eastAsia" w:ascii="Times New Roman" w:hAnsi="Times New Roman"/>
          <w:bCs/>
          <w:color w:val="000000" w:themeColor="text1"/>
          <w:szCs w:val="28"/>
        </w:rPr>
        <w:t>。</w:t>
      </w:r>
    </w:p>
    <w:p>
      <w:pPr>
        <w:pStyle w:val="28"/>
        <w:widowControl/>
        <w:tabs>
          <w:tab w:val="left" w:pos="112"/>
        </w:tabs>
        <w:adjustRightInd/>
        <w:rPr>
          <w:rFonts w:ascii="Times New Roman" w:hAnsi="Times New Roman"/>
          <w:bCs/>
          <w:color w:val="000000" w:themeColor="text1"/>
          <w:szCs w:val="28"/>
        </w:rPr>
      </w:pPr>
      <w:r>
        <w:rPr>
          <w:rFonts w:hint="eastAsia"/>
          <w:color w:val="000000" w:themeColor="text1"/>
          <w:szCs w:val="24"/>
        </w:rPr>
        <w:t>（3）</w:t>
      </w:r>
      <w:r>
        <w:rPr>
          <w:rFonts w:ascii="Times New Roman" w:hAnsi="Times New Roman"/>
          <w:bCs/>
          <w:color w:val="000000" w:themeColor="text1"/>
          <w:szCs w:val="28"/>
        </w:rPr>
        <w:t>防雷、防静电装置评价子单元</w:t>
      </w:r>
      <w:r>
        <w:rPr>
          <w:rFonts w:hint="eastAsia" w:ascii="Times New Roman" w:hAnsi="Times New Roman"/>
          <w:bCs/>
          <w:color w:val="000000" w:themeColor="text1"/>
          <w:szCs w:val="28"/>
        </w:rPr>
        <w:t>。</w:t>
      </w:r>
    </w:p>
    <w:p>
      <w:pPr>
        <w:pStyle w:val="28"/>
        <w:widowControl/>
        <w:tabs>
          <w:tab w:val="left" w:pos="112"/>
        </w:tabs>
        <w:adjustRightInd/>
        <w:rPr>
          <w:rFonts w:ascii="Times New Roman" w:hAnsi="Times New Roman"/>
          <w:bCs/>
          <w:color w:val="000000" w:themeColor="text1"/>
          <w:szCs w:val="28"/>
        </w:rPr>
      </w:pPr>
      <w:r>
        <w:rPr>
          <w:rFonts w:ascii="Times New Roman" w:hAnsi="Times New Roman"/>
          <w:bCs/>
          <w:color w:val="000000" w:themeColor="text1"/>
          <w:szCs w:val="28"/>
        </w:rPr>
        <w:t>4</w:t>
      </w:r>
      <w:r>
        <w:rPr>
          <w:rFonts w:hint="eastAsia" w:ascii="Times New Roman" w:hAnsi="Times New Roman"/>
          <w:bCs/>
          <w:color w:val="000000" w:themeColor="text1"/>
          <w:szCs w:val="28"/>
        </w:rPr>
        <w:t>.</w:t>
      </w:r>
      <w:r>
        <w:rPr>
          <w:rFonts w:ascii="Times New Roman" w:hAnsi="Times New Roman"/>
          <w:bCs/>
          <w:color w:val="000000" w:themeColor="text1"/>
          <w:szCs w:val="28"/>
        </w:rPr>
        <w:t>安全设施评价单元；</w:t>
      </w:r>
    </w:p>
    <w:p>
      <w:pPr>
        <w:pStyle w:val="28"/>
        <w:widowControl/>
        <w:tabs>
          <w:tab w:val="left" w:pos="112"/>
        </w:tabs>
        <w:adjustRightInd/>
        <w:rPr>
          <w:rFonts w:hint="eastAsia" w:ascii="Times New Roman" w:hAnsi="Times New Roman"/>
          <w:bCs/>
          <w:color w:val="000000" w:themeColor="text1"/>
          <w:szCs w:val="28"/>
          <w:lang w:eastAsia="zh-CN"/>
        </w:rPr>
      </w:pPr>
      <w:r>
        <w:rPr>
          <w:rFonts w:ascii="Times New Roman" w:hAnsi="Times New Roman"/>
          <w:bCs/>
          <w:color w:val="000000" w:themeColor="text1"/>
          <w:szCs w:val="28"/>
        </w:rPr>
        <w:t>5</w:t>
      </w:r>
      <w:r>
        <w:rPr>
          <w:rFonts w:hint="eastAsia" w:ascii="Times New Roman" w:hAnsi="Times New Roman"/>
          <w:bCs/>
          <w:color w:val="000000" w:themeColor="text1"/>
          <w:szCs w:val="28"/>
        </w:rPr>
        <w:t>.</w:t>
      </w:r>
      <w:r>
        <w:rPr>
          <w:rFonts w:ascii="Times New Roman" w:hAnsi="Times New Roman"/>
          <w:bCs/>
          <w:color w:val="000000" w:themeColor="text1"/>
          <w:szCs w:val="28"/>
        </w:rPr>
        <w:t>安全管理评价单元</w:t>
      </w:r>
      <w:r>
        <w:rPr>
          <w:rFonts w:hint="eastAsia" w:ascii="Times New Roman" w:hAnsi="Times New Roman"/>
          <w:bCs/>
          <w:color w:val="000000" w:themeColor="text1"/>
          <w:szCs w:val="28"/>
          <w:lang w:eastAsia="zh-CN"/>
        </w:rPr>
        <w:t>；</w:t>
      </w:r>
    </w:p>
    <w:p>
      <w:pPr>
        <w:ind w:firstLine="560" w:firstLineChars="200"/>
        <w:rPr>
          <w:rFonts w:ascii="宋体" w:hAnsi="宋体"/>
          <w:color w:val="000000"/>
          <w:sz w:val="28"/>
        </w:rPr>
      </w:pPr>
      <w:r>
        <w:rPr>
          <w:rFonts w:hint="eastAsia" w:ascii="宋体" w:hAnsi="宋体"/>
          <w:color w:val="000000"/>
          <w:sz w:val="28"/>
          <w:lang w:val="en-US" w:eastAsia="zh-CN"/>
        </w:rPr>
        <w:t>6</w:t>
      </w:r>
      <w:r>
        <w:rPr>
          <w:rFonts w:ascii="宋体" w:hAnsi="宋体"/>
          <w:color w:val="000000"/>
          <w:sz w:val="28"/>
        </w:rPr>
        <w:t>.</w:t>
      </w:r>
      <w:r>
        <w:rPr>
          <w:rFonts w:hint="eastAsia" w:ascii="宋体" w:hAnsi="宋体"/>
          <w:color w:val="000000"/>
          <w:sz w:val="28"/>
        </w:rPr>
        <w:t>重大隐患判定及安全经营条件单元</w:t>
      </w:r>
      <w:r>
        <w:rPr>
          <w:rFonts w:ascii="宋体" w:hAnsi="宋体"/>
          <w:color w:val="000000"/>
          <w:sz w:val="28"/>
        </w:rPr>
        <w:t>。</w:t>
      </w:r>
    </w:p>
    <w:p>
      <w:pPr>
        <w:pStyle w:val="19"/>
        <w:spacing w:afterLines="100" w:line="500" w:lineRule="exact"/>
        <w:jc w:val="center"/>
        <w:rPr>
          <w:rFonts w:ascii="楷体_GB2312" w:hAnsi="宋体" w:eastAsia="楷体_GB2312"/>
          <w:color w:val="000000" w:themeColor="text1"/>
          <w:kern w:val="3"/>
        </w:rPr>
      </w:pPr>
      <w:bookmarkStart w:id="1511" w:name="_Toc23444"/>
      <w:bookmarkStart w:id="1512" w:name="_Toc12133"/>
      <w:bookmarkStart w:id="1513" w:name="_Toc10093"/>
      <w:bookmarkStart w:id="1514" w:name="_Toc191729753"/>
      <w:bookmarkStart w:id="1515" w:name="_Toc191728193"/>
      <w:bookmarkStart w:id="1516" w:name="_Toc15201"/>
      <w:bookmarkStart w:id="1517" w:name="_Toc6032"/>
      <w:bookmarkStart w:id="1518" w:name="_Toc15612"/>
      <w:bookmarkStart w:id="1519" w:name="_Toc15018"/>
      <w:bookmarkStart w:id="1520" w:name="_Toc1070"/>
      <w:bookmarkStart w:id="1521" w:name="_Toc8455_WPSOffice_Level2"/>
      <w:bookmarkStart w:id="1522" w:name="_Toc27453"/>
      <w:bookmarkStart w:id="1523" w:name="_Toc31710"/>
      <w:bookmarkStart w:id="1524" w:name="_Toc11760"/>
      <w:bookmarkStart w:id="1525" w:name="_Toc22428"/>
      <w:bookmarkStart w:id="1526" w:name="_Toc26933"/>
      <w:bookmarkStart w:id="1527" w:name="_Toc217444237"/>
      <w:bookmarkStart w:id="1528" w:name="_Toc191730037"/>
      <w:bookmarkStart w:id="1529" w:name="_Toc3773"/>
      <w:bookmarkStart w:id="1530" w:name="_Toc26789"/>
      <w:bookmarkStart w:id="1531" w:name="_Toc194389951"/>
      <w:bookmarkStart w:id="1532" w:name="_Toc18171"/>
      <w:r>
        <w:rPr>
          <w:rFonts w:hint="eastAsia" w:ascii="楷体_GB2312" w:hAnsi="宋体" w:eastAsia="楷体_GB2312"/>
          <w:color w:val="000000" w:themeColor="text1"/>
          <w:kern w:val="3"/>
        </w:rPr>
        <w:t>4.2评价方法的选择</w:t>
      </w:r>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p>
    <w:p>
      <w:pPr>
        <w:adjustRightInd w:val="0"/>
        <w:snapToGrid w:val="0"/>
        <w:spacing w:line="480" w:lineRule="exact"/>
        <w:ind w:firstLine="560" w:firstLineChars="200"/>
        <w:rPr>
          <w:rFonts w:eastAsiaTheme="minorEastAsia"/>
          <w:snapToGrid w:val="0"/>
          <w:color w:val="000000" w:themeColor="text1"/>
          <w:kern w:val="0"/>
          <w:sz w:val="28"/>
          <w:szCs w:val="28"/>
        </w:rPr>
      </w:pPr>
      <w:r>
        <w:rPr>
          <w:snapToGrid w:val="0"/>
          <w:color w:val="000000" w:themeColor="text1"/>
          <w:kern w:val="0"/>
          <w:sz w:val="28"/>
        </w:rPr>
        <w:t>安全评价方法是对系统的危险、有害因素及其危险、危害程度进行分析、评价的方法。</w:t>
      </w:r>
      <w:r>
        <w:rPr>
          <w:snapToGrid w:val="0"/>
          <w:color w:val="000000" w:themeColor="text1"/>
          <w:kern w:val="0"/>
          <w:sz w:val="28"/>
          <w:szCs w:val="28"/>
        </w:rPr>
        <w:t>目前，已开发出数十种不同特点、适用不同范围和应用条件的评价</w:t>
      </w:r>
      <w:r>
        <w:rPr>
          <w:rFonts w:eastAsiaTheme="minorEastAsia"/>
          <w:snapToGrid w:val="0"/>
          <w:color w:val="000000" w:themeColor="text1"/>
          <w:kern w:val="0"/>
          <w:sz w:val="28"/>
          <w:szCs w:val="28"/>
        </w:rPr>
        <w:t>方法。按其特性可分为定性安全评价和定量安全评价。</w:t>
      </w:r>
    </w:p>
    <w:p>
      <w:pPr>
        <w:adjustRightInd w:val="0"/>
        <w:snapToGrid w:val="0"/>
        <w:spacing w:line="480" w:lineRule="exact"/>
        <w:ind w:firstLine="560" w:firstLineChars="200"/>
        <w:rPr>
          <w:rFonts w:eastAsiaTheme="minorEastAsia"/>
          <w:snapToGrid w:val="0"/>
          <w:color w:val="000000" w:themeColor="text1"/>
          <w:kern w:val="0"/>
          <w:sz w:val="28"/>
          <w:szCs w:val="28"/>
        </w:rPr>
      </w:pPr>
      <w:r>
        <w:rPr>
          <w:rFonts w:eastAsiaTheme="minorEastAsia"/>
          <w:snapToGrid w:val="0"/>
          <w:color w:val="000000" w:themeColor="text1"/>
          <w:kern w:val="0"/>
          <w:sz w:val="28"/>
          <w:szCs w:val="28"/>
        </w:rPr>
        <w:t>鉴于被评价单位的实际情况和从评价效果出发，在实施评价时，我们采用的评价方法主要是安全检查表法（SCA）、LEC法、危险度评价法。</w:t>
      </w:r>
    </w:p>
    <w:p>
      <w:pPr>
        <w:pStyle w:val="19"/>
        <w:spacing w:afterLines="100" w:line="500" w:lineRule="exact"/>
        <w:jc w:val="center"/>
        <w:rPr>
          <w:rFonts w:ascii="楷体_GB2312" w:hAnsi="宋体" w:eastAsia="楷体_GB2312"/>
          <w:color w:val="000000" w:themeColor="text1"/>
          <w:kern w:val="3"/>
        </w:rPr>
      </w:pPr>
      <w:bookmarkStart w:id="1533" w:name="_Toc208398747"/>
      <w:bookmarkStart w:id="1534" w:name="_Toc32443"/>
      <w:bookmarkStart w:id="1535" w:name="_Toc14473"/>
      <w:bookmarkStart w:id="1536" w:name="_Toc6654_WPSOffice_Level2"/>
      <w:bookmarkStart w:id="1537" w:name="_Toc16100"/>
      <w:bookmarkStart w:id="1538" w:name="_Toc1077"/>
      <w:bookmarkStart w:id="1539" w:name="_Toc12545"/>
      <w:bookmarkStart w:id="1540" w:name="_Toc2020"/>
      <w:bookmarkStart w:id="1541" w:name="_Toc12544"/>
      <w:bookmarkStart w:id="1542" w:name="_Toc7451"/>
      <w:bookmarkStart w:id="1543" w:name="_Toc19157"/>
      <w:bookmarkStart w:id="1544" w:name="_Toc25731"/>
      <w:bookmarkStart w:id="1545" w:name="_Toc32181"/>
      <w:bookmarkStart w:id="1546" w:name="_Toc16262"/>
      <w:bookmarkStart w:id="1547" w:name="_Toc7723"/>
      <w:bookmarkStart w:id="1548" w:name="_Toc30462"/>
      <w:bookmarkStart w:id="1549" w:name="_Toc31629"/>
      <w:bookmarkStart w:id="1550" w:name="_Toc17084"/>
      <w:r>
        <w:rPr>
          <w:rFonts w:hint="eastAsia" w:ascii="楷体_GB2312" w:hAnsi="宋体" w:eastAsia="楷体_GB2312"/>
          <w:color w:val="000000" w:themeColor="text1"/>
          <w:kern w:val="3"/>
        </w:rPr>
        <w:t>4.3</w:t>
      </w:r>
      <w:bookmarkEnd w:id="1533"/>
      <w:r>
        <w:rPr>
          <w:rFonts w:hint="eastAsia" w:ascii="楷体_GB2312" w:hAnsi="宋体" w:eastAsia="楷体_GB2312"/>
          <w:color w:val="000000" w:themeColor="text1"/>
          <w:kern w:val="3"/>
        </w:rPr>
        <w:t>安全评价方法简介</w:t>
      </w:r>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p>
    <w:p>
      <w:pPr>
        <w:pStyle w:val="19"/>
        <w:spacing w:afterLines="100" w:line="500" w:lineRule="exact"/>
        <w:rPr>
          <w:rFonts w:ascii="黑体" w:hAnsi="宋体" w:eastAsia="黑体"/>
          <w:color w:val="000000" w:themeColor="text1"/>
          <w:kern w:val="3"/>
          <w:sz w:val="28"/>
          <w:szCs w:val="28"/>
        </w:rPr>
      </w:pPr>
      <w:bookmarkStart w:id="1551" w:name="_Toc15765"/>
      <w:bookmarkStart w:id="1552" w:name="_Toc4433"/>
      <w:bookmarkStart w:id="1553" w:name="_Toc26664"/>
      <w:bookmarkStart w:id="1554" w:name="_Toc18516"/>
      <w:bookmarkStart w:id="1555" w:name="_Toc20195"/>
      <w:bookmarkStart w:id="1556" w:name="_Toc443"/>
      <w:bookmarkStart w:id="1557" w:name="_Toc24165"/>
      <w:bookmarkStart w:id="1558" w:name="_Toc14126"/>
      <w:bookmarkStart w:id="1559" w:name="_Toc405"/>
      <w:bookmarkStart w:id="1560" w:name="_Toc4784"/>
      <w:bookmarkStart w:id="1561" w:name="_Toc286493608"/>
      <w:bookmarkStart w:id="1562" w:name="_Toc345765784"/>
      <w:r>
        <w:rPr>
          <w:rFonts w:hint="eastAsia" w:ascii="黑体" w:hAnsi="宋体" w:eastAsia="黑体"/>
          <w:color w:val="000000" w:themeColor="text1"/>
          <w:kern w:val="3"/>
          <w:sz w:val="28"/>
          <w:szCs w:val="28"/>
        </w:rPr>
        <w:t>4.3.1 安全检查表法简介</w:t>
      </w:r>
      <w:bookmarkEnd w:id="1551"/>
      <w:bookmarkEnd w:id="1552"/>
      <w:bookmarkEnd w:id="1553"/>
      <w:bookmarkEnd w:id="1554"/>
      <w:bookmarkEnd w:id="1555"/>
      <w:bookmarkEnd w:id="1556"/>
      <w:bookmarkEnd w:id="1557"/>
      <w:bookmarkEnd w:id="1558"/>
      <w:bookmarkEnd w:id="1559"/>
      <w:bookmarkEnd w:id="1560"/>
    </w:p>
    <w:p>
      <w:pPr>
        <w:spacing w:line="480" w:lineRule="exact"/>
        <w:ind w:firstLine="560" w:firstLineChars="200"/>
        <w:rPr>
          <w:color w:val="000000" w:themeColor="text1"/>
          <w:sz w:val="28"/>
        </w:rPr>
      </w:pPr>
      <w:r>
        <w:rPr>
          <w:snapToGrid w:val="0"/>
          <w:color w:val="000000" w:themeColor="text1"/>
          <w:kern w:val="0"/>
          <w:sz w:val="28"/>
          <w:szCs w:val="28"/>
        </w:rPr>
        <w:t>安全检查表实际上就是实施安全检查和诊断的项目明细表，把要检查的项目和具体要求列在表上，以备在检查和设计时按预定项目去检查。检查表的内容一般包括分类项目、检查内容及要求、检查以后处理意见等，每次检查后都应填写具体的检查情况，用“符合”、“不符合”作回答或“√”、“×”符号作标记，根据“符合”、“不符合”的比例来判定该企业是否符和安全要求。</w:t>
      </w:r>
    </w:p>
    <w:p>
      <w:pPr>
        <w:adjustRightInd w:val="0"/>
        <w:spacing w:line="500" w:lineRule="exact"/>
        <w:ind w:firstLine="560" w:firstLineChars="200"/>
        <w:rPr>
          <w:snapToGrid w:val="0"/>
          <w:color w:val="000000" w:themeColor="text1"/>
          <w:kern w:val="0"/>
          <w:sz w:val="28"/>
          <w:szCs w:val="28"/>
        </w:rPr>
      </w:pPr>
      <w:r>
        <w:rPr>
          <w:snapToGrid w:val="0"/>
          <w:color w:val="000000" w:themeColor="text1"/>
          <w:kern w:val="0"/>
          <w:sz w:val="28"/>
          <w:szCs w:val="28"/>
        </w:rPr>
        <w:t>安全检查表的优点如下：</w:t>
      </w:r>
    </w:p>
    <w:p>
      <w:pPr>
        <w:adjustRightInd w:val="0"/>
        <w:spacing w:line="500" w:lineRule="exact"/>
        <w:ind w:firstLine="560" w:firstLineChars="200"/>
        <w:rPr>
          <w:color w:val="000000" w:themeColor="text1"/>
          <w:kern w:val="0"/>
          <w:sz w:val="28"/>
          <w:szCs w:val="28"/>
        </w:rPr>
      </w:pPr>
      <w:r>
        <w:rPr>
          <w:color w:val="000000" w:themeColor="text1"/>
          <w:kern w:val="0"/>
          <w:sz w:val="28"/>
          <w:szCs w:val="28"/>
        </w:rPr>
        <w:t>1</w:t>
      </w:r>
      <w:r>
        <w:rPr>
          <w:rFonts w:hint="eastAsia"/>
          <w:color w:val="000000" w:themeColor="text1"/>
          <w:kern w:val="0"/>
          <w:sz w:val="28"/>
          <w:szCs w:val="28"/>
        </w:rPr>
        <w:t>.</w:t>
      </w:r>
      <w:r>
        <w:rPr>
          <w:color w:val="000000" w:themeColor="text1"/>
          <w:kern w:val="0"/>
          <w:sz w:val="28"/>
          <w:szCs w:val="28"/>
        </w:rPr>
        <w:t>避免传统的安全检查中易发生的疏忽、遗漏等弊端，可全面地查出危险、有害因素（包括各类隐患）和工作漏项。</w:t>
      </w:r>
    </w:p>
    <w:p>
      <w:pPr>
        <w:adjustRightInd w:val="0"/>
        <w:spacing w:line="500" w:lineRule="exact"/>
        <w:ind w:firstLine="560" w:firstLineChars="200"/>
        <w:rPr>
          <w:color w:val="000000" w:themeColor="text1"/>
          <w:kern w:val="0"/>
          <w:sz w:val="28"/>
          <w:szCs w:val="28"/>
        </w:rPr>
      </w:pPr>
      <w:r>
        <w:rPr>
          <w:color w:val="000000" w:themeColor="text1"/>
          <w:kern w:val="0"/>
          <w:sz w:val="28"/>
          <w:szCs w:val="28"/>
        </w:rPr>
        <w:t>2</w:t>
      </w:r>
      <w:r>
        <w:rPr>
          <w:rFonts w:hint="eastAsia"/>
          <w:color w:val="000000" w:themeColor="text1"/>
          <w:kern w:val="0"/>
          <w:sz w:val="28"/>
          <w:szCs w:val="28"/>
        </w:rPr>
        <w:t>.</w:t>
      </w:r>
      <w:r>
        <w:rPr>
          <w:color w:val="000000" w:themeColor="text1"/>
          <w:kern w:val="0"/>
          <w:sz w:val="28"/>
          <w:szCs w:val="28"/>
        </w:rPr>
        <w:t>应用预先编制的系统检查表并依据有关法规、标准在检查表中列出了检查要求，使检查工作标准化、规范化。</w:t>
      </w:r>
    </w:p>
    <w:p>
      <w:pPr>
        <w:adjustRightInd w:val="0"/>
        <w:spacing w:line="500" w:lineRule="exact"/>
        <w:ind w:firstLine="560" w:firstLineChars="200"/>
        <w:rPr>
          <w:color w:val="000000" w:themeColor="text1"/>
          <w:kern w:val="0"/>
          <w:sz w:val="28"/>
          <w:szCs w:val="28"/>
        </w:rPr>
      </w:pPr>
      <w:r>
        <w:rPr>
          <w:color w:val="000000" w:themeColor="text1"/>
          <w:kern w:val="0"/>
          <w:sz w:val="28"/>
          <w:szCs w:val="28"/>
        </w:rPr>
        <w:t>3</w:t>
      </w:r>
      <w:r>
        <w:rPr>
          <w:rFonts w:hint="eastAsia"/>
          <w:color w:val="000000" w:themeColor="text1"/>
          <w:kern w:val="0"/>
          <w:sz w:val="28"/>
          <w:szCs w:val="28"/>
        </w:rPr>
        <w:t>.</w:t>
      </w:r>
      <w:r>
        <w:rPr>
          <w:color w:val="000000" w:themeColor="text1"/>
          <w:kern w:val="0"/>
          <w:sz w:val="28"/>
          <w:szCs w:val="28"/>
        </w:rPr>
        <w:t>对不同的检查对象、检查目的有不同的检查表，应用范围广。</w:t>
      </w:r>
    </w:p>
    <w:p>
      <w:pPr>
        <w:adjustRightInd w:val="0"/>
        <w:spacing w:line="500" w:lineRule="exact"/>
        <w:ind w:firstLine="560" w:firstLineChars="200"/>
        <w:rPr>
          <w:color w:val="000000" w:themeColor="text1"/>
          <w:kern w:val="0"/>
          <w:sz w:val="28"/>
          <w:szCs w:val="28"/>
        </w:rPr>
      </w:pPr>
      <w:r>
        <w:rPr>
          <w:color w:val="000000" w:themeColor="text1"/>
          <w:kern w:val="0"/>
          <w:sz w:val="28"/>
          <w:szCs w:val="28"/>
        </w:rPr>
        <w:t>4</w:t>
      </w:r>
      <w:r>
        <w:rPr>
          <w:rFonts w:hint="eastAsia"/>
          <w:color w:val="000000" w:themeColor="text1"/>
          <w:kern w:val="0"/>
          <w:sz w:val="28"/>
          <w:szCs w:val="28"/>
        </w:rPr>
        <w:t>.</w:t>
      </w:r>
      <w:r>
        <w:rPr>
          <w:color w:val="000000" w:themeColor="text1"/>
          <w:kern w:val="0"/>
          <w:sz w:val="28"/>
          <w:szCs w:val="28"/>
        </w:rPr>
        <w:t>安全检查表简明易懂、实用方便、易于掌握，能弥补有关人员知识、经验不足的缺陷，减少盲目性。</w:t>
      </w:r>
    </w:p>
    <w:p>
      <w:pPr>
        <w:adjustRightInd w:val="0"/>
        <w:spacing w:line="500" w:lineRule="exact"/>
        <w:ind w:firstLine="560" w:firstLineChars="200"/>
        <w:rPr>
          <w:color w:val="000000" w:themeColor="text1"/>
          <w:kern w:val="0"/>
          <w:sz w:val="28"/>
          <w:szCs w:val="28"/>
        </w:rPr>
      </w:pPr>
      <w:r>
        <w:rPr>
          <w:color w:val="000000" w:themeColor="text1"/>
          <w:kern w:val="0"/>
          <w:sz w:val="28"/>
          <w:szCs w:val="28"/>
        </w:rPr>
        <w:t>5</w:t>
      </w:r>
      <w:r>
        <w:rPr>
          <w:rFonts w:hint="eastAsia"/>
          <w:color w:val="000000" w:themeColor="text1"/>
          <w:kern w:val="0"/>
          <w:sz w:val="28"/>
          <w:szCs w:val="28"/>
        </w:rPr>
        <w:t>.</w:t>
      </w:r>
      <w:r>
        <w:rPr>
          <w:color w:val="000000" w:themeColor="text1"/>
          <w:kern w:val="0"/>
          <w:sz w:val="28"/>
          <w:szCs w:val="28"/>
        </w:rPr>
        <w:t>检查人员依据安全检查表进行检查，检查结果即为履行职责的凭证。</w:t>
      </w:r>
    </w:p>
    <w:p>
      <w:pPr>
        <w:pStyle w:val="19"/>
        <w:spacing w:afterLines="100" w:line="500" w:lineRule="exact"/>
        <w:rPr>
          <w:rFonts w:ascii="黑体" w:hAnsi="宋体" w:eastAsia="黑体"/>
          <w:color w:val="000000" w:themeColor="text1"/>
          <w:kern w:val="3"/>
          <w:sz w:val="28"/>
          <w:szCs w:val="28"/>
        </w:rPr>
      </w:pPr>
      <w:bookmarkStart w:id="1563" w:name="_Toc23813"/>
      <w:bookmarkStart w:id="1564" w:name="_Toc9541"/>
      <w:bookmarkStart w:id="1565" w:name="_Toc5883"/>
      <w:bookmarkStart w:id="1566" w:name="_Toc259982247"/>
      <w:bookmarkStart w:id="1567" w:name="_Toc15181"/>
      <w:bookmarkStart w:id="1568" w:name="_Toc24298"/>
      <w:bookmarkStart w:id="1569" w:name="_Toc3976"/>
      <w:bookmarkStart w:id="1570" w:name="_Toc6511"/>
      <w:bookmarkStart w:id="1571" w:name="_Toc26693"/>
      <w:bookmarkStart w:id="1572" w:name="_Toc21023"/>
      <w:bookmarkStart w:id="1573" w:name="_Toc25119"/>
      <w:r>
        <w:rPr>
          <w:rFonts w:hint="eastAsia" w:ascii="黑体" w:hAnsi="宋体" w:eastAsia="黑体"/>
          <w:color w:val="000000" w:themeColor="text1"/>
          <w:kern w:val="3"/>
          <w:sz w:val="28"/>
          <w:szCs w:val="28"/>
        </w:rPr>
        <w:t>4.3.2 LEC改进法简介</w:t>
      </w:r>
      <w:bookmarkEnd w:id="1563"/>
      <w:bookmarkEnd w:id="1564"/>
      <w:bookmarkEnd w:id="1565"/>
      <w:bookmarkEnd w:id="1566"/>
      <w:bookmarkEnd w:id="1567"/>
      <w:bookmarkEnd w:id="1568"/>
      <w:bookmarkEnd w:id="1569"/>
      <w:bookmarkEnd w:id="1570"/>
      <w:bookmarkEnd w:id="1571"/>
      <w:bookmarkEnd w:id="1572"/>
      <w:bookmarkEnd w:id="1573"/>
    </w:p>
    <w:p>
      <w:pPr>
        <w:pStyle w:val="34"/>
        <w:adjustRightInd w:val="0"/>
        <w:snapToGrid w:val="0"/>
        <w:spacing w:after="0" w:line="500" w:lineRule="exact"/>
        <w:ind w:left="0" w:leftChars="0" w:firstLine="562" w:firstLineChars="200"/>
        <w:rPr>
          <w:rFonts w:eastAsiaTheme="minorEastAsia"/>
          <w:b/>
          <w:bCs/>
          <w:snapToGrid w:val="0"/>
          <w:color w:val="000000" w:themeColor="text1"/>
          <w:kern w:val="0"/>
          <w:sz w:val="28"/>
          <w:szCs w:val="28"/>
        </w:rPr>
      </w:pPr>
      <w:bookmarkStart w:id="1574" w:name="_Toc23248"/>
      <w:r>
        <w:rPr>
          <w:rFonts w:eastAsiaTheme="minorEastAsia"/>
          <w:b/>
          <w:bCs/>
          <w:snapToGrid w:val="0"/>
          <w:color w:val="000000" w:themeColor="text1"/>
          <w:kern w:val="0"/>
          <w:sz w:val="28"/>
          <w:szCs w:val="28"/>
        </w:rPr>
        <w:t>1</w:t>
      </w:r>
      <w:r>
        <w:rPr>
          <w:rFonts w:hint="eastAsia" w:eastAsiaTheme="minorEastAsia"/>
          <w:b/>
          <w:bCs/>
          <w:snapToGrid w:val="0"/>
          <w:color w:val="000000" w:themeColor="text1"/>
          <w:kern w:val="0"/>
          <w:sz w:val="28"/>
          <w:szCs w:val="28"/>
        </w:rPr>
        <w:t>.</w:t>
      </w:r>
      <w:r>
        <w:rPr>
          <w:rFonts w:eastAsiaTheme="minorEastAsia"/>
          <w:b/>
          <w:bCs/>
          <w:snapToGrid w:val="0"/>
          <w:color w:val="000000" w:themeColor="text1"/>
          <w:kern w:val="0"/>
          <w:sz w:val="28"/>
          <w:szCs w:val="28"/>
        </w:rPr>
        <w:t>LEC简介</w:t>
      </w:r>
      <w:bookmarkEnd w:id="1574"/>
    </w:p>
    <w:p>
      <w:pPr>
        <w:pStyle w:val="34"/>
        <w:adjustRightInd w:val="0"/>
        <w:snapToGrid w:val="0"/>
        <w:spacing w:after="0" w:line="500" w:lineRule="exact"/>
        <w:ind w:left="0" w:leftChars="0" w:firstLine="560" w:firstLineChars="200"/>
        <w:rPr>
          <w:rFonts w:eastAsiaTheme="minorEastAsia"/>
          <w:snapToGrid w:val="0"/>
          <w:color w:val="000000" w:themeColor="text1"/>
          <w:kern w:val="0"/>
          <w:sz w:val="28"/>
          <w:szCs w:val="28"/>
        </w:rPr>
      </w:pPr>
      <w:r>
        <w:rPr>
          <w:rFonts w:eastAsiaTheme="minorEastAsia"/>
          <w:snapToGrid w:val="0"/>
          <w:color w:val="000000" w:themeColor="text1"/>
          <w:kern w:val="0"/>
          <w:sz w:val="28"/>
          <w:szCs w:val="28"/>
        </w:rPr>
        <w:t>作业条件危险性评价法是一种简便易行的评价方法，用来评价人们在某种具有潜在危险环境中作业的危险性。该法以被评价的环境与某些作为参考的环境进行比较为基础，采用专家“评分”的办法确定各种自变量的分数值，最后根据总的危险分数值来评价其危险性。该法已用于一些工业企业危险性的评价，取得较好效果。所以本评价项目中采用格雷厄姆法来对该项目装卸、储存、供配电、给排水、检修及安装过程等的危险性进行评价。</w:t>
      </w:r>
    </w:p>
    <w:p>
      <w:pPr>
        <w:adjustRightInd w:val="0"/>
        <w:snapToGrid w:val="0"/>
        <w:spacing w:line="500" w:lineRule="exact"/>
        <w:ind w:firstLine="560" w:firstLineChars="200"/>
        <w:rPr>
          <w:rFonts w:eastAsiaTheme="minorEastAsia"/>
          <w:snapToGrid w:val="0"/>
          <w:color w:val="000000" w:themeColor="text1"/>
          <w:kern w:val="0"/>
          <w:sz w:val="28"/>
          <w:szCs w:val="28"/>
        </w:rPr>
      </w:pPr>
      <w:r>
        <w:rPr>
          <w:rFonts w:eastAsiaTheme="minorEastAsia"/>
          <w:snapToGrid w:val="0"/>
          <w:color w:val="000000" w:themeColor="text1"/>
          <w:kern w:val="0"/>
          <w:sz w:val="28"/>
          <w:szCs w:val="28"/>
        </w:rPr>
        <w:t>格雷厄姆和金尼认为影响危险性的主要因素有3个：</w:t>
      </w:r>
    </w:p>
    <w:p>
      <w:pPr>
        <w:adjustRightInd w:val="0"/>
        <w:snapToGrid w:val="0"/>
        <w:spacing w:line="500" w:lineRule="exact"/>
        <w:ind w:firstLine="560" w:firstLineChars="200"/>
        <w:rPr>
          <w:rFonts w:eastAsiaTheme="minorEastAsia"/>
          <w:snapToGrid w:val="0"/>
          <w:color w:val="000000" w:themeColor="text1"/>
          <w:kern w:val="0"/>
          <w:sz w:val="28"/>
          <w:szCs w:val="28"/>
        </w:rPr>
      </w:pPr>
      <w:r>
        <w:rPr>
          <w:rFonts w:hint="eastAsia"/>
          <w:snapToGrid w:val="0"/>
          <w:color w:val="000000" w:themeColor="text1"/>
          <w:kern w:val="0"/>
          <w:sz w:val="28"/>
          <w:szCs w:val="24"/>
        </w:rPr>
        <w:t>（1）</w:t>
      </w:r>
      <w:r>
        <w:rPr>
          <w:rFonts w:eastAsiaTheme="minorEastAsia"/>
          <w:snapToGrid w:val="0"/>
          <w:color w:val="000000" w:themeColor="text1"/>
          <w:kern w:val="0"/>
          <w:sz w:val="28"/>
          <w:szCs w:val="28"/>
        </w:rPr>
        <w:t>发生事故或危险事件的可能性；</w:t>
      </w:r>
    </w:p>
    <w:p>
      <w:pPr>
        <w:adjustRightInd w:val="0"/>
        <w:snapToGrid w:val="0"/>
        <w:spacing w:line="500" w:lineRule="exact"/>
        <w:ind w:firstLine="560" w:firstLineChars="200"/>
        <w:rPr>
          <w:rFonts w:eastAsiaTheme="minorEastAsia"/>
          <w:snapToGrid w:val="0"/>
          <w:color w:val="000000" w:themeColor="text1"/>
          <w:kern w:val="0"/>
          <w:sz w:val="28"/>
          <w:szCs w:val="28"/>
        </w:rPr>
      </w:pPr>
      <w:r>
        <w:rPr>
          <w:rFonts w:hint="eastAsia"/>
          <w:snapToGrid w:val="0"/>
          <w:color w:val="000000" w:themeColor="text1"/>
          <w:kern w:val="0"/>
          <w:sz w:val="28"/>
          <w:szCs w:val="24"/>
        </w:rPr>
        <w:t>（2）</w:t>
      </w:r>
      <w:r>
        <w:rPr>
          <w:rFonts w:eastAsiaTheme="minorEastAsia"/>
          <w:snapToGrid w:val="0"/>
          <w:color w:val="000000" w:themeColor="text1"/>
          <w:kern w:val="0"/>
          <w:sz w:val="28"/>
          <w:szCs w:val="28"/>
        </w:rPr>
        <w:t>暴露于这种危险环境的频率；</w:t>
      </w:r>
    </w:p>
    <w:p>
      <w:pPr>
        <w:adjustRightInd w:val="0"/>
        <w:snapToGrid w:val="0"/>
        <w:spacing w:line="500" w:lineRule="exact"/>
        <w:ind w:firstLine="560" w:firstLineChars="200"/>
        <w:rPr>
          <w:rFonts w:eastAsiaTheme="minorEastAsia"/>
          <w:snapToGrid w:val="0"/>
          <w:color w:val="000000" w:themeColor="text1"/>
          <w:kern w:val="0"/>
          <w:sz w:val="28"/>
          <w:szCs w:val="28"/>
        </w:rPr>
      </w:pPr>
      <w:r>
        <w:rPr>
          <w:rFonts w:hint="eastAsia"/>
          <w:snapToGrid w:val="0"/>
          <w:color w:val="000000" w:themeColor="text1"/>
          <w:kern w:val="0"/>
          <w:sz w:val="28"/>
          <w:szCs w:val="24"/>
        </w:rPr>
        <w:t>（3）</w:t>
      </w:r>
      <w:r>
        <w:rPr>
          <w:rFonts w:eastAsiaTheme="minorEastAsia"/>
          <w:snapToGrid w:val="0"/>
          <w:color w:val="000000" w:themeColor="text1"/>
          <w:kern w:val="0"/>
          <w:sz w:val="28"/>
          <w:szCs w:val="28"/>
        </w:rPr>
        <w:t>事故一旦发生时可能产生的后果。</w:t>
      </w:r>
    </w:p>
    <w:p>
      <w:pPr>
        <w:adjustRightInd w:val="0"/>
        <w:snapToGrid w:val="0"/>
        <w:spacing w:line="500" w:lineRule="exact"/>
        <w:ind w:firstLine="560" w:firstLineChars="200"/>
        <w:rPr>
          <w:rFonts w:eastAsiaTheme="minorEastAsia"/>
          <w:snapToGrid w:val="0"/>
          <w:color w:val="000000" w:themeColor="text1"/>
          <w:kern w:val="0"/>
          <w:sz w:val="28"/>
          <w:szCs w:val="28"/>
        </w:rPr>
      </w:pPr>
      <w:r>
        <w:rPr>
          <w:rFonts w:eastAsiaTheme="minorEastAsia"/>
          <w:snapToGrid w:val="0"/>
          <w:color w:val="000000" w:themeColor="text1"/>
          <w:kern w:val="0"/>
          <w:sz w:val="28"/>
          <w:szCs w:val="28"/>
        </w:rPr>
        <w:t>前两者可以看作是危险概率，后者则相当于危险严重度。这样，危险性可以下式来表达：危险性（D）＝L×E×C</w:t>
      </w:r>
    </w:p>
    <w:p>
      <w:pPr>
        <w:adjustRightInd w:val="0"/>
        <w:snapToGrid w:val="0"/>
        <w:spacing w:line="500" w:lineRule="exact"/>
        <w:ind w:firstLine="560" w:firstLineChars="200"/>
        <w:rPr>
          <w:rFonts w:eastAsiaTheme="minorEastAsia"/>
          <w:snapToGrid w:val="0"/>
          <w:color w:val="000000" w:themeColor="text1"/>
          <w:kern w:val="0"/>
          <w:sz w:val="28"/>
          <w:szCs w:val="28"/>
        </w:rPr>
      </w:pPr>
      <w:r>
        <w:rPr>
          <w:rFonts w:eastAsiaTheme="minorEastAsia"/>
          <w:snapToGrid w:val="0"/>
          <w:color w:val="000000" w:themeColor="text1"/>
          <w:kern w:val="0"/>
          <w:sz w:val="28"/>
          <w:szCs w:val="28"/>
        </w:rPr>
        <w:t>式中：L―事故或危险事件发生的可能性；</w:t>
      </w:r>
    </w:p>
    <w:p>
      <w:pPr>
        <w:adjustRightInd w:val="0"/>
        <w:snapToGrid w:val="0"/>
        <w:spacing w:line="500" w:lineRule="exact"/>
        <w:ind w:firstLine="1260" w:firstLineChars="450"/>
        <w:rPr>
          <w:rFonts w:eastAsiaTheme="minorEastAsia"/>
          <w:snapToGrid w:val="0"/>
          <w:color w:val="000000" w:themeColor="text1"/>
          <w:kern w:val="0"/>
          <w:sz w:val="28"/>
          <w:szCs w:val="28"/>
        </w:rPr>
      </w:pPr>
      <w:r>
        <w:rPr>
          <w:rFonts w:eastAsiaTheme="minorEastAsia"/>
          <w:snapToGrid w:val="0"/>
          <w:color w:val="000000" w:themeColor="text1"/>
          <w:kern w:val="0"/>
          <w:sz w:val="28"/>
          <w:szCs w:val="28"/>
        </w:rPr>
        <w:t>E―暴露于危险环境的频率；</w:t>
      </w:r>
    </w:p>
    <w:p>
      <w:pPr>
        <w:adjustRightInd w:val="0"/>
        <w:snapToGrid w:val="0"/>
        <w:spacing w:line="500" w:lineRule="exact"/>
        <w:ind w:firstLine="560" w:firstLineChars="200"/>
        <w:rPr>
          <w:rFonts w:eastAsiaTheme="minorEastAsia"/>
          <w:snapToGrid w:val="0"/>
          <w:color w:val="000000" w:themeColor="text1"/>
          <w:kern w:val="0"/>
          <w:sz w:val="28"/>
          <w:szCs w:val="28"/>
        </w:rPr>
      </w:pPr>
      <w:r>
        <w:rPr>
          <w:rFonts w:eastAsiaTheme="minorEastAsia"/>
          <w:snapToGrid w:val="0"/>
          <w:color w:val="000000" w:themeColor="text1"/>
          <w:kern w:val="0"/>
          <w:sz w:val="28"/>
          <w:szCs w:val="28"/>
        </w:rPr>
        <w:t xml:space="preserve">      C―危险严重度。</w:t>
      </w:r>
    </w:p>
    <w:p>
      <w:pPr>
        <w:adjustRightInd w:val="0"/>
        <w:snapToGrid w:val="0"/>
        <w:spacing w:line="500" w:lineRule="exact"/>
        <w:ind w:firstLine="560" w:firstLineChars="200"/>
        <w:rPr>
          <w:rFonts w:eastAsiaTheme="minorEastAsia"/>
          <w:snapToGrid w:val="0"/>
          <w:color w:val="000000" w:themeColor="text1"/>
          <w:kern w:val="0"/>
          <w:sz w:val="28"/>
          <w:szCs w:val="28"/>
        </w:rPr>
      </w:pPr>
      <w:r>
        <w:rPr>
          <w:rFonts w:hint="eastAsia"/>
          <w:snapToGrid w:val="0"/>
          <w:color w:val="000000" w:themeColor="text1"/>
          <w:kern w:val="0"/>
          <w:sz w:val="28"/>
          <w:szCs w:val="24"/>
        </w:rPr>
        <w:t>a.</w:t>
      </w:r>
      <w:r>
        <w:rPr>
          <w:rFonts w:eastAsiaTheme="minorEastAsia"/>
          <w:bCs/>
          <w:snapToGrid w:val="0"/>
          <w:color w:val="000000" w:themeColor="text1"/>
          <w:kern w:val="0"/>
          <w:sz w:val="28"/>
          <w:szCs w:val="28"/>
        </w:rPr>
        <w:t>可能性因素L</w:t>
      </w:r>
    </w:p>
    <w:p>
      <w:pPr>
        <w:adjustRightInd w:val="0"/>
        <w:snapToGrid w:val="0"/>
        <w:spacing w:line="500" w:lineRule="exact"/>
        <w:ind w:firstLine="560" w:firstLineChars="200"/>
        <w:rPr>
          <w:rFonts w:eastAsiaTheme="minorEastAsia"/>
          <w:snapToGrid w:val="0"/>
          <w:color w:val="000000" w:themeColor="text1"/>
          <w:kern w:val="0"/>
          <w:sz w:val="28"/>
          <w:szCs w:val="28"/>
        </w:rPr>
      </w:pPr>
      <w:r>
        <w:rPr>
          <w:rFonts w:eastAsiaTheme="minorEastAsia"/>
          <w:snapToGrid w:val="0"/>
          <w:color w:val="000000" w:themeColor="text1"/>
          <w:kern w:val="0"/>
          <w:sz w:val="28"/>
          <w:szCs w:val="28"/>
        </w:rPr>
        <w:t>事故或危险事件发生的可能性是与它们实际的数学概率相关联的。绝对不可能发生的事件的概率为0，而必然发生的事件的概率则为1。但在实际情况中，绝对不可能发生的事故是不存在的，只能说可能性极小，概率趋于0。所以，可能性因素L的分数值取值范围为1～10具体见表4-1。</w:t>
      </w:r>
    </w:p>
    <w:p>
      <w:pPr>
        <w:adjustRightInd w:val="0"/>
        <w:snapToGrid w:val="0"/>
        <w:spacing w:line="500" w:lineRule="atLeast"/>
        <w:jc w:val="center"/>
        <w:rPr>
          <w:rFonts w:eastAsiaTheme="minorEastAsia"/>
          <w:bCs/>
          <w:color w:val="000000" w:themeColor="text1"/>
          <w:sz w:val="24"/>
        </w:rPr>
      </w:pPr>
      <w:r>
        <w:rPr>
          <w:rFonts w:eastAsiaTheme="minorEastAsia"/>
          <w:bCs/>
          <w:color w:val="000000" w:themeColor="text1"/>
          <w:sz w:val="24"/>
        </w:rPr>
        <w:t>表4-1 事故或危险事件发生的可能性L的分数值表</w:t>
      </w:r>
    </w:p>
    <w:tbl>
      <w:tblPr>
        <w:tblStyle w:val="52"/>
        <w:tblW w:w="80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20"/>
        <w:gridCol w:w="44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20" w:type="dxa"/>
            <w:vAlign w:val="center"/>
          </w:tcPr>
          <w:p>
            <w:pPr>
              <w:adjustRightInd w:val="0"/>
              <w:snapToGrid w:val="0"/>
              <w:spacing w:line="260" w:lineRule="exact"/>
              <w:jc w:val="center"/>
              <w:rPr>
                <w:rFonts w:eastAsiaTheme="minorEastAsia"/>
                <w:snapToGrid w:val="0"/>
                <w:color w:val="000000" w:themeColor="text1"/>
                <w:kern w:val="0"/>
                <w:szCs w:val="21"/>
              </w:rPr>
            </w:pPr>
            <w:r>
              <w:rPr>
                <w:rFonts w:eastAsiaTheme="minorEastAsia"/>
                <w:snapToGrid w:val="0"/>
                <w:color w:val="000000" w:themeColor="text1"/>
                <w:kern w:val="0"/>
                <w:szCs w:val="21"/>
              </w:rPr>
              <w:t>分数值</w:t>
            </w:r>
          </w:p>
        </w:tc>
        <w:tc>
          <w:tcPr>
            <w:tcW w:w="4496" w:type="dxa"/>
            <w:vAlign w:val="center"/>
          </w:tcPr>
          <w:p>
            <w:pPr>
              <w:adjustRightInd w:val="0"/>
              <w:snapToGrid w:val="0"/>
              <w:spacing w:line="260" w:lineRule="exact"/>
              <w:jc w:val="center"/>
              <w:rPr>
                <w:rFonts w:eastAsiaTheme="minorEastAsia"/>
                <w:snapToGrid w:val="0"/>
                <w:color w:val="000000" w:themeColor="text1"/>
                <w:kern w:val="0"/>
                <w:szCs w:val="21"/>
              </w:rPr>
            </w:pPr>
            <w:r>
              <w:rPr>
                <w:rFonts w:eastAsiaTheme="minorEastAsia"/>
                <w:snapToGrid w:val="0"/>
                <w:color w:val="000000" w:themeColor="text1"/>
                <w:kern w:val="0"/>
                <w:szCs w:val="21"/>
              </w:rPr>
              <w:t>事故或危险事件发生的可能性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20" w:type="dxa"/>
            <w:vAlign w:val="center"/>
          </w:tcPr>
          <w:p>
            <w:pPr>
              <w:adjustRightInd w:val="0"/>
              <w:snapToGrid w:val="0"/>
              <w:spacing w:line="260" w:lineRule="exact"/>
              <w:jc w:val="center"/>
              <w:rPr>
                <w:rFonts w:eastAsiaTheme="minorEastAsia"/>
                <w:snapToGrid w:val="0"/>
                <w:color w:val="000000" w:themeColor="text1"/>
                <w:kern w:val="0"/>
                <w:szCs w:val="21"/>
              </w:rPr>
            </w:pPr>
            <w:r>
              <w:rPr>
                <w:rFonts w:eastAsiaTheme="minorEastAsia"/>
                <w:snapToGrid w:val="0"/>
                <w:color w:val="000000" w:themeColor="text1"/>
                <w:kern w:val="0"/>
                <w:szCs w:val="21"/>
              </w:rPr>
              <w:t>10</w:t>
            </w:r>
          </w:p>
        </w:tc>
        <w:tc>
          <w:tcPr>
            <w:tcW w:w="4496" w:type="dxa"/>
            <w:vAlign w:val="center"/>
          </w:tcPr>
          <w:p>
            <w:pPr>
              <w:adjustRightInd w:val="0"/>
              <w:snapToGrid w:val="0"/>
              <w:spacing w:line="260" w:lineRule="exact"/>
              <w:jc w:val="center"/>
              <w:rPr>
                <w:rFonts w:eastAsiaTheme="minorEastAsia"/>
                <w:snapToGrid w:val="0"/>
                <w:color w:val="000000" w:themeColor="text1"/>
                <w:kern w:val="0"/>
                <w:szCs w:val="21"/>
              </w:rPr>
            </w:pPr>
            <w:r>
              <w:rPr>
                <w:rFonts w:eastAsiaTheme="minorEastAsia"/>
                <w:snapToGrid w:val="0"/>
                <w:color w:val="000000" w:themeColor="text1"/>
                <w:kern w:val="0"/>
                <w:szCs w:val="21"/>
              </w:rPr>
              <w:t>完全会被预料到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20" w:type="dxa"/>
            <w:vAlign w:val="center"/>
          </w:tcPr>
          <w:p>
            <w:pPr>
              <w:adjustRightInd w:val="0"/>
              <w:snapToGrid w:val="0"/>
              <w:spacing w:line="260" w:lineRule="exact"/>
              <w:jc w:val="center"/>
              <w:rPr>
                <w:rFonts w:eastAsiaTheme="minorEastAsia"/>
                <w:snapToGrid w:val="0"/>
                <w:color w:val="000000" w:themeColor="text1"/>
                <w:kern w:val="0"/>
                <w:szCs w:val="21"/>
              </w:rPr>
            </w:pPr>
            <w:r>
              <w:rPr>
                <w:rFonts w:eastAsiaTheme="minorEastAsia"/>
                <w:snapToGrid w:val="0"/>
                <w:color w:val="000000" w:themeColor="text1"/>
                <w:kern w:val="0"/>
                <w:szCs w:val="21"/>
              </w:rPr>
              <w:t>6</w:t>
            </w:r>
          </w:p>
        </w:tc>
        <w:tc>
          <w:tcPr>
            <w:tcW w:w="4496" w:type="dxa"/>
            <w:vAlign w:val="center"/>
          </w:tcPr>
          <w:p>
            <w:pPr>
              <w:adjustRightInd w:val="0"/>
              <w:snapToGrid w:val="0"/>
              <w:spacing w:line="260" w:lineRule="exact"/>
              <w:jc w:val="center"/>
              <w:rPr>
                <w:rFonts w:eastAsiaTheme="minorEastAsia"/>
                <w:snapToGrid w:val="0"/>
                <w:color w:val="000000" w:themeColor="text1"/>
                <w:kern w:val="0"/>
                <w:szCs w:val="21"/>
              </w:rPr>
            </w:pPr>
            <w:r>
              <w:rPr>
                <w:rFonts w:eastAsiaTheme="minorEastAsia"/>
                <w:snapToGrid w:val="0"/>
                <w:color w:val="000000" w:themeColor="text1"/>
                <w:kern w:val="0"/>
                <w:szCs w:val="21"/>
              </w:rPr>
              <w:t>相当可能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20" w:type="dxa"/>
            <w:vAlign w:val="center"/>
          </w:tcPr>
          <w:p>
            <w:pPr>
              <w:adjustRightInd w:val="0"/>
              <w:snapToGrid w:val="0"/>
              <w:spacing w:line="260" w:lineRule="exact"/>
              <w:jc w:val="center"/>
              <w:rPr>
                <w:rFonts w:eastAsiaTheme="minorEastAsia"/>
                <w:snapToGrid w:val="0"/>
                <w:color w:val="000000" w:themeColor="text1"/>
                <w:kern w:val="0"/>
                <w:szCs w:val="21"/>
              </w:rPr>
            </w:pPr>
            <w:r>
              <w:rPr>
                <w:rFonts w:eastAsiaTheme="minorEastAsia"/>
                <w:snapToGrid w:val="0"/>
                <w:color w:val="000000" w:themeColor="text1"/>
                <w:kern w:val="0"/>
                <w:szCs w:val="21"/>
              </w:rPr>
              <w:t>3</w:t>
            </w:r>
          </w:p>
        </w:tc>
        <w:tc>
          <w:tcPr>
            <w:tcW w:w="4496" w:type="dxa"/>
            <w:vAlign w:val="center"/>
          </w:tcPr>
          <w:p>
            <w:pPr>
              <w:adjustRightInd w:val="0"/>
              <w:snapToGrid w:val="0"/>
              <w:spacing w:line="260" w:lineRule="exact"/>
              <w:jc w:val="center"/>
              <w:rPr>
                <w:rFonts w:eastAsiaTheme="minorEastAsia"/>
                <w:snapToGrid w:val="0"/>
                <w:color w:val="000000" w:themeColor="text1"/>
                <w:kern w:val="0"/>
                <w:szCs w:val="21"/>
              </w:rPr>
            </w:pPr>
            <w:r>
              <w:rPr>
                <w:rFonts w:eastAsiaTheme="minorEastAsia"/>
                <w:snapToGrid w:val="0"/>
                <w:color w:val="000000" w:themeColor="text1"/>
                <w:kern w:val="0"/>
                <w:szCs w:val="21"/>
              </w:rPr>
              <w:t>不经常，但可能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20" w:type="dxa"/>
            <w:vAlign w:val="center"/>
          </w:tcPr>
          <w:p>
            <w:pPr>
              <w:adjustRightInd w:val="0"/>
              <w:snapToGrid w:val="0"/>
              <w:spacing w:line="260" w:lineRule="exact"/>
              <w:jc w:val="center"/>
              <w:rPr>
                <w:rFonts w:eastAsiaTheme="minorEastAsia"/>
                <w:snapToGrid w:val="0"/>
                <w:color w:val="000000" w:themeColor="text1"/>
                <w:kern w:val="0"/>
                <w:szCs w:val="21"/>
              </w:rPr>
            </w:pPr>
            <w:r>
              <w:rPr>
                <w:rFonts w:eastAsiaTheme="minorEastAsia"/>
                <w:snapToGrid w:val="0"/>
                <w:color w:val="000000" w:themeColor="text1"/>
                <w:kern w:val="0"/>
                <w:szCs w:val="21"/>
              </w:rPr>
              <w:t>1</w:t>
            </w:r>
          </w:p>
        </w:tc>
        <w:tc>
          <w:tcPr>
            <w:tcW w:w="4496" w:type="dxa"/>
            <w:vAlign w:val="center"/>
          </w:tcPr>
          <w:p>
            <w:pPr>
              <w:adjustRightInd w:val="0"/>
              <w:snapToGrid w:val="0"/>
              <w:spacing w:line="260" w:lineRule="exact"/>
              <w:jc w:val="center"/>
              <w:rPr>
                <w:rFonts w:eastAsiaTheme="minorEastAsia"/>
                <w:snapToGrid w:val="0"/>
                <w:color w:val="000000" w:themeColor="text1"/>
                <w:kern w:val="0"/>
                <w:szCs w:val="21"/>
              </w:rPr>
            </w:pPr>
            <w:r>
              <w:rPr>
                <w:rFonts w:eastAsiaTheme="minorEastAsia"/>
                <w:snapToGrid w:val="0"/>
                <w:color w:val="000000" w:themeColor="text1"/>
                <w:kern w:val="0"/>
                <w:szCs w:val="21"/>
              </w:rPr>
              <w:t>完全意外，极少可能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20" w:type="dxa"/>
            <w:vAlign w:val="center"/>
          </w:tcPr>
          <w:p>
            <w:pPr>
              <w:adjustRightInd w:val="0"/>
              <w:snapToGrid w:val="0"/>
              <w:spacing w:line="260" w:lineRule="exact"/>
              <w:jc w:val="center"/>
              <w:rPr>
                <w:rFonts w:eastAsiaTheme="minorEastAsia"/>
                <w:snapToGrid w:val="0"/>
                <w:color w:val="000000" w:themeColor="text1"/>
                <w:kern w:val="0"/>
                <w:szCs w:val="21"/>
              </w:rPr>
            </w:pPr>
            <w:r>
              <w:rPr>
                <w:rFonts w:eastAsiaTheme="minorEastAsia"/>
                <w:snapToGrid w:val="0"/>
                <w:color w:val="000000" w:themeColor="text1"/>
                <w:kern w:val="0"/>
                <w:szCs w:val="21"/>
              </w:rPr>
              <w:t>0.5</w:t>
            </w:r>
          </w:p>
        </w:tc>
        <w:tc>
          <w:tcPr>
            <w:tcW w:w="4496" w:type="dxa"/>
            <w:vAlign w:val="center"/>
          </w:tcPr>
          <w:p>
            <w:pPr>
              <w:adjustRightInd w:val="0"/>
              <w:snapToGrid w:val="0"/>
              <w:spacing w:line="260" w:lineRule="exact"/>
              <w:jc w:val="center"/>
              <w:rPr>
                <w:rFonts w:eastAsiaTheme="minorEastAsia"/>
                <w:snapToGrid w:val="0"/>
                <w:color w:val="000000" w:themeColor="text1"/>
                <w:kern w:val="0"/>
                <w:szCs w:val="21"/>
              </w:rPr>
            </w:pPr>
            <w:r>
              <w:rPr>
                <w:rFonts w:eastAsiaTheme="minorEastAsia"/>
                <w:snapToGrid w:val="0"/>
                <w:color w:val="000000" w:themeColor="text1"/>
                <w:kern w:val="0"/>
                <w:szCs w:val="21"/>
              </w:rPr>
              <w:t>可以设想，但高度不可能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3520" w:type="dxa"/>
            <w:vAlign w:val="center"/>
          </w:tcPr>
          <w:p>
            <w:pPr>
              <w:adjustRightInd w:val="0"/>
              <w:snapToGrid w:val="0"/>
              <w:spacing w:line="260" w:lineRule="exact"/>
              <w:jc w:val="center"/>
              <w:rPr>
                <w:rFonts w:eastAsiaTheme="minorEastAsia"/>
                <w:snapToGrid w:val="0"/>
                <w:color w:val="000000" w:themeColor="text1"/>
                <w:kern w:val="0"/>
                <w:szCs w:val="21"/>
              </w:rPr>
            </w:pPr>
            <w:r>
              <w:rPr>
                <w:rFonts w:eastAsiaTheme="minorEastAsia"/>
                <w:snapToGrid w:val="0"/>
                <w:color w:val="000000" w:themeColor="text1"/>
                <w:kern w:val="0"/>
                <w:szCs w:val="21"/>
              </w:rPr>
              <w:t>0.2</w:t>
            </w:r>
          </w:p>
        </w:tc>
        <w:tc>
          <w:tcPr>
            <w:tcW w:w="4496" w:type="dxa"/>
            <w:vAlign w:val="center"/>
          </w:tcPr>
          <w:p>
            <w:pPr>
              <w:adjustRightInd w:val="0"/>
              <w:snapToGrid w:val="0"/>
              <w:spacing w:line="260" w:lineRule="exact"/>
              <w:jc w:val="center"/>
              <w:rPr>
                <w:rFonts w:eastAsiaTheme="minorEastAsia"/>
                <w:snapToGrid w:val="0"/>
                <w:color w:val="000000" w:themeColor="text1"/>
                <w:kern w:val="0"/>
                <w:szCs w:val="21"/>
              </w:rPr>
            </w:pPr>
            <w:r>
              <w:rPr>
                <w:rFonts w:eastAsiaTheme="minorEastAsia"/>
                <w:snapToGrid w:val="0"/>
                <w:color w:val="000000" w:themeColor="text1"/>
                <w:kern w:val="0"/>
                <w:szCs w:val="21"/>
              </w:rPr>
              <w:t>极不可能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20" w:type="dxa"/>
          </w:tcPr>
          <w:p>
            <w:pPr>
              <w:adjustRightInd w:val="0"/>
              <w:snapToGrid w:val="0"/>
              <w:spacing w:line="260" w:lineRule="exact"/>
              <w:jc w:val="center"/>
              <w:rPr>
                <w:rFonts w:eastAsiaTheme="minorEastAsia"/>
                <w:snapToGrid w:val="0"/>
                <w:color w:val="000000" w:themeColor="text1"/>
                <w:kern w:val="0"/>
                <w:szCs w:val="21"/>
              </w:rPr>
            </w:pPr>
            <w:r>
              <w:rPr>
                <w:rFonts w:eastAsiaTheme="minorEastAsia"/>
                <w:snapToGrid w:val="0"/>
                <w:color w:val="000000" w:themeColor="text1"/>
                <w:kern w:val="0"/>
                <w:szCs w:val="21"/>
              </w:rPr>
              <w:t>0.1</w:t>
            </w:r>
          </w:p>
        </w:tc>
        <w:tc>
          <w:tcPr>
            <w:tcW w:w="4496" w:type="dxa"/>
          </w:tcPr>
          <w:p>
            <w:pPr>
              <w:adjustRightInd w:val="0"/>
              <w:snapToGrid w:val="0"/>
              <w:spacing w:line="260" w:lineRule="exact"/>
              <w:jc w:val="center"/>
              <w:rPr>
                <w:rFonts w:eastAsiaTheme="minorEastAsia"/>
                <w:snapToGrid w:val="0"/>
                <w:color w:val="000000" w:themeColor="text1"/>
                <w:kern w:val="0"/>
                <w:szCs w:val="21"/>
              </w:rPr>
            </w:pPr>
            <w:r>
              <w:rPr>
                <w:rFonts w:eastAsiaTheme="minorEastAsia"/>
                <w:snapToGrid w:val="0"/>
                <w:color w:val="000000" w:themeColor="text1"/>
                <w:kern w:val="0"/>
                <w:szCs w:val="21"/>
              </w:rPr>
              <w:t>实际上不可能</w:t>
            </w:r>
          </w:p>
        </w:tc>
      </w:tr>
    </w:tbl>
    <w:p>
      <w:pPr>
        <w:adjustRightInd w:val="0"/>
        <w:snapToGrid w:val="0"/>
        <w:spacing w:line="500" w:lineRule="exact"/>
        <w:ind w:firstLine="560" w:firstLineChars="200"/>
        <w:rPr>
          <w:rFonts w:eastAsiaTheme="minorEastAsia"/>
          <w:color w:val="000000" w:themeColor="text1"/>
          <w:sz w:val="28"/>
          <w:szCs w:val="28"/>
        </w:rPr>
      </w:pPr>
      <w:r>
        <w:rPr>
          <w:rFonts w:hint="eastAsia" w:eastAsiaTheme="minorEastAsia"/>
          <w:bCs/>
          <w:color w:val="000000" w:themeColor="text1"/>
          <w:sz w:val="28"/>
          <w:szCs w:val="28"/>
        </w:rPr>
        <w:t>b.</w:t>
      </w:r>
      <w:r>
        <w:rPr>
          <w:rFonts w:eastAsiaTheme="minorEastAsia"/>
          <w:bCs/>
          <w:color w:val="000000" w:themeColor="text1"/>
          <w:sz w:val="28"/>
          <w:szCs w:val="28"/>
        </w:rPr>
        <w:t>暴露于危险环境的频率E</w:t>
      </w:r>
    </w:p>
    <w:p>
      <w:pPr>
        <w:adjustRightInd w:val="0"/>
        <w:snapToGrid w:val="0"/>
        <w:spacing w:line="500" w:lineRule="exact"/>
        <w:ind w:firstLine="560" w:firstLineChars="200"/>
        <w:rPr>
          <w:rFonts w:eastAsiaTheme="minorEastAsia"/>
          <w:color w:val="000000" w:themeColor="text1"/>
          <w:sz w:val="28"/>
          <w:szCs w:val="28"/>
        </w:rPr>
      </w:pPr>
      <w:r>
        <w:rPr>
          <w:rFonts w:eastAsiaTheme="minorEastAsia"/>
          <w:color w:val="000000" w:themeColor="text1"/>
          <w:sz w:val="28"/>
          <w:szCs w:val="28"/>
        </w:rPr>
        <w:t>操作人员出现在危险环境中的时间越多，受到伤害的可能性就越大，相应的危险性也就越大。连续出现在危险环境的情况其频率分为10，非常罕见地暴露于危险环境则为0.5。具体分数值如下表4-2所示。</w:t>
      </w:r>
    </w:p>
    <w:p>
      <w:pPr>
        <w:adjustRightInd w:val="0"/>
        <w:snapToGrid w:val="0"/>
        <w:spacing w:line="500" w:lineRule="atLeast"/>
        <w:jc w:val="center"/>
        <w:rPr>
          <w:rFonts w:eastAsiaTheme="minorEastAsia"/>
          <w:bCs/>
          <w:color w:val="000000" w:themeColor="text1"/>
          <w:sz w:val="24"/>
        </w:rPr>
      </w:pPr>
      <w:r>
        <w:rPr>
          <w:rFonts w:eastAsiaTheme="minorEastAsia"/>
          <w:bCs/>
          <w:color w:val="000000" w:themeColor="text1"/>
          <w:sz w:val="24"/>
        </w:rPr>
        <w:t>表4-2 暴露于潜在危险环境频率E的分数值</w:t>
      </w:r>
    </w:p>
    <w:tbl>
      <w:tblPr>
        <w:tblStyle w:val="52"/>
        <w:tblW w:w="74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5"/>
        <w:gridCol w:w="41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5" w:type="dxa"/>
          </w:tcPr>
          <w:p>
            <w:pPr>
              <w:adjustRightInd w:val="0"/>
              <w:snapToGrid w:val="0"/>
              <w:spacing w:line="260" w:lineRule="exact"/>
              <w:jc w:val="center"/>
              <w:rPr>
                <w:rFonts w:eastAsiaTheme="minorEastAsia"/>
                <w:snapToGrid w:val="0"/>
                <w:color w:val="000000" w:themeColor="text1"/>
                <w:kern w:val="0"/>
                <w:szCs w:val="21"/>
              </w:rPr>
            </w:pPr>
            <w:r>
              <w:rPr>
                <w:rFonts w:eastAsiaTheme="minorEastAsia"/>
                <w:snapToGrid w:val="0"/>
                <w:color w:val="000000" w:themeColor="text1"/>
                <w:kern w:val="0"/>
                <w:szCs w:val="21"/>
              </w:rPr>
              <w:t>分数值</w:t>
            </w:r>
          </w:p>
        </w:tc>
        <w:tc>
          <w:tcPr>
            <w:tcW w:w="4170" w:type="dxa"/>
          </w:tcPr>
          <w:p>
            <w:pPr>
              <w:adjustRightInd w:val="0"/>
              <w:snapToGrid w:val="0"/>
              <w:spacing w:line="260" w:lineRule="exact"/>
              <w:jc w:val="center"/>
              <w:rPr>
                <w:rFonts w:eastAsiaTheme="minorEastAsia"/>
                <w:snapToGrid w:val="0"/>
                <w:color w:val="000000" w:themeColor="text1"/>
                <w:kern w:val="0"/>
                <w:szCs w:val="21"/>
              </w:rPr>
            </w:pPr>
            <w:r>
              <w:rPr>
                <w:rFonts w:eastAsiaTheme="minorEastAsia"/>
                <w:snapToGrid w:val="0"/>
                <w:color w:val="000000" w:themeColor="text1"/>
                <w:kern w:val="0"/>
                <w:szCs w:val="21"/>
              </w:rPr>
              <w:t>暴露于危险环境的频率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5" w:type="dxa"/>
          </w:tcPr>
          <w:p>
            <w:pPr>
              <w:adjustRightInd w:val="0"/>
              <w:snapToGrid w:val="0"/>
              <w:spacing w:line="260" w:lineRule="exact"/>
              <w:jc w:val="center"/>
              <w:rPr>
                <w:rFonts w:eastAsiaTheme="minorEastAsia"/>
                <w:snapToGrid w:val="0"/>
                <w:color w:val="000000" w:themeColor="text1"/>
                <w:kern w:val="0"/>
                <w:szCs w:val="21"/>
              </w:rPr>
            </w:pPr>
            <w:r>
              <w:rPr>
                <w:rFonts w:eastAsiaTheme="minorEastAsia"/>
                <w:snapToGrid w:val="0"/>
                <w:color w:val="000000" w:themeColor="text1"/>
                <w:kern w:val="0"/>
                <w:szCs w:val="21"/>
              </w:rPr>
              <w:t>10</w:t>
            </w:r>
          </w:p>
        </w:tc>
        <w:tc>
          <w:tcPr>
            <w:tcW w:w="4170" w:type="dxa"/>
          </w:tcPr>
          <w:p>
            <w:pPr>
              <w:adjustRightInd w:val="0"/>
              <w:snapToGrid w:val="0"/>
              <w:spacing w:line="260" w:lineRule="exact"/>
              <w:jc w:val="center"/>
              <w:rPr>
                <w:rFonts w:eastAsiaTheme="minorEastAsia"/>
                <w:snapToGrid w:val="0"/>
                <w:color w:val="000000" w:themeColor="text1"/>
                <w:kern w:val="0"/>
                <w:szCs w:val="21"/>
              </w:rPr>
            </w:pPr>
            <w:r>
              <w:rPr>
                <w:rFonts w:eastAsiaTheme="minorEastAsia"/>
                <w:snapToGrid w:val="0"/>
                <w:color w:val="000000" w:themeColor="text1"/>
                <w:kern w:val="0"/>
                <w:szCs w:val="21"/>
              </w:rPr>
              <w:t>连续暴露于潜在危险环境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5" w:type="dxa"/>
          </w:tcPr>
          <w:p>
            <w:pPr>
              <w:adjustRightInd w:val="0"/>
              <w:snapToGrid w:val="0"/>
              <w:spacing w:line="260" w:lineRule="exact"/>
              <w:jc w:val="center"/>
              <w:rPr>
                <w:rFonts w:eastAsiaTheme="minorEastAsia"/>
                <w:snapToGrid w:val="0"/>
                <w:color w:val="000000" w:themeColor="text1"/>
                <w:kern w:val="0"/>
                <w:szCs w:val="21"/>
              </w:rPr>
            </w:pPr>
            <w:r>
              <w:rPr>
                <w:rFonts w:eastAsiaTheme="minorEastAsia"/>
                <w:snapToGrid w:val="0"/>
                <w:color w:val="000000" w:themeColor="text1"/>
                <w:kern w:val="0"/>
                <w:szCs w:val="21"/>
              </w:rPr>
              <w:t>6</w:t>
            </w:r>
          </w:p>
        </w:tc>
        <w:tc>
          <w:tcPr>
            <w:tcW w:w="4170" w:type="dxa"/>
          </w:tcPr>
          <w:p>
            <w:pPr>
              <w:adjustRightInd w:val="0"/>
              <w:snapToGrid w:val="0"/>
              <w:spacing w:line="260" w:lineRule="exact"/>
              <w:jc w:val="center"/>
              <w:rPr>
                <w:rFonts w:eastAsiaTheme="minorEastAsia"/>
                <w:snapToGrid w:val="0"/>
                <w:color w:val="000000" w:themeColor="text1"/>
                <w:kern w:val="0"/>
                <w:szCs w:val="21"/>
              </w:rPr>
            </w:pPr>
            <w:r>
              <w:rPr>
                <w:rFonts w:eastAsiaTheme="minorEastAsia"/>
                <w:snapToGrid w:val="0"/>
                <w:color w:val="000000" w:themeColor="text1"/>
                <w:kern w:val="0"/>
                <w:szCs w:val="21"/>
              </w:rPr>
              <w:t>逐日在工作时间内暴露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5" w:type="dxa"/>
          </w:tcPr>
          <w:p>
            <w:pPr>
              <w:adjustRightInd w:val="0"/>
              <w:snapToGrid w:val="0"/>
              <w:spacing w:line="260" w:lineRule="exact"/>
              <w:jc w:val="center"/>
              <w:rPr>
                <w:rFonts w:eastAsiaTheme="minorEastAsia"/>
                <w:snapToGrid w:val="0"/>
                <w:color w:val="000000" w:themeColor="text1"/>
                <w:kern w:val="0"/>
                <w:szCs w:val="21"/>
              </w:rPr>
            </w:pPr>
            <w:r>
              <w:rPr>
                <w:rFonts w:eastAsiaTheme="minorEastAsia"/>
                <w:snapToGrid w:val="0"/>
                <w:color w:val="000000" w:themeColor="text1"/>
                <w:kern w:val="0"/>
                <w:szCs w:val="21"/>
              </w:rPr>
              <w:t>3</w:t>
            </w:r>
          </w:p>
        </w:tc>
        <w:tc>
          <w:tcPr>
            <w:tcW w:w="4170" w:type="dxa"/>
          </w:tcPr>
          <w:p>
            <w:pPr>
              <w:adjustRightInd w:val="0"/>
              <w:snapToGrid w:val="0"/>
              <w:spacing w:line="260" w:lineRule="exact"/>
              <w:jc w:val="center"/>
              <w:rPr>
                <w:rFonts w:eastAsiaTheme="minorEastAsia"/>
                <w:snapToGrid w:val="0"/>
                <w:color w:val="000000" w:themeColor="text1"/>
                <w:kern w:val="0"/>
                <w:szCs w:val="21"/>
              </w:rPr>
            </w:pPr>
            <w:r>
              <w:rPr>
                <w:rFonts w:eastAsiaTheme="minorEastAsia"/>
                <w:snapToGrid w:val="0"/>
                <w:color w:val="000000" w:themeColor="text1"/>
                <w:kern w:val="0"/>
                <w:szCs w:val="21"/>
              </w:rPr>
              <w:t>每周一次或偶然暴露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5" w:type="dxa"/>
          </w:tcPr>
          <w:p>
            <w:pPr>
              <w:adjustRightInd w:val="0"/>
              <w:snapToGrid w:val="0"/>
              <w:spacing w:line="260" w:lineRule="exact"/>
              <w:jc w:val="center"/>
              <w:rPr>
                <w:rFonts w:eastAsiaTheme="minorEastAsia"/>
                <w:snapToGrid w:val="0"/>
                <w:color w:val="000000" w:themeColor="text1"/>
                <w:kern w:val="0"/>
                <w:szCs w:val="21"/>
              </w:rPr>
            </w:pPr>
            <w:r>
              <w:rPr>
                <w:rFonts w:eastAsiaTheme="minorEastAsia"/>
                <w:snapToGrid w:val="0"/>
                <w:color w:val="000000" w:themeColor="text1"/>
                <w:kern w:val="0"/>
                <w:szCs w:val="21"/>
              </w:rPr>
              <w:t>2</w:t>
            </w:r>
          </w:p>
        </w:tc>
        <w:tc>
          <w:tcPr>
            <w:tcW w:w="4170" w:type="dxa"/>
          </w:tcPr>
          <w:p>
            <w:pPr>
              <w:adjustRightInd w:val="0"/>
              <w:snapToGrid w:val="0"/>
              <w:spacing w:line="260" w:lineRule="exact"/>
              <w:jc w:val="center"/>
              <w:rPr>
                <w:rFonts w:eastAsiaTheme="minorEastAsia"/>
                <w:snapToGrid w:val="0"/>
                <w:color w:val="000000" w:themeColor="text1"/>
                <w:kern w:val="0"/>
                <w:szCs w:val="21"/>
              </w:rPr>
            </w:pPr>
            <w:r>
              <w:rPr>
                <w:rFonts w:eastAsiaTheme="minorEastAsia"/>
                <w:snapToGrid w:val="0"/>
                <w:color w:val="000000" w:themeColor="text1"/>
                <w:kern w:val="0"/>
                <w:szCs w:val="21"/>
              </w:rPr>
              <w:t>每月暴露一次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5" w:type="dxa"/>
          </w:tcPr>
          <w:p>
            <w:pPr>
              <w:adjustRightInd w:val="0"/>
              <w:snapToGrid w:val="0"/>
              <w:spacing w:line="260" w:lineRule="exact"/>
              <w:jc w:val="center"/>
              <w:rPr>
                <w:rFonts w:eastAsiaTheme="minorEastAsia"/>
                <w:snapToGrid w:val="0"/>
                <w:color w:val="000000" w:themeColor="text1"/>
                <w:kern w:val="0"/>
                <w:szCs w:val="21"/>
              </w:rPr>
            </w:pPr>
            <w:r>
              <w:rPr>
                <w:rFonts w:eastAsiaTheme="minorEastAsia"/>
                <w:snapToGrid w:val="0"/>
                <w:color w:val="000000" w:themeColor="text1"/>
                <w:kern w:val="0"/>
                <w:szCs w:val="21"/>
              </w:rPr>
              <w:t>1</w:t>
            </w:r>
          </w:p>
        </w:tc>
        <w:tc>
          <w:tcPr>
            <w:tcW w:w="4170" w:type="dxa"/>
          </w:tcPr>
          <w:p>
            <w:pPr>
              <w:adjustRightInd w:val="0"/>
              <w:snapToGrid w:val="0"/>
              <w:spacing w:line="260" w:lineRule="exact"/>
              <w:jc w:val="center"/>
              <w:rPr>
                <w:rFonts w:eastAsiaTheme="minorEastAsia"/>
                <w:snapToGrid w:val="0"/>
                <w:color w:val="000000" w:themeColor="text1"/>
                <w:kern w:val="0"/>
                <w:szCs w:val="21"/>
              </w:rPr>
            </w:pPr>
            <w:r>
              <w:rPr>
                <w:rFonts w:eastAsiaTheme="minorEastAsia"/>
                <w:snapToGrid w:val="0"/>
                <w:color w:val="000000" w:themeColor="text1"/>
                <w:kern w:val="0"/>
                <w:szCs w:val="21"/>
              </w:rPr>
              <w:t>每年几次出现在危险环境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5" w:type="dxa"/>
          </w:tcPr>
          <w:p>
            <w:pPr>
              <w:adjustRightInd w:val="0"/>
              <w:snapToGrid w:val="0"/>
              <w:spacing w:line="260" w:lineRule="exact"/>
              <w:jc w:val="center"/>
              <w:rPr>
                <w:rFonts w:eastAsiaTheme="minorEastAsia"/>
                <w:snapToGrid w:val="0"/>
                <w:color w:val="000000" w:themeColor="text1"/>
                <w:kern w:val="0"/>
                <w:szCs w:val="21"/>
              </w:rPr>
            </w:pPr>
            <w:r>
              <w:rPr>
                <w:rFonts w:eastAsiaTheme="minorEastAsia"/>
                <w:snapToGrid w:val="0"/>
                <w:color w:val="000000" w:themeColor="text1"/>
                <w:kern w:val="0"/>
                <w:szCs w:val="21"/>
              </w:rPr>
              <w:t>0.5</w:t>
            </w:r>
          </w:p>
        </w:tc>
        <w:tc>
          <w:tcPr>
            <w:tcW w:w="4170" w:type="dxa"/>
          </w:tcPr>
          <w:p>
            <w:pPr>
              <w:adjustRightInd w:val="0"/>
              <w:snapToGrid w:val="0"/>
              <w:spacing w:line="260" w:lineRule="exact"/>
              <w:jc w:val="center"/>
              <w:rPr>
                <w:rFonts w:eastAsiaTheme="minorEastAsia"/>
                <w:snapToGrid w:val="0"/>
                <w:color w:val="000000" w:themeColor="text1"/>
                <w:kern w:val="0"/>
                <w:szCs w:val="21"/>
              </w:rPr>
            </w:pPr>
            <w:r>
              <w:rPr>
                <w:rFonts w:eastAsiaTheme="minorEastAsia"/>
                <w:snapToGrid w:val="0"/>
                <w:color w:val="000000" w:themeColor="text1"/>
                <w:kern w:val="0"/>
                <w:szCs w:val="21"/>
              </w:rPr>
              <w:t>非常罕见地暴露于危险环境</w:t>
            </w:r>
          </w:p>
        </w:tc>
      </w:tr>
    </w:tbl>
    <w:p>
      <w:pPr>
        <w:adjustRightInd w:val="0"/>
        <w:snapToGrid w:val="0"/>
        <w:spacing w:line="500" w:lineRule="atLeast"/>
        <w:ind w:firstLine="560" w:firstLineChars="200"/>
        <w:rPr>
          <w:rFonts w:eastAsiaTheme="minorEastAsia"/>
          <w:bCs/>
          <w:color w:val="000000" w:themeColor="text1"/>
          <w:sz w:val="28"/>
          <w:szCs w:val="28"/>
        </w:rPr>
      </w:pPr>
      <w:r>
        <w:rPr>
          <w:rFonts w:hint="eastAsia" w:eastAsiaTheme="minorEastAsia"/>
          <w:bCs/>
          <w:color w:val="000000" w:themeColor="text1"/>
          <w:sz w:val="28"/>
          <w:szCs w:val="28"/>
        </w:rPr>
        <w:t>c.</w:t>
      </w:r>
      <w:r>
        <w:rPr>
          <w:rFonts w:eastAsiaTheme="minorEastAsia"/>
          <w:bCs/>
          <w:color w:val="000000" w:themeColor="text1"/>
          <w:sz w:val="28"/>
          <w:szCs w:val="28"/>
        </w:rPr>
        <w:t>事故或危险事件的危险严重度C</w:t>
      </w:r>
    </w:p>
    <w:p>
      <w:pPr>
        <w:adjustRightInd w:val="0"/>
        <w:snapToGrid w:val="0"/>
        <w:spacing w:line="500" w:lineRule="exact"/>
        <w:ind w:firstLine="560" w:firstLineChars="200"/>
        <w:rPr>
          <w:rFonts w:eastAsiaTheme="minorEastAsia"/>
          <w:color w:val="000000" w:themeColor="text1"/>
          <w:sz w:val="28"/>
          <w:szCs w:val="28"/>
        </w:rPr>
      </w:pPr>
      <w:r>
        <w:rPr>
          <w:rFonts w:eastAsiaTheme="minorEastAsia"/>
          <w:color w:val="000000" w:themeColor="text1"/>
          <w:sz w:val="28"/>
          <w:szCs w:val="28"/>
        </w:rPr>
        <w:t>事故或危险事件对人身伤害的严重程度变化范围很大，可以从伤害直至死亡事故，规定分数值～100。具体分数值如下表4-3所示。</w:t>
      </w:r>
    </w:p>
    <w:p>
      <w:pPr>
        <w:rPr>
          <w:rFonts w:eastAsiaTheme="minorEastAsia"/>
          <w:bCs/>
          <w:color w:val="000000" w:themeColor="text1"/>
          <w:sz w:val="24"/>
        </w:rPr>
      </w:pPr>
      <w:r>
        <w:rPr>
          <w:rFonts w:eastAsiaTheme="minorEastAsia"/>
          <w:bCs/>
          <w:color w:val="000000" w:themeColor="text1"/>
          <w:sz w:val="24"/>
        </w:rPr>
        <w:br w:type="page"/>
      </w:r>
    </w:p>
    <w:p>
      <w:pPr>
        <w:adjustRightInd w:val="0"/>
        <w:snapToGrid w:val="0"/>
        <w:spacing w:line="500" w:lineRule="atLeast"/>
        <w:jc w:val="center"/>
        <w:rPr>
          <w:rFonts w:eastAsiaTheme="minorEastAsia"/>
          <w:bCs/>
          <w:color w:val="000000" w:themeColor="text1"/>
          <w:sz w:val="24"/>
        </w:rPr>
      </w:pPr>
      <w:r>
        <w:rPr>
          <w:rFonts w:eastAsiaTheme="minorEastAsia"/>
          <w:bCs/>
          <w:color w:val="000000" w:themeColor="text1"/>
          <w:sz w:val="24"/>
        </w:rPr>
        <w:t>表4-3 事故或危险事件的危险严重度C的分数值</w:t>
      </w:r>
    </w:p>
    <w:tbl>
      <w:tblPr>
        <w:tblStyle w:val="52"/>
        <w:tblW w:w="75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17"/>
        <w:gridCol w:w="49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jc w:val="center"/>
        </w:trPr>
        <w:tc>
          <w:tcPr>
            <w:tcW w:w="2617" w:type="dxa"/>
            <w:vAlign w:val="center"/>
          </w:tcPr>
          <w:p>
            <w:pPr>
              <w:adjustRightInd w:val="0"/>
              <w:snapToGrid w:val="0"/>
              <w:spacing w:line="260" w:lineRule="exact"/>
              <w:jc w:val="center"/>
              <w:rPr>
                <w:rFonts w:eastAsiaTheme="minorEastAsia"/>
                <w:snapToGrid w:val="0"/>
                <w:color w:val="000000" w:themeColor="text1"/>
                <w:kern w:val="0"/>
                <w:szCs w:val="21"/>
              </w:rPr>
            </w:pPr>
            <w:r>
              <w:rPr>
                <w:rFonts w:eastAsiaTheme="minorEastAsia"/>
                <w:snapToGrid w:val="0"/>
                <w:color w:val="000000" w:themeColor="text1"/>
                <w:kern w:val="0"/>
                <w:szCs w:val="21"/>
              </w:rPr>
              <w:t>分数值</w:t>
            </w:r>
          </w:p>
        </w:tc>
        <w:tc>
          <w:tcPr>
            <w:tcW w:w="4980" w:type="dxa"/>
            <w:vAlign w:val="center"/>
          </w:tcPr>
          <w:p>
            <w:pPr>
              <w:adjustRightInd w:val="0"/>
              <w:snapToGrid w:val="0"/>
              <w:spacing w:line="260" w:lineRule="exact"/>
              <w:jc w:val="center"/>
              <w:rPr>
                <w:rFonts w:eastAsiaTheme="minorEastAsia"/>
                <w:snapToGrid w:val="0"/>
                <w:color w:val="000000" w:themeColor="text1"/>
                <w:kern w:val="0"/>
                <w:szCs w:val="21"/>
              </w:rPr>
            </w:pPr>
            <w:r>
              <w:rPr>
                <w:rFonts w:eastAsiaTheme="minorEastAsia"/>
                <w:snapToGrid w:val="0"/>
                <w:color w:val="000000" w:themeColor="text1"/>
                <w:kern w:val="0"/>
                <w:szCs w:val="21"/>
              </w:rPr>
              <w:t>可能结果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17" w:type="dxa"/>
            <w:vAlign w:val="center"/>
          </w:tcPr>
          <w:p>
            <w:pPr>
              <w:adjustRightInd w:val="0"/>
              <w:snapToGrid w:val="0"/>
              <w:spacing w:line="260" w:lineRule="exact"/>
              <w:jc w:val="center"/>
              <w:rPr>
                <w:rFonts w:eastAsiaTheme="minorEastAsia"/>
                <w:snapToGrid w:val="0"/>
                <w:color w:val="000000" w:themeColor="text1"/>
                <w:kern w:val="0"/>
                <w:szCs w:val="21"/>
              </w:rPr>
            </w:pPr>
            <w:r>
              <w:rPr>
                <w:rFonts w:eastAsiaTheme="minorEastAsia"/>
                <w:snapToGrid w:val="0"/>
                <w:color w:val="000000" w:themeColor="text1"/>
                <w:kern w:val="0"/>
                <w:szCs w:val="21"/>
              </w:rPr>
              <w:t>100</w:t>
            </w:r>
          </w:p>
        </w:tc>
        <w:tc>
          <w:tcPr>
            <w:tcW w:w="4980" w:type="dxa"/>
            <w:vAlign w:val="center"/>
          </w:tcPr>
          <w:p>
            <w:pPr>
              <w:adjustRightInd w:val="0"/>
              <w:snapToGrid w:val="0"/>
              <w:spacing w:line="260" w:lineRule="exact"/>
              <w:jc w:val="center"/>
              <w:rPr>
                <w:rFonts w:eastAsiaTheme="minorEastAsia"/>
                <w:snapToGrid w:val="0"/>
                <w:color w:val="000000" w:themeColor="text1"/>
                <w:kern w:val="0"/>
                <w:szCs w:val="21"/>
              </w:rPr>
            </w:pPr>
            <w:r>
              <w:rPr>
                <w:rFonts w:eastAsiaTheme="minorEastAsia"/>
                <w:snapToGrid w:val="0"/>
                <w:color w:val="000000" w:themeColor="text1"/>
                <w:kern w:val="0"/>
                <w:szCs w:val="21"/>
              </w:rPr>
              <w:t>大灾难，许多人死亡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17" w:type="dxa"/>
            <w:vAlign w:val="center"/>
          </w:tcPr>
          <w:p>
            <w:pPr>
              <w:adjustRightInd w:val="0"/>
              <w:snapToGrid w:val="0"/>
              <w:spacing w:line="260" w:lineRule="exact"/>
              <w:jc w:val="center"/>
              <w:rPr>
                <w:rFonts w:eastAsiaTheme="minorEastAsia"/>
                <w:snapToGrid w:val="0"/>
                <w:color w:val="000000" w:themeColor="text1"/>
                <w:kern w:val="0"/>
                <w:szCs w:val="21"/>
              </w:rPr>
            </w:pPr>
            <w:r>
              <w:rPr>
                <w:rFonts w:eastAsiaTheme="minorEastAsia"/>
                <w:snapToGrid w:val="0"/>
                <w:color w:val="000000" w:themeColor="text1"/>
                <w:kern w:val="0"/>
                <w:szCs w:val="21"/>
              </w:rPr>
              <w:t>40</w:t>
            </w:r>
          </w:p>
        </w:tc>
        <w:tc>
          <w:tcPr>
            <w:tcW w:w="4980" w:type="dxa"/>
            <w:vAlign w:val="center"/>
          </w:tcPr>
          <w:p>
            <w:pPr>
              <w:adjustRightInd w:val="0"/>
              <w:snapToGrid w:val="0"/>
              <w:spacing w:line="260" w:lineRule="exact"/>
              <w:jc w:val="center"/>
              <w:rPr>
                <w:rFonts w:eastAsiaTheme="minorEastAsia"/>
                <w:snapToGrid w:val="0"/>
                <w:color w:val="000000" w:themeColor="text1"/>
                <w:kern w:val="0"/>
                <w:szCs w:val="21"/>
              </w:rPr>
            </w:pPr>
            <w:r>
              <w:rPr>
                <w:rFonts w:eastAsiaTheme="minorEastAsia"/>
                <w:snapToGrid w:val="0"/>
                <w:color w:val="000000" w:themeColor="text1"/>
                <w:kern w:val="0"/>
                <w:szCs w:val="21"/>
              </w:rPr>
              <w:t>灾难，数人死亡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17" w:type="dxa"/>
            <w:vAlign w:val="center"/>
          </w:tcPr>
          <w:p>
            <w:pPr>
              <w:adjustRightInd w:val="0"/>
              <w:snapToGrid w:val="0"/>
              <w:spacing w:line="260" w:lineRule="exact"/>
              <w:jc w:val="center"/>
              <w:rPr>
                <w:rFonts w:eastAsiaTheme="minorEastAsia"/>
                <w:snapToGrid w:val="0"/>
                <w:color w:val="000000" w:themeColor="text1"/>
                <w:kern w:val="0"/>
                <w:szCs w:val="21"/>
              </w:rPr>
            </w:pPr>
            <w:r>
              <w:rPr>
                <w:rFonts w:eastAsiaTheme="minorEastAsia"/>
                <w:snapToGrid w:val="0"/>
                <w:color w:val="000000" w:themeColor="text1"/>
                <w:kern w:val="0"/>
                <w:szCs w:val="21"/>
              </w:rPr>
              <w:t>15</w:t>
            </w:r>
          </w:p>
        </w:tc>
        <w:tc>
          <w:tcPr>
            <w:tcW w:w="4980" w:type="dxa"/>
            <w:vAlign w:val="center"/>
          </w:tcPr>
          <w:p>
            <w:pPr>
              <w:adjustRightInd w:val="0"/>
              <w:snapToGrid w:val="0"/>
              <w:spacing w:line="260" w:lineRule="exact"/>
              <w:jc w:val="center"/>
              <w:rPr>
                <w:rFonts w:eastAsiaTheme="minorEastAsia"/>
                <w:snapToGrid w:val="0"/>
                <w:color w:val="000000" w:themeColor="text1"/>
                <w:kern w:val="0"/>
                <w:szCs w:val="21"/>
              </w:rPr>
            </w:pPr>
            <w:r>
              <w:rPr>
                <w:rFonts w:eastAsiaTheme="minorEastAsia"/>
                <w:snapToGrid w:val="0"/>
                <w:color w:val="000000" w:themeColor="text1"/>
                <w:kern w:val="0"/>
                <w:szCs w:val="21"/>
              </w:rPr>
              <w:t>非常严重，一人死亡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17" w:type="dxa"/>
            <w:vAlign w:val="center"/>
          </w:tcPr>
          <w:p>
            <w:pPr>
              <w:adjustRightInd w:val="0"/>
              <w:snapToGrid w:val="0"/>
              <w:spacing w:line="260" w:lineRule="exact"/>
              <w:jc w:val="center"/>
              <w:rPr>
                <w:rFonts w:eastAsiaTheme="minorEastAsia"/>
                <w:snapToGrid w:val="0"/>
                <w:color w:val="000000" w:themeColor="text1"/>
                <w:kern w:val="0"/>
                <w:szCs w:val="21"/>
              </w:rPr>
            </w:pPr>
            <w:r>
              <w:rPr>
                <w:rFonts w:eastAsiaTheme="minorEastAsia"/>
                <w:snapToGrid w:val="0"/>
                <w:color w:val="000000" w:themeColor="text1"/>
                <w:kern w:val="0"/>
                <w:szCs w:val="21"/>
              </w:rPr>
              <w:t>7</w:t>
            </w:r>
          </w:p>
        </w:tc>
        <w:tc>
          <w:tcPr>
            <w:tcW w:w="4980" w:type="dxa"/>
            <w:vAlign w:val="center"/>
          </w:tcPr>
          <w:p>
            <w:pPr>
              <w:adjustRightInd w:val="0"/>
              <w:snapToGrid w:val="0"/>
              <w:spacing w:line="260" w:lineRule="exact"/>
              <w:jc w:val="center"/>
              <w:rPr>
                <w:rFonts w:eastAsiaTheme="minorEastAsia"/>
                <w:snapToGrid w:val="0"/>
                <w:color w:val="000000" w:themeColor="text1"/>
                <w:kern w:val="0"/>
                <w:szCs w:val="21"/>
              </w:rPr>
            </w:pPr>
            <w:r>
              <w:rPr>
                <w:rFonts w:eastAsiaTheme="minorEastAsia"/>
                <w:snapToGrid w:val="0"/>
                <w:color w:val="000000" w:themeColor="text1"/>
                <w:kern w:val="0"/>
                <w:szCs w:val="21"/>
              </w:rPr>
              <w:t>严重，严重伤害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17" w:type="dxa"/>
            <w:vAlign w:val="center"/>
          </w:tcPr>
          <w:p>
            <w:pPr>
              <w:adjustRightInd w:val="0"/>
              <w:snapToGrid w:val="0"/>
              <w:spacing w:line="260" w:lineRule="exact"/>
              <w:jc w:val="center"/>
              <w:rPr>
                <w:rFonts w:eastAsiaTheme="minorEastAsia"/>
                <w:snapToGrid w:val="0"/>
                <w:color w:val="000000" w:themeColor="text1"/>
                <w:kern w:val="0"/>
                <w:szCs w:val="21"/>
              </w:rPr>
            </w:pPr>
            <w:r>
              <w:rPr>
                <w:rFonts w:eastAsiaTheme="minorEastAsia"/>
                <w:snapToGrid w:val="0"/>
                <w:color w:val="000000" w:themeColor="text1"/>
                <w:kern w:val="0"/>
                <w:szCs w:val="21"/>
              </w:rPr>
              <w:t>3</w:t>
            </w:r>
          </w:p>
        </w:tc>
        <w:tc>
          <w:tcPr>
            <w:tcW w:w="4980" w:type="dxa"/>
            <w:vAlign w:val="center"/>
          </w:tcPr>
          <w:p>
            <w:pPr>
              <w:adjustRightInd w:val="0"/>
              <w:snapToGrid w:val="0"/>
              <w:spacing w:line="260" w:lineRule="exact"/>
              <w:jc w:val="center"/>
              <w:rPr>
                <w:rFonts w:eastAsiaTheme="minorEastAsia"/>
                <w:snapToGrid w:val="0"/>
                <w:color w:val="000000" w:themeColor="text1"/>
                <w:kern w:val="0"/>
                <w:szCs w:val="21"/>
              </w:rPr>
            </w:pPr>
            <w:r>
              <w:rPr>
                <w:rFonts w:eastAsiaTheme="minorEastAsia"/>
                <w:snapToGrid w:val="0"/>
                <w:color w:val="000000" w:themeColor="text1"/>
                <w:kern w:val="0"/>
                <w:szCs w:val="21"/>
              </w:rPr>
              <w:t>重大，致残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17" w:type="dxa"/>
            <w:vAlign w:val="center"/>
          </w:tcPr>
          <w:p>
            <w:pPr>
              <w:adjustRightInd w:val="0"/>
              <w:snapToGrid w:val="0"/>
              <w:spacing w:line="260" w:lineRule="exact"/>
              <w:jc w:val="center"/>
              <w:rPr>
                <w:rFonts w:eastAsiaTheme="minorEastAsia"/>
                <w:snapToGrid w:val="0"/>
                <w:color w:val="000000" w:themeColor="text1"/>
                <w:kern w:val="0"/>
                <w:szCs w:val="21"/>
              </w:rPr>
            </w:pPr>
            <w:r>
              <w:rPr>
                <w:rFonts w:eastAsiaTheme="minorEastAsia"/>
                <w:snapToGrid w:val="0"/>
                <w:color w:val="000000" w:themeColor="text1"/>
                <w:kern w:val="0"/>
                <w:szCs w:val="21"/>
              </w:rPr>
              <w:t>1</w:t>
            </w:r>
          </w:p>
        </w:tc>
        <w:tc>
          <w:tcPr>
            <w:tcW w:w="4980" w:type="dxa"/>
            <w:vAlign w:val="center"/>
          </w:tcPr>
          <w:p>
            <w:pPr>
              <w:adjustRightInd w:val="0"/>
              <w:snapToGrid w:val="0"/>
              <w:spacing w:line="260" w:lineRule="exact"/>
              <w:jc w:val="center"/>
              <w:rPr>
                <w:rFonts w:eastAsiaTheme="minorEastAsia"/>
                <w:snapToGrid w:val="0"/>
                <w:color w:val="000000" w:themeColor="text1"/>
                <w:kern w:val="0"/>
                <w:szCs w:val="21"/>
              </w:rPr>
            </w:pPr>
            <w:r>
              <w:rPr>
                <w:rFonts w:eastAsiaTheme="minorEastAsia"/>
                <w:snapToGrid w:val="0"/>
                <w:color w:val="000000" w:themeColor="text1"/>
                <w:kern w:val="0"/>
                <w:szCs w:val="21"/>
              </w:rPr>
              <w:t>引人注目，需要救护</w:t>
            </w:r>
          </w:p>
        </w:tc>
      </w:tr>
    </w:tbl>
    <w:p>
      <w:pPr>
        <w:adjustRightInd w:val="0"/>
        <w:snapToGrid w:val="0"/>
        <w:spacing w:line="500" w:lineRule="exact"/>
        <w:ind w:firstLine="560" w:firstLineChars="200"/>
        <w:rPr>
          <w:rFonts w:eastAsiaTheme="minorEastAsia"/>
          <w:bCs/>
          <w:color w:val="000000" w:themeColor="text1"/>
          <w:sz w:val="28"/>
          <w:szCs w:val="28"/>
        </w:rPr>
      </w:pPr>
      <w:r>
        <w:rPr>
          <w:rFonts w:hint="eastAsia" w:eastAsiaTheme="minorEastAsia"/>
          <w:bCs/>
          <w:color w:val="000000" w:themeColor="text1"/>
          <w:sz w:val="28"/>
          <w:szCs w:val="28"/>
        </w:rPr>
        <w:t>d.</w:t>
      </w:r>
      <w:r>
        <w:rPr>
          <w:rFonts w:eastAsiaTheme="minorEastAsia"/>
          <w:bCs/>
          <w:color w:val="000000" w:themeColor="text1"/>
          <w:sz w:val="28"/>
          <w:szCs w:val="28"/>
        </w:rPr>
        <w:t>危险性程度分级</w:t>
      </w:r>
    </w:p>
    <w:p>
      <w:pPr>
        <w:adjustRightInd w:val="0"/>
        <w:snapToGrid w:val="0"/>
        <w:spacing w:line="500" w:lineRule="exact"/>
        <w:ind w:firstLine="560" w:firstLineChars="200"/>
        <w:rPr>
          <w:rFonts w:eastAsiaTheme="minorEastAsia"/>
          <w:bCs/>
          <w:color w:val="000000" w:themeColor="text1"/>
          <w:sz w:val="24"/>
        </w:rPr>
      </w:pPr>
      <w:r>
        <w:rPr>
          <w:rFonts w:eastAsiaTheme="minorEastAsia"/>
          <w:color w:val="000000" w:themeColor="text1"/>
          <w:sz w:val="28"/>
          <w:szCs w:val="28"/>
        </w:rPr>
        <w:t>在确定上述三个因素的分数值后，其三者的乘积即为总的危险性分数值D。根据相关资料，将危险性程度分级的相应分数值列入下表4-4所示。</w:t>
      </w:r>
    </w:p>
    <w:p>
      <w:pPr>
        <w:adjustRightInd w:val="0"/>
        <w:snapToGrid w:val="0"/>
        <w:spacing w:line="500" w:lineRule="atLeast"/>
        <w:jc w:val="center"/>
        <w:rPr>
          <w:rFonts w:eastAsiaTheme="minorEastAsia"/>
          <w:bCs/>
          <w:color w:val="000000" w:themeColor="text1"/>
          <w:sz w:val="24"/>
        </w:rPr>
      </w:pPr>
      <w:r>
        <w:rPr>
          <w:rFonts w:eastAsiaTheme="minorEastAsia"/>
          <w:bCs/>
          <w:color w:val="000000" w:themeColor="text1"/>
          <w:sz w:val="24"/>
        </w:rPr>
        <w:t>表4-4 危险性程度分级的分数值</w:t>
      </w:r>
    </w:p>
    <w:tbl>
      <w:tblPr>
        <w:tblStyle w:val="52"/>
        <w:tblW w:w="71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84"/>
        <w:gridCol w:w="43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4" w:type="dxa"/>
          </w:tcPr>
          <w:p>
            <w:pPr>
              <w:adjustRightInd w:val="0"/>
              <w:snapToGrid w:val="0"/>
              <w:spacing w:line="260" w:lineRule="exact"/>
              <w:jc w:val="center"/>
              <w:rPr>
                <w:rFonts w:eastAsiaTheme="minorEastAsia"/>
                <w:snapToGrid w:val="0"/>
                <w:color w:val="000000" w:themeColor="text1"/>
                <w:kern w:val="0"/>
                <w:szCs w:val="21"/>
              </w:rPr>
            </w:pPr>
            <w:r>
              <w:rPr>
                <w:rFonts w:eastAsiaTheme="minorEastAsia"/>
                <w:snapToGrid w:val="0"/>
                <w:color w:val="000000" w:themeColor="text1"/>
                <w:kern w:val="0"/>
                <w:szCs w:val="21"/>
              </w:rPr>
              <w:t>分数值</w:t>
            </w:r>
          </w:p>
        </w:tc>
        <w:tc>
          <w:tcPr>
            <w:tcW w:w="4386" w:type="dxa"/>
          </w:tcPr>
          <w:p>
            <w:pPr>
              <w:adjustRightInd w:val="0"/>
              <w:snapToGrid w:val="0"/>
              <w:spacing w:line="260" w:lineRule="exact"/>
              <w:jc w:val="center"/>
              <w:rPr>
                <w:rFonts w:eastAsiaTheme="minorEastAsia"/>
                <w:snapToGrid w:val="0"/>
                <w:color w:val="000000" w:themeColor="text1"/>
                <w:kern w:val="0"/>
                <w:szCs w:val="21"/>
              </w:rPr>
            </w:pPr>
            <w:r>
              <w:rPr>
                <w:rFonts w:eastAsiaTheme="minorEastAsia"/>
                <w:snapToGrid w:val="0"/>
                <w:color w:val="000000" w:themeColor="text1"/>
                <w:kern w:val="0"/>
                <w:szCs w:val="21"/>
              </w:rPr>
              <w:t>危险性程度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4" w:type="dxa"/>
          </w:tcPr>
          <w:p>
            <w:pPr>
              <w:adjustRightInd w:val="0"/>
              <w:snapToGrid w:val="0"/>
              <w:spacing w:line="260" w:lineRule="exact"/>
              <w:jc w:val="center"/>
              <w:rPr>
                <w:rFonts w:eastAsiaTheme="minorEastAsia"/>
                <w:snapToGrid w:val="0"/>
                <w:color w:val="000000" w:themeColor="text1"/>
                <w:kern w:val="0"/>
                <w:szCs w:val="21"/>
              </w:rPr>
            </w:pPr>
            <w:r>
              <w:rPr>
                <w:rFonts w:eastAsiaTheme="minorEastAsia"/>
                <w:snapToGrid w:val="0"/>
                <w:color w:val="000000" w:themeColor="text1"/>
                <w:kern w:val="0"/>
                <w:szCs w:val="21"/>
              </w:rPr>
              <w:t>&gt;320</w:t>
            </w:r>
          </w:p>
        </w:tc>
        <w:tc>
          <w:tcPr>
            <w:tcW w:w="4386" w:type="dxa"/>
          </w:tcPr>
          <w:p>
            <w:pPr>
              <w:adjustRightInd w:val="0"/>
              <w:snapToGrid w:val="0"/>
              <w:spacing w:line="260" w:lineRule="exact"/>
              <w:jc w:val="center"/>
              <w:rPr>
                <w:rFonts w:eastAsiaTheme="minorEastAsia"/>
                <w:snapToGrid w:val="0"/>
                <w:color w:val="000000" w:themeColor="text1"/>
                <w:kern w:val="0"/>
                <w:szCs w:val="21"/>
              </w:rPr>
            </w:pPr>
            <w:r>
              <w:rPr>
                <w:rFonts w:eastAsiaTheme="minorEastAsia"/>
                <w:snapToGrid w:val="0"/>
                <w:color w:val="000000" w:themeColor="text1"/>
                <w:kern w:val="0"/>
                <w:szCs w:val="21"/>
              </w:rPr>
              <w:t>极其危险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4" w:type="dxa"/>
          </w:tcPr>
          <w:p>
            <w:pPr>
              <w:adjustRightInd w:val="0"/>
              <w:snapToGrid w:val="0"/>
              <w:spacing w:line="260" w:lineRule="exact"/>
              <w:jc w:val="center"/>
              <w:rPr>
                <w:rFonts w:eastAsiaTheme="minorEastAsia"/>
                <w:snapToGrid w:val="0"/>
                <w:color w:val="000000" w:themeColor="text1"/>
                <w:kern w:val="0"/>
                <w:szCs w:val="21"/>
              </w:rPr>
            </w:pPr>
            <w:r>
              <w:rPr>
                <w:rFonts w:eastAsiaTheme="minorEastAsia"/>
                <w:snapToGrid w:val="0"/>
                <w:color w:val="000000" w:themeColor="text1"/>
                <w:kern w:val="0"/>
                <w:szCs w:val="21"/>
              </w:rPr>
              <w:t>160～320</w:t>
            </w:r>
          </w:p>
        </w:tc>
        <w:tc>
          <w:tcPr>
            <w:tcW w:w="4386" w:type="dxa"/>
          </w:tcPr>
          <w:p>
            <w:pPr>
              <w:adjustRightInd w:val="0"/>
              <w:snapToGrid w:val="0"/>
              <w:spacing w:line="260" w:lineRule="exact"/>
              <w:jc w:val="center"/>
              <w:rPr>
                <w:rFonts w:eastAsiaTheme="minorEastAsia"/>
                <w:snapToGrid w:val="0"/>
                <w:color w:val="000000" w:themeColor="text1"/>
                <w:kern w:val="0"/>
                <w:szCs w:val="21"/>
              </w:rPr>
            </w:pPr>
            <w:r>
              <w:rPr>
                <w:rFonts w:eastAsiaTheme="minorEastAsia"/>
                <w:snapToGrid w:val="0"/>
                <w:color w:val="000000" w:themeColor="text1"/>
                <w:kern w:val="0"/>
                <w:szCs w:val="21"/>
              </w:rPr>
              <w:t>高度危险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4" w:type="dxa"/>
          </w:tcPr>
          <w:p>
            <w:pPr>
              <w:adjustRightInd w:val="0"/>
              <w:snapToGrid w:val="0"/>
              <w:spacing w:line="260" w:lineRule="exact"/>
              <w:jc w:val="center"/>
              <w:rPr>
                <w:rFonts w:eastAsiaTheme="minorEastAsia"/>
                <w:snapToGrid w:val="0"/>
                <w:color w:val="000000" w:themeColor="text1"/>
                <w:kern w:val="0"/>
                <w:szCs w:val="21"/>
              </w:rPr>
            </w:pPr>
            <w:r>
              <w:rPr>
                <w:rFonts w:eastAsiaTheme="minorEastAsia"/>
                <w:snapToGrid w:val="0"/>
                <w:color w:val="000000" w:themeColor="text1"/>
                <w:kern w:val="0"/>
                <w:szCs w:val="21"/>
              </w:rPr>
              <w:t>70～160</w:t>
            </w:r>
          </w:p>
        </w:tc>
        <w:tc>
          <w:tcPr>
            <w:tcW w:w="4386" w:type="dxa"/>
          </w:tcPr>
          <w:p>
            <w:pPr>
              <w:adjustRightInd w:val="0"/>
              <w:snapToGrid w:val="0"/>
              <w:spacing w:line="260" w:lineRule="exact"/>
              <w:jc w:val="center"/>
              <w:rPr>
                <w:rFonts w:eastAsiaTheme="minorEastAsia"/>
                <w:snapToGrid w:val="0"/>
                <w:color w:val="000000" w:themeColor="text1"/>
                <w:kern w:val="0"/>
                <w:szCs w:val="21"/>
              </w:rPr>
            </w:pPr>
            <w:r>
              <w:rPr>
                <w:rFonts w:eastAsiaTheme="minorEastAsia"/>
                <w:snapToGrid w:val="0"/>
                <w:color w:val="000000" w:themeColor="text1"/>
                <w:kern w:val="0"/>
                <w:szCs w:val="21"/>
              </w:rPr>
              <w:t>显著危险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4" w:type="dxa"/>
          </w:tcPr>
          <w:p>
            <w:pPr>
              <w:adjustRightInd w:val="0"/>
              <w:snapToGrid w:val="0"/>
              <w:spacing w:line="260" w:lineRule="exact"/>
              <w:jc w:val="center"/>
              <w:rPr>
                <w:rFonts w:eastAsiaTheme="minorEastAsia"/>
                <w:snapToGrid w:val="0"/>
                <w:color w:val="000000" w:themeColor="text1"/>
                <w:kern w:val="0"/>
                <w:szCs w:val="21"/>
              </w:rPr>
            </w:pPr>
            <w:r>
              <w:rPr>
                <w:rFonts w:eastAsiaTheme="minorEastAsia"/>
                <w:snapToGrid w:val="0"/>
                <w:color w:val="000000" w:themeColor="text1"/>
                <w:kern w:val="0"/>
                <w:szCs w:val="21"/>
              </w:rPr>
              <w:t>20～70</w:t>
            </w:r>
          </w:p>
        </w:tc>
        <w:tc>
          <w:tcPr>
            <w:tcW w:w="4386" w:type="dxa"/>
          </w:tcPr>
          <w:p>
            <w:pPr>
              <w:adjustRightInd w:val="0"/>
              <w:snapToGrid w:val="0"/>
              <w:spacing w:line="260" w:lineRule="exact"/>
              <w:jc w:val="center"/>
              <w:rPr>
                <w:rFonts w:eastAsiaTheme="minorEastAsia"/>
                <w:snapToGrid w:val="0"/>
                <w:color w:val="000000" w:themeColor="text1"/>
                <w:kern w:val="0"/>
                <w:szCs w:val="21"/>
              </w:rPr>
            </w:pPr>
            <w:r>
              <w:rPr>
                <w:rFonts w:eastAsiaTheme="minorEastAsia"/>
                <w:snapToGrid w:val="0"/>
                <w:color w:val="000000" w:themeColor="text1"/>
                <w:kern w:val="0"/>
                <w:szCs w:val="21"/>
              </w:rPr>
              <w:t>可能危险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4" w:type="dxa"/>
          </w:tcPr>
          <w:p>
            <w:pPr>
              <w:adjustRightInd w:val="0"/>
              <w:snapToGrid w:val="0"/>
              <w:spacing w:line="260" w:lineRule="exact"/>
              <w:jc w:val="center"/>
              <w:rPr>
                <w:rFonts w:eastAsiaTheme="minorEastAsia"/>
                <w:snapToGrid w:val="0"/>
                <w:color w:val="000000" w:themeColor="text1"/>
                <w:kern w:val="0"/>
                <w:szCs w:val="21"/>
              </w:rPr>
            </w:pPr>
            <w:r>
              <w:rPr>
                <w:rFonts w:eastAsiaTheme="minorEastAsia"/>
                <w:snapToGrid w:val="0"/>
                <w:color w:val="000000" w:themeColor="text1"/>
                <w:kern w:val="0"/>
                <w:szCs w:val="21"/>
              </w:rPr>
              <w:t>&lt;20</w:t>
            </w:r>
          </w:p>
        </w:tc>
        <w:tc>
          <w:tcPr>
            <w:tcW w:w="4386" w:type="dxa"/>
          </w:tcPr>
          <w:p>
            <w:pPr>
              <w:adjustRightInd w:val="0"/>
              <w:snapToGrid w:val="0"/>
              <w:spacing w:line="260" w:lineRule="exact"/>
              <w:jc w:val="center"/>
              <w:rPr>
                <w:rFonts w:eastAsiaTheme="minorEastAsia"/>
                <w:snapToGrid w:val="0"/>
                <w:color w:val="000000" w:themeColor="text1"/>
                <w:kern w:val="0"/>
                <w:szCs w:val="21"/>
              </w:rPr>
            </w:pPr>
            <w:r>
              <w:rPr>
                <w:rFonts w:eastAsiaTheme="minorEastAsia"/>
                <w:snapToGrid w:val="0"/>
                <w:color w:val="000000" w:themeColor="text1"/>
                <w:kern w:val="0"/>
                <w:szCs w:val="21"/>
              </w:rPr>
              <w:t>稍有危险</w:t>
            </w:r>
          </w:p>
        </w:tc>
      </w:tr>
    </w:tbl>
    <w:p>
      <w:pPr>
        <w:pStyle w:val="34"/>
        <w:adjustRightInd w:val="0"/>
        <w:snapToGrid w:val="0"/>
        <w:spacing w:after="0" w:line="500" w:lineRule="exact"/>
        <w:ind w:left="0" w:leftChars="0" w:firstLine="562"/>
        <w:rPr>
          <w:rFonts w:eastAsiaTheme="minorEastAsia"/>
          <w:b/>
          <w:bCs/>
          <w:snapToGrid w:val="0"/>
          <w:color w:val="000000" w:themeColor="text1"/>
          <w:kern w:val="0"/>
          <w:sz w:val="28"/>
          <w:szCs w:val="28"/>
        </w:rPr>
      </w:pPr>
      <w:bookmarkStart w:id="1575" w:name="_Toc9773"/>
      <w:r>
        <w:rPr>
          <w:rFonts w:eastAsiaTheme="minorEastAsia"/>
          <w:b/>
          <w:bCs/>
          <w:snapToGrid w:val="0"/>
          <w:color w:val="000000" w:themeColor="text1"/>
          <w:kern w:val="0"/>
          <w:sz w:val="28"/>
          <w:szCs w:val="28"/>
        </w:rPr>
        <w:t>2</w:t>
      </w:r>
      <w:r>
        <w:rPr>
          <w:rFonts w:hint="eastAsia" w:eastAsiaTheme="minorEastAsia"/>
          <w:b/>
          <w:bCs/>
          <w:snapToGrid w:val="0"/>
          <w:color w:val="000000" w:themeColor="text1"/>
          <w:kern w:val="0"/>
          <w:sz w:val="28"/>
          <w:szCs w:val="28"/>
        </w:rPr>
        <w:t>.</w:t>
      </w:r>
      <w:r>
        <w:rPr>
          <w:rFonts w:eastAsiaTheme="minorEastAsia"/>
          <w:b/>
          <w:bCs/>
          <w:snapToGrid w:val="0"/>
          <w:color w:val="000000" w:themeColor="text1"/>
          <w:kern w:val="0"/>
          <w:sz w:val="28"/>
          <w:szCs w:val="28"/>
        </w:rPr>
        <w:t>LEC法改进简介</w:t>
      </w:r>
      <w:bookmarkEnd w:id="1575"/>
    </w:p>
    <w:p>
      <w:pPr>
        <w:adjustRightInd w:val="0"/>
        <w:snapToGrid w:val="0"/>
        <w:spacing w:line="500" w:lineRule="exact"/>
        <w:ind w:firstLine="560"/>
        <w:rPr>
          <w:rFonts w:eastAsiaTheme="minorEastAsia"/>
          <w:color w:val="000000" w:themeColor="text1"/>
          <w:sz w:val="28"/>
        </w:rPr>
      </w:pPr>
      <w:r>
        <w:rPr>
          <w:rFonts w:eastAsiaTheme="minorEastAsia"/>
          <w:color w:val="000000" w:themeColor="text1"/>
          <w:sz w:val="28"/>
        </w:rPr>
        <w:t>针对LEC法的不足，可以在科学分析研究的基础上，对此方法从安全管理角度考虑其安全管理方面的补偿，在原来LEC法的基础上考虑增加M，其对作业人员的管理、对设备的管理、对物料的管理、对作业环境的管理。考虑增加M值后，LEC法的计算式如下所述。</w:t>
      </w:r>
    </w:p>
    <w:p>
      <w:pPr>
        <w:adjustRightInd w:val="0"/>
        <w:snapToGrid w:val="0"/>
        <w:spacing w:line="500" w:lineRule="exact"/>
        <w:ind w:firstLine="560"/>
        <w:rPr>
          <w:rFonts w:eastAsiaTheme="minorEastAsia"/>
          <w:color w:val="000000" w:themeColor="text1"/>
          <w:sz w:val="28"/>
        </w:rPr>
      </w:pPr>
      <w:r>
        <w:rPr>
          <w:rFonts w:eastAsiaTheme="minorEastAsia"/>
          <w:color w:val="000000" w:themeColor="text1"/>
          <w:sz w:val="28"/>
        </w:rPr>
        <w:t>D=M×L×E×C；M=M</w:t>
      </w:r>
      <w:r>
        <w:rPr>
          <w:rFonts w:eastAsiaTheme="minorEastAsia"/>
          <w:color w:val="000000" w:themeColor="text1"/>
          <w:sz w:val="28"/>
          <w:vertAlign w:val="subscript"/>
        </w:rPr>
        <w:t>1</w:t>
      </w:r>
      <w:r>
        <w:rPr>
          <w:rFonts w:eastAsiaTheme="minorEastAsia"/>
          <w:color w:val="000000" w:themeColor="text1"/>
          <w:sz w:val="28"/>
        </w:rPr>
        <w:t>×M</w:t>
      </w:r>
      <w:r>
        <w:rPr>
          <w:rFonts w:eastAsiaTheme="minorEastAsia"/>
          <w:color w:val="000000" w:themeColor="text1"/>
          <w:sz w:val="28"/>
          <w:vertAlign w:val="subscript"/>
        </w:rPr>
        <w:t>2</w:t>
      </w:r>
      <w:r>
        <w:rPr>
          <w:rFonts w:eastAsiaTheme="minorEastAsia"/>
          <w:color w:val="000000" w:themeColor="text1"/>
          <w:sz w:val="28"/>
        </w:rPr>
        <w:t>×M</w:t>
      </w:r>
      <w:r>
        <w:rPr>
          <w:rFonts w:eastAsiaTheme="minorEastAsia"/>
          <w:color w:val="000000" w:themeColor="text1"/>
          <w:sz w:val="28"/>
          <w:vertAlign w:val="subscript"/>
        </w:rPr>
        <w:t>3</w:t>
      </w:r>
      <w:r>
        <w:rPr>
          <w:rFonts w:eastAsiaTheme="minorEastAsia"/>
          <w:color w:val="000000" w:themeColor="text1"/>
          <w:sz w:val="28"/>
        </w:rPr>
        <w:t>×M</w:t>
      </w:r>
      <w:r>
        <w:rPr>
          <w:rFonts w:eastAsiaTheme="minorEastAsia"/>
          <w:color w:val="000000" w:themeColor="text1"/>
          <w:sz w:val="28"/>
          <w:vertAlign w:val="subscript"/>
        </w:rPr>
        <w:t>4</w:t>
      </w:r>
    </w:p>
    <w:p>
      <w:pPr>
        <w:adjustRightInd w:val="0"/>
        <w:snapToGrid w:val="0"/>
        <w:spacing w:line="500" w:lineRule="exact"/>
        <w:ind w:firstLine="480"/>
        <w:rPr>
          <w:rFonts w:eastAsiaTheme="minorEastAsia"/>
          <w:color w:val="000000" w:themeColor="text1"/>
          <w:sz w:val="24"/>
        </w:rPr>
      </w:pPr>
      <w:bookmarkStart w:id="1576" w:name="_Toc26870_WPSOffice_Level2"/>
      <w:bookmarkStart w:id="1577" w:name="_Toc1248_WPSOffice_Level2"/>
      <w:bookmarkStart w:id="1578" w:name="_Toc18245_WPSOffice_Level2"/>
      <w:r>
        <w:rPr>
          <w:rFonts w:eastAsiaTheme="minorEastAsia"/>
          <w:color w:val="000000" w:themeColor="text1"/>
          <w:sz w:val="24"/>
        </w:rPr>
        <w:t>上式中：M=管理系数</w:t>
      </w:r>
      <w:bookmarkEnd w:id="1576"/>
      <w:bookmarkEnd w:id="1577"/>
      <w:bookmarkEnd w:id="1578"/>
    </w:p>
    <w:p>
      <w:pPr>
        <w:adjustRightInd w:val="0"/>
        <w:snapToGrid w:val="0"/>
        <w:spacing w:line="500" w:lineRule="exact"/>
        <w:ind w:firstLine="480"/>
        <w:rPr>
          <w:rFonts w:eastAsiaTheme="minorEastAsia"/>
          <w:color w:val="000000" w:themeColor="text1"/>
          <w:sz w:val="24"/>
        </w:rPr>
      </w:pPr>
      <w:r>
        <w:rPr>
          <w:rFonts w:eastAsiaTheme="minorEastAsia"/>
          <w:color w:val="000000" w:themeColor="text1"/>
          <w:sz w:val="24"/>
        </w:rPr>
        <w:t>　　　　</w:t>
      </w:r>
      <w:bookmarkStart w:id="1579" w:name="_Toc9892_WPSOffice_Level2"/>
      <w:bookmarkStart w:id="1580" w:name="_Toc29239_WPSOffice_Level2"/>
      <w:bookmarkStart w:id="1581" w:name="_Toc4743"/>
      <w:bookmarkStart w:id="1582" w:name="_Toc16598_WPSOffice_Level2"/>
      <w:r>
        <w:rPr>
          <w:rFonts w:eastAsiaTheme="minorEastAsia"/>
          <w:color w:val="000000" w:themeColor="text1"/>
          <w:sz w:val="24"/>
        </w:rPr>
        <w:t>M</w:t>
      </w:r>
      <w:r>
        <w:rPr>
          <w:rFonts w:eastAsiaTheme="minorEastAsia"/>
          <w:color w:val="000000" w:themeColor="text1"/>
          <w:sz w:val="24"/>
          <w:vertAlign w:val="subscript"/>
        </w:rPr>
        <w:t>1</w:t>
      </w:r>
      <w:r>
        <w:rPr>
          <w:rFonts w:eastAsiaTheme="minorEastAsia"/>
          <w:color w:val="000000" w:themeColor="text1"/>
          <w:sz w:val="24"/>
        </w:rPr>
        <w:t>=作业人员管理系数</w:t>
      </w:r>
      <w:bookmarkEnd w:id="1579"/>
      <w:bookmarkEnd w:id="1580"/>
      <w:bookmarkEnd w:id="1581"/>
      <w:bookmarkEnd w:id="1582"/>
    </w:p>
    <w:p>
      <w:pPr>
        <w:adjustRightInd w:val="0"/>
        <w:snapToGrid w:val="0"/>
        <w:spacing w:line="500" w:lineRule="exact"/>
        <w:ind w:firstLine="480"/>
        <w:rPr>
          <w:rFonts w:eastAsiaTheme="minorEastAsia"/>
          <w:color w:val="000000" w:themeColor="text1"/>
          <w:sz w:val="24"/>
        </w:rPr>
      </w:pPr>
      <w:r>
        <w:rPr>
          <w:rFonts w:eastAsiaTheme="minorEastAsia"/>
          <w:color w:val="000000" w:themeColor="text1"/>
          <w:sz w:val="24"/>
        </w:rPr>
        <w:t>　　　　</w:t>
      </w:r>
      <w:bookmarkStart w:id="1583" w:name="_Toc22427_WPSOffice_Level2"/>
      <w:bookmarkStart w:id="1584" w:name="_Toc14724_WPSOffice_Level2"/>
      <w:bookmarkStart w:id="1585" w:name="_Toc23889_WPSOffice_Level2"/>
      <w:bookmarkStart w:id="1586" w:name="_Toc9432"/>
      <w:r>
        <w:rPr>
          <w:rFonts w:eastAsiaTheme="minorEastAsia"/>
          <w:color w:val="000000" w:themeColor="text1"/>
          <w:sz w:val="24"/>
        </w:rPr>
        <w:t>M</w:t>
      </w:r>
      <w:r>
        <w:rPr>
          <w:rFonts w:eastAsiaTheme="minorEastAsia"/>
          <w:color w:val="000000" w:themeColor="text1"/>
          <w:sz w:val="24"/>
          <w:vertAlign w:val="subscript"/>
        </w:rPr>
        <w:t>2</w:t>
      </w:r>
      <w:r>
        <w:rPr>
          <w:rFonts w:eastAsiaTheme="minorEastAsia"/>
          <w:color w:val="000000" w:themeColor="text1"/>
          <w:sz w:val="24"/>
        </w:rPr>
        <w:t>=设备管理系数</w:t>
      </w:r>
      <w:bookmarkEnd w:id="1583"/>
      <w:bookmarkEnd w:id="1584"/>
      <w:bookmarkEnd w:id="1585"/>
      <w:bookmarkEnd w:id="1586"/>
    </w:p>
    <w:p>
      <w:pPr>
        <w:adjustRightInd w:val="0"/>
        <w:snapToGrid w:val="0"/>
        <w:spacing w:line="500" w:lineRule="exact"/>
        <w:ind w:firstLine="480"/>
        <w:rPr>
          <w:rFonts w:eastAsiaTheme="minorEastAsia"/>
          <w:color w:val="000000" w:themeColor="text1"/>
          <w:sz w:val="24"/>
        </w:rPr>
      </w:pPr>
      <w:r>
        <w:rPr>
          <w:rFonts w:eastAsiaTheme="minorEastAsia"/>
          <w:color w:val="000000" w:themeColor="text1"/>
          <w:sz w:val="24"/>
        </w:rPr>
        <w:t>　　　　</w:t>
      </w:r>
      <w:bookmarkStart w:id="1587" w:name="_Toc13355_WPSOffice_Level2"/>
      <w:bookmarkStart w:id="1588" w:name="_Toc1082_WPSOffice_Level2"/>
      <w:bookmarkStart w:id="1589" w:name="_Toc24509"/>
      <w:bookmarkStart w:id="1590" w:name="_Toc18718_WPSOffice_Level2"/>
      <w:r>
        <w:rPr>
          <w:rFonts w:eastAsiaTheme="minorEastAsia"/>
          <w:color w:val="000000" w:themeColor="text1"/>
          <w:sz w:val="24"/>
        </w:rPr>
        <w:t>M</w:t>
      </w:r>
      <w:r>
        <w:rPr>
          <w:rFonts w:eastAsiaTheme="minorEastAsia"/>
          <w:color w:val="000000" w:themeColor="text1"/>
          <w:sz w:val="24"/>
          <w:vertAlign w:val="subscript"/>
        </w:rPr>
        <w:t>3</w:t>
      </w:r>
      <w:r>
        <w:rPr>
          <w:rFonts w:eastAsiaTheme="minorEastAsia"/>
          <w:color w:val="000000" w:themeColor="text1"/>
          <w:sz w:val="24"/>
        </w:rPr>
        <w:t>=物料管理系数</w:t>
      </w:r>
      <w:bookmarkEnd w:id="1587"/>
      <w:bookmarkEnd w:id="1588"/>
      <w:bookmarkEnd w:id="1589"/>
      <w:bookmarkEnd w:id="1590"/>
    </w:p>
    <w:p>
      <w:pPr>
        <w:adjustRightInd w:val="0"/>
        <w:snapToGrid w:val="0"/>
        <w:spacing w:line="500" w:lineRule="exact"/>
        <w:ind w:firstLine="480"/>
        <w:rPr>
          <w:rFonts w:eastAsiaTheme="minorEastAsia"/>
          <w:color w:val="000000" w:themeColor="text1"/>
          <w:sz w:val="24"/>
        </w:rPr>
      </w:pPr>
      <w:r>
        <w:rPr>
          <w:rFonts w:eastAsiaTheme="minorEastAsia"/>
          <w:color w:val="000000" w:themeColor="text1"/>
          <w:sz w:val="24"/>
        </w:rPr>
        <w:t>　　　　</w:t>
      </w:r>
      <w:bookmarkStart w:id="1591" w:name="_Toc1972_WPSOffice_Level2"/>
      <w:bookmarkStart w:id="1592" w:name="_Toc28693_WPSOffice_Level2"/>
      <w:bookmarkStart w:id="1593" w:name="_Toc4641_WPSOffice_Level2"/>
      <w:bookmarkStart w:id="1594" w:name="_Toc12725"/>
      <w:r>
        <w:rPr>
          <w:rFonts w:eastAsiaTheme="minorEastAsia"/>
          <w:color w:val="000000" w:themeColor="text1"/>
          <w:sz w:val="24"/>
        </w:rPr>
        <w:t>M</w:t>
      </w:r>
      <w:r>
        <w:rPr>
          <w:rFonts w:eastAsiaTheme="minorEastAsia"/>
          <w:color w:val="000000" w:themeColor="text1"/>
          <w:sz w:val="24"/>
          <w:vertAlign w:val="subscript"/>
        </w:rPr>
        <w:t>4</w:t>
      </w:r>
      <w:r>
        <w:rPr>
          <w:rFonts w:eastAsiaTheme="minorEastAsia"/>
          <w:color w:val="000000" w:themeColor="text1"/>
          <w:sz w:val="24"/>
        </w:rPr>
        <w:t>=作业环境管理系数</w:t>
      </w:r>
      <w:bookmarkEnd w:id="1591"/>
      <w:bookmarkEnd w:id="1592"/>
      <w:bookmarkEnd w:id="1593"/>
      <w:bookmarkEnd w:id="1594"/>
    </w:p>
    <w:p>
      <w:pPr>
        <w:adjustRightInd w:val="0"/>
        <w:snapToGrid w:val="0"/>
        <w:spacing w:line="500" w:lineRule="exact"/>
        <w:ind w:firstLine="560"/>
        <w:rPr>
          <w:rFonts w:eastAsiaTheme="minorEastAsia"/>
          <w:bCs/>
          <w:color w:val="000000" w:themeColor="text1"/>
          <w:sz w:val="28"/>
        </w:rPr>
      </w:pPr>
      <w:bookmarkStart w:id="1595" w:name="_Toc25374_WPSOffice_Level2"/>
      <w:bookmarkStart w:id="1596" w:name="_Toc11918_WPSOffice_Level2"/>
      <w:bookmarkStart w:id="1597" w:name="_Toc14712_WPSOffice_Level2"/>
      <w:bookmarkStart w:id="1598" w:name="_Toc27463"/>
      <w:r>
        <w:rPr>
          <w:rFonts w:hint="eastAsia"/>
          <w:snapToGrid w:val="0"/>
          <w:color w:val="000000" w:themeColor="text1"/>
          <w:kern w:val="0"/>
          <w:sz w:val="28"/>
          <w:szCs w:val="24"/>
        </w:rPr>
        <w:t>（1）</w:t>
      </w:r>
      <w:r>
        <w:rPr>
          <w:rFonts w:eastAsiaTheme="minorEastAsia"/>
          <w:bCs/>
          <w:color w:val="000000" w:themeColor="text1"/>
          <w:sz w:val="28"/>
        </w:rPr>
        <w:t>作业人员管理系数M</w:t>
      </w:r>
      <w:r>
        <w:rPr>
          <w:rFonts w:eastAsiaTheme="minorEastAsia"/>
          <w:bCs/>
          <w:color w:val="000000" w:themeColor="text1"/>
          <w:sz w:val="28"/>
          <w:vertAlign w:val="subscript"/>
        </w:rPr>
        <w:t>1</w:t>
      </w:r>
      <w:bookmarkEnd w:id="1595"/>
      <w:bookmarkEnd w:id="1596"/>
      <w:bookmarkEnd w:id="1597"/>
      <w:bookmarkEnd w:id="1598"/>
    </w:p>
    <w:p>
      <w:pPr>
        <w:adjustRightInd w:val="0"/>
        <w:snapToGrid w:val="0"/>
        <w:spacing w:line="500" w:lineRule="exact"/>
        <w:ind w:firstLine="560"/>
        <w:rPr>
          <w:rFonts w:eastAsiaTheme="minorEastAsia"/>
          <w:color w:val="000000" w:themeColor="text1"/>
          <w:sz w:val="28"/>
        </w:rPr>
      </w:pPr>
      <w:r>
        <w:rPr>
          <w:rFonts w:eastAsiaTheme="minorEastAsia"/>
          <w:color w:val="000000" w:themeColor="text1"/>
          <w:sz w:val="28"/>
        </w:rPr>
        <w:t>作业人员管理系数M</w:t>
      </w:r>
      <w:r>
        <w:rPr>
          <w:rFonts w:eastAsiaTheme="minorEastAsia"/>
          <w:color w:val="000000" w:themeColor="text1"/>
          <w:sz w:val="28"/>
          <w:vertAlign w:val="subscript"/>
        </w:rPr>
        <w:t>1</w:t>
      </w:r>
      <w:r>
        <w:rPr>
          <w:rFonts w:eastAsiaTheme="minorEastAsia"/>
          <w:color w:val="000000" w:themeColor="text1"/>
          <w:sz w:val="28"/>
        </w:rPr>
        <w:t>按下表要求取得。</w:t>
      </w:r>
    </w:p>
    <w:p>
      <w:pPr>
        <w:rPr>
          <w:rFonts w:eastAsiaTheme="minorEastAsia"/>
          <w:bCs/>
          <w:color w:val="000000" w:themeColor="text1"/>
          <w:sz w:val="24"/>
        </w:rPr>
      </w:pPr>
      <w:r>
        <w:rPr>
          <w:rFonts w:eastAsiaTheme="minorEastAsia"/>
          <w:bCs/>
          <w:color w:val="000000" w:themeColor="text1"/>
          <w:sz w:val="24"/>
        </w:rPr>
        <w:br w:type="page"/>
      </w:r>
    </w:p>
    <w:p>
      <w:pPr>
        <w:adjustRightInd w:val="0"/>
        <w:snapToGrid w:val="0"/>
        <w:spacing w:line="500" w:lineRule="atLeast"/>
        <w:ind w:firstLine="480"/>
        <w:jc w:val="center"/>
        <w:rPr>
          <w:rFonts w:eastAsiaTheme="minorEastAsia"/>
          <w:bCs/>
          <w:color w:val="000000" w:themeColor="text1"/>
          <w:sz w:val="24"/>
        </w:rPr>
      </w:pPr>
      <w:r>
        <w:rPr>
          <w:rFonts w:eastAsiaTheme="minorEastAsia"/>
          <w:bCs/>
          <w:color w:val="000000" w:themeColor="text1"/>
          <w:sz w:val="24"/>
        </w:rPr>
        <w:t>表4-5 作业人员管理系数M</w:t>
      </w:r>
      <w:r>
        <w:rPr>
          <w:rFonts w:eastAsiaTheme="minorEastAsia"/>
          <w:bCs/>
          <w:color w:val="000000" w:themeColor="text1"/>
          <w:sz w:val="24"/>
          <w:vertAlign w:val="subscript"/>
        </w:rPr>
        <w:t>1</w:t>
      </w:r>
      <w:r>
        <w:rPr>
          <w:rFonts w:eastAsiaTheme="minorEastAsia"/>
          <w:bCs/>
          <w:color w:val="000000" w:themeColor="text1"/>
          <w:sz w:val="24"/>
        </w:rPr>
        <w:t>取值表</w:t>
      </w:r>
    </w:p>
    <w:tbl>
      <w:tblPr>
        <w:tblStyle w:val="52"/>
        <w:tblW w:w="75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6"/>
        <w:gridCol w:w="5630"/>
        <w:gridCol w:w="12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636" w:type="dxa"/>
            <w:vAlign w:val="center"/>
          </w:tcPr>
          <w:p>
            <w:pPr>
              <w:adjustRightInd w:val="0"/>
              <w:snapToGrid w:val="0"/>
              <w:spacing w:line="240" w:lineRule="exact"/>
              <w:jc w:val="center"/>
              <w:rPr>
                <w:rFonts w:eastAsiaTheme="minorEastAsia"/>
                <w:snapToGrid w:val="0"/>
                <w:color w:val="000000" w:themeColor="text1"/>
                <w:kern w:val="0"/>
                <w:szCs w:val="21"/>
              </w:rPr>
            </w:pPr>
            <w:r>
              <w:rPr>
                <w:rFonts w:eastAsiaTheme="minorEastAsia"/>
                <w:snapToGrid w:val="0"/>
                <w:color w:val="000000" w:themeColor="text1"/>
                <w:kern w:val="0"/>
                <w:szCs w:val="21"/>
              </w:rPr>
              <w:t>序号</w:t>
            </w:r>
          </w:p>
        </w:tc>
        <w:tc>
          <w:tcPr>
            <w:tcW w:w="5630" w:type="dxa"/>
            <w:vAlign w:val="center"/>
          </w:tcPr>
          <w:p>
            <w:pPr>
              <w:adjustRightInd w:val="0"/>
              <w:snapToGrid w:val="0"/>
              <w:spacing w:line="240" w:lineRule="exact"/>
              <w:jc w:val="center"/>
              <w:rPr>
                <w:rFonts w:eastAsiaTheme="minorEastAsia"/>
                <w:snapToGrid w:val="0"/>
                <w:color w:val="000000" w:themeColor="text1"/>
                <w:kern w:val="0"/>
                <w:szCs w:val="21"/>
              </w:rPr>
            </w:pPr>
            <w:r>
              <w:rPr>
                <w:rFonts w:eastAsiaTheme="minorEastAsia"/>
                <w:snapToGrid w:val="0"/>
                <w:color w:val="000000" w:themeColor="text1"/>
                <w:kern w:val="0"/>
                <w:szCs w:val="21"/>
              </w:rPr>
              <w:t>作业人员管理内容</w:t>
            </w:r>
          </w:p>
        </w:tc>
        <w:tc>
          <w:tcPr>
            <w:tcW w:w="1290" w:type="dxa"/>
            <w:vAlign w:val="center"/>
          </w:tcPr>
          <w:p>
            <w:pPr>
              <w:adjustRightInd w:val="0"/>
              <w:snapToGrid w:val="0"/>
              <w:spacing w:line="240" w:lineRule="exact"/>
              <w:jc w:val="center"/>
              <w:rPr>
                <w:rFonts w:eastAsiaTheme="minorEastAsia"/>
                <w:snapToGrid w:val="0"/>
                <w:color w:val="000000" w:themeColor="text1"/>
                <w:kern w:val="0"/>
                <w:szCs w:val="21"/>
              </w:rPr>
            </w:pPr>
            <w:r>
              <w:rPr>
                <w:rFonts w:eastAsiaTheme="minorEastAsia"/>
                <w:snapToGrid w:val="0"/>
                <w:color w:val="000000" w:themeColor="text1"/>
                <w:kern w:val="0"/>
                <w:szCs w:val="21"/>
              </w:rPr>
              <w:t>取值范围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636" w:type="dxa"/>
            <w:vAlign w:val="center"/>
          </w:tcPr>
          <w:p>
            <w:pPr>
              <w:adjustRightInd w:val="0"/>
              <w:snapToGrid w:val="0"/>
              <w:spacing w:line="240" w:lineRule="exact"/>
              <w:jc w:val="center"/>
              <w:rPr>
                <w:rFonts w:eastAsiaTheme="minorEastAsia"/>
                <w:snapToGrid w:val="0"/>
                <w:color w:val="000000" w:themeColor="text1"/>
                <w:kern w:val="0"/>
                <w:szCs w:val="21"/>
              </w:rPr>
            </w:pPr>
            <w:r>
              <w:rPr>
                <w:rFonts w:eastAsiaTheme="minorEastAsia"/>
                <w:snapToGrid w:val="0"/>
                <w:color w:val="000000" w:themeColor="text1"/>
                <w:kern w:val="0"/>
                <w:szCs w:val="21"/>
              </w:rPr>
              <w:t>1</w:t>
            </w:r>
          </w:p>
        </w:tc>
        <w:tc>
          <w:tcPr>
            <w:tcW w:w="5630" w:type="dxa"/>
            <w:vAlign w:val="center"/>
          </w:tcPr>
          <w:p>
            <w:pPr>
              <w:adjustRightInd w:val="0"/>
              <w:snapToGrid w:val="0"/>
              <w:spacing w:line="240" w:lineRule="exact"/>
              <w:jc w:val="center"/>
              <w:rPr>
                <w:rFonts w:eastAsiaTheme="minorEastAsia"/>
                <w:snapToGrid w:val="0"/>
                <w:color w:val="000000" w:themeColor="text1"/>
                <w:kern w:val="0"/>
                <w:szCs w:val="21"/>
              </w:rPr>
            </w:pPr>
            <w:r>
              <w:rPr>
                <w:rFonts w:eastAsiaTheme="minorEastAsia"/>
                <w:snapToGrid w:val="0"/>
                <w:color w:val="000000" w:themeColor="text1"/>
                <w:kern w:val="0"/>
                <w:szCs w:val="21"/>
              </w:rPr>
              <w:t>厂长任职安全目标</w:t>
            </w:r>
          </w:p>
        </w:tc>
        <w:tc>
          <w:tcPr>
            <w:tcW w:w="1290" w:type="dxa"/>
            <w:vAlign w:val="center"/>
          </w:tcPr>
          <w:p>
            <w:pPr>
              <w:adjustRightInd w:val="0"/>
              <w:snapToGrid w:val="0"/>
              <w:spacing w:line="240" w:lineRule="exact"/>
              <w:jc w:val="center"/>
              <w:rPr>
                <w:rFonts w:eastAsiaTheme="minorEastAsia"/>
                <w:snapToGrid w:val="0"/>
                <w:color w:val="000000" w:themeColor="text1"/>
                <w:kern w:val="0"/>
                <w:szCs w:val="21"/>
              </w:rPr>
            </w:pPr>
            <w:r>
              <w:rPr>
                <w:rFonts w:eastAsiaTheme="minorEastAsia"/>
                <w:snapToGrid w:val="0"/>
                <w:color w:val="000000" w:themeColor="text1"/>
                <w:kern w:val="0"/>
                <w:szCs w:val="21"/>
              </w:rPr>
              <w:t>0.93～1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636" w:type="dxa"/>
            <w:vAlign w:val="center"/>
          </w:tcPr>
          <w:p>
            <w:pPr>
              <w:adjustRightInd w:val="0"/>
              <w:snapToGrid w:val="0"/>
              <w:spacing w:line="240" w:lineRule="exact"/>
              <w:jc w:val="center"/>
              <w:rPr>
                <w:rFonts w:eastAsiaTheme="minorEastAsia"/>
                <w:snapToGrid w:val="0"/>
                <w:color w:val="000000" w:themeColor="text1"/>
                <w:kern w:val="0"/>
                <w:szCs w:val="21"/>
              </w:rPr>
            </w:pPr>
            <w:r>
              <w:rPr>
                <w:rFonts w:eastAsiaTheme="minorEastAsia"/>
                <w:snapToGrid w:val="0"/>
                <w:color w:val="000000" w:themeColor="text1"/>
                <w:kern w:val="0"/>
                <w:szCs w:val="21"/>
              </w:rPr>
              <w:t>2</w:t>
            </w:r>
          </w:p>
        </w:tc>
        <w:tc>
          <w:tcPr>
            <w:tcW w:w="5630" w:type="dxa"/>
            <w:vAlign w:val="center"/>
          </w:tcPr>
          <w:p>
            <w:pPr>
              <w:adjustRightInd w:val="0"/>
              <w:snapToGrid w:val="0"/>
              <w:spacing w:line="240" w:lineRule="exact"/>
              <w:jc w:val="center"/>
              <w:rPr>
                <w:rFonts w:eastAsiaTheme="minorEastAsia"/>
                <w:snapToGrid w:val="0"/>
                <w:color w:val="000000" w:themeColor="text1"/>
                <w:kern w:val="0"/>
                <w:szCs w:val="21"/>
              </w:rPr>
            </w:pPr>
            <w:r>
              <w:rPr>
                <w:rFonts w:eastAsiaTheme="minorEastAsia"/>
                <w:snapToGrid w:val="0"/>
                <w:color w:val="000000" w:themeColor="text1"/>
                <w:kern w:val="0"/>
                <w:szCs w:val="21"/>
              </w:rPr>
              <w:t>安全制度</w:t>
            </w:r>
          </w:p>
        </w:tc>
        <w:tc>
          <w:tcPr>
            <w:tcW w:w="1290" w:type="dxa"/>
            <w:vAlign w:val="center"/>
          </w:tcPr>
          <w:p>
            <w:pPr>
              <w:adjustRightInd w:val="0"/>
              <w:snapToGrid w:val="0"/>
              <w:spacing w:line="240" w:lineRule="exact"/>
              <w:jc w:val="center"/>
              <w:rPr>
                <w:rFonts w:eastAsiaTheme="minorEastAsia"/>
                <w:snapToGrid w:val="0"/>
                <w:color w:val="000000" w:themeColor="text1"/>
                <w:kern w:val="0"/>
                <w:szCs w:val="21"/>
              </w:rPr>
            </w:pPr>
            <w:r>
              <w:rPr>
                <w:rFonts w:eastAsiaTheme="minorEastAsia"/>
                <w:snapToGrid w:val="0"/>
                <w:color w:val="000000" w:themeColor="text1"/>
                <w:kern w:val="0"/>
                <w:szCs w:val="21"/>
              </w:rPr>
              <w:t>0.95～1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36" w:type="dxa"/>
            <w:vAlign w:val="center"/>
          </w:tcPr>
          <w:p>
            <w:pPr>
              <w:adjustRightInd w:val="0"/>
              <w:snapToGrid w:val="0"/>
              <w:spacing w:line="240" w:lineRule="exact"/>
              <w:jc w:val="center"/>
              <w:rPr>
                <w:rFonts w:eastAsiaTheme="minorEastAsia"/>
                <w:snapToGrid w:val="0"/>
                <w:color w:val="000000" w:themeColor="text1"/>
                <w:kern w:val="0"/>
                <w:szCs w:val="21"/>
              </w:rPr>
            </w:pPr>
            <w:r>
              <w:rPr>
                <w:rFonts w:eastAsiaTheme="minorEastAsia"/>
                <w:snapToGrid w:val="0"/>
                <w:color w:val="000000" w:themeColor="text1"/>
                <w:kern w:val="0"/>
                <w:szCs w:val="21"/>
              </w:rPr>
              <w:t>3</w:t>
            </w:r>
          </w:p>
        </w:tc>
        <w:tc>
          <w:tcPr>
            <w:tcW w:w="5630" w:type="dxa"/>
            <w:vAlign w:val="center"/>
          </w:tcPr>
          <w:p>
            <w:pPr>
              <w:adjustRightInd w:val="0"/>
              <w:snapToGrid w:val="0"/>
              <w:spacing w:line="240" w:lineRule="exact"/>
              <w:jc w:val="center"/>
              <w:rPr>
                <w:rFonts w:eastAsiaTheme="minorEastAsia"/>
                <w:snapToGrid w:val="0"/>
                <w:color w:val="000000" w:themeColor="text1"/>
                <w:kern w:val="0"/>
                <w:szCs w:val="21"/>
              </w:rPr>
            </w:pPr>
            <w:r>
              <w:rPr>
                <w:rFonts w:eastAsiaTheme="minorEastAsia"/>
                <w:snapToGrid w:val="0"/>
                <w:color w:val="000000" w:themeColor="text1"/>
                <w:kern w:val="0"/>
                <w:szCs w:val="21"/>
              </w:rPr>
              <w:t>有毒、有害工种作业人员健康档案</w:t>
            </w:r>
          </w:p>
        </w:tc>
        <w:tc>
          <w:tcPr>
            <w:tcW w:w="1290" w:type="dxa"/>
            <w:vAlign w:val="center"/>
          </w:tcPr>
          <w:p>
            <w:pPr>
              <w:adjustRightInd w:val="0"/>
              <w:snapToGrid w:val="0"/>
              <w:spacing w:line="240" w:lineRule="exact"/>
              <w:jc w:val="center"/>
              <w:rPr>
                <w:rFonts w:eastAsiaTheme="minorEastAsia"/>
                <w:snapToGrid w:val="0"/>
                <w:color w:val="000000" w:themeColor="text1"/>
                <w:kern w:val="0"/>
                <w:szCs w:val="21"/>
              </w:rPr>
            </w:pPr>
            <w:r>
              <w:rPr>
                <w:rFonts w:eastAsiaTheme="minorEastAsia"/>
                <w:snapToGrid w:val="0"/>
                <w:color w:val="000000" w:themeColor="text1"/>
                <w:kern w:val="0"/>
                <w:szCs w:val="21"/>
              </w:rPr>
              <w:t>0.95～1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36" w:type="dxa"/>
            <w:vAlign w:val="center"/>
          </w:tcPr>
          <w:p>
            <w:pPr>
              <w:adjustRightInd w:val="0"/>
              <w:snapToGrid w:val="0"/>
              <w:spacing w:line="240" w:lineRule="exact"/>
              <w:jc w:val="center"/>
              <w:rPr>
                <w:rFonts w:eastAsiaTheme="minorEastAsia"/>
                <w:snapToGrid w:val="0"/>
                <w:color w:val="000000" w:themeColor="text1"/>
                <w:kern w:val="0"/>
                <w:szCs w:val="21"/>
              </w:rPr>
            </w:pPr>
            <w:r>
              <w:rPr>
                <w:rFonts w:eastAsiaTheme="minorEastAsia"/>
                <w:snapToGrid w:val="0"/>
                <w:color w:val="000000" w:themeColor="text1"/>
                <w:kern w:val="0"/>
                <w:szCs w:val="21"/>
              </w:rPr>
              <w:t>4</w:t>
            </w:r>
          </w:p>
        </w:tc>
        <w:tc>
          <w:tcPr>
            <w:tcW w:w="5630" w:type="dxa"/>
            <w:vAlign w:val="center"/>
          </w:tcPr>
          <w:p>
            <w:pPr>
              <w:adjustRightInd w:val="0"/>
              <w:snapToGrid w:val="0"/>
              <w:spacing w:line="240" w:lineRule="exact"/>
              <w:jc w:val="center"/>
              <w:rPr>
                <w:rFonts w:eastAsiaTheme="minorEastAsia"/>
                <w:snapToGrid w:val="0"/>
                <w:color w:val="000000" w:themeColor="text1"/>
                <w:kern w:val="0"/>
                <w:szCs w:val="21"/>
              </w:rPr>
            </w:pPr>
            <w:r>
              <w:rPr>
                <w:rFonts w:eastAsiaTheme="minorEastAsia"/>
                <w:snapToGrid w:val="0"/>
                <w:color w:val="000000" w:themeColor="text1"/>
                <w:kern w:val="0"/>
                <w:szCs w:val="21"/>
              </w:rPr>
              <w:t>安全教育</w:t>
            </w:r>
          </w:p>
        </w:tc>
        <w:tc>
          <w:tcPr>
            <w:tcW w:w="1290" w:type="dxa"/>
            <w:vAlign w:val="center"/>
          </w:tcPr>
          <w:p>
            <w:pPr>
              <w:adjustRightInd w:val="0"/>
              <w:snapToGrid w:val="0"/>
              <w:spacing w:line="240" w:lineRule="exact"/>
              <w:jc w:val="center"/>
              <w:rPr>
                <w:rFonts w:eastAsiaTheme="minorEastAsia"/>
                <w:snapToGrid w:val="0"/>
                <w:color w:val="000000" w:themeColor="text1"/>
                <w:kern w:val="0"/>
                <w:szCs w:val="21"/>
              </w:rPr>
            </w:pPr>
            <w:r>
              <w:rPr>
                <w:rFonts w:eastAsiaTheme="minorEastAsia"/>
                <w:snapToGrid w:val="0"/>
                <w:color w:val="000000" w:themeColor="text1"/>
                <w:kern w:val="0"/>
                <w:szCs w:val="21"/>
              </w:rPr>
              <w:t>0.95～1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636" w:type="dxa"/>
            <w:vAlign w:val="center"/>
          </w:tcPr>
          <w:p>
            <w:pPr>
              <w:adjustRightInd w:val="0"/>
              <w:snapToGrid w:val="0"/>
              <w:spacing w:line="240" w:lineRule="exact"/>
              <w:jc w:val="center"/>
              <w:rPr>
                <w:rFonts w:eastAsiaTheme="minorEastAsia"/>
                <w:snapToGrid w:val="0"/>
                <w:color w:val="000000" w:themeColor="text1"/>
                <w:kern w:val="0"/>
                <w:szCs w:val="21"/>
              </w:rPr>
            </w:pPr>
            <w:r>
              <w:rPr>
                <w:rFonts w:eastAsiaTheme="minorEastAsia"/>
                <w:snapToGrid w:val="0"/>
                <w:color w:val="000000" w:themeColor="text1"/>
                <w:kern w:val="0"/>
                <w:szCs w:val="21"/>
              </w:rPr>
              <w:t>5</w:t>
            </w:r>
          </w:p>
        </w:tc>
        <w:tc>
          <w:tcPr>
            <w:tcW w:w="5630" w:type="dxa"/>
            <w:vAlign w:val="center"/>
          </w:tcPr>
          <w:p>
            <w:pPr>
              <w:adjustRightInd w:val="0"/>
              <w:snapToGrid w:val="0"/>
              <w:spacing w:line="240" w:lineRule="exact"/>
              <w:jc w:val="center"/>
              <w:rPr>
                <w:rFonts w:eastAsiaTheme="minorEastAsia"/>
                <w:snapToGrid w:val="0"/>
                <w:color w:val="000000" w:themeColor="text1"/>
                <w:kern w:val="0"/>
                <w:szCs w:val="21"/>
              </w:rPr>
            </w:pPr>
            <w:r>
              <w:rPr>
                <w:rFonts w:eastAsiaTheme="minorEastAsia"/>
                <w:snapToGrid w:val="0"/>
                <w:color w:val="000000" w:themeColor="text1"/>
                <w:kern w:val="0"/>
                <w:szCs w:val="21"/>
              </w:rPr>
              <w:t>劳保用品穿戴是否合格</w:t>
            </w:r>
          </w:p>
        </w:tc>
        <w:tc>
          <w:tcPr>
            <w:tcW w:w="1290" w:type="dxa"/>
            <w:vAlign w:val="center"/>
          </w:tcPr>
          <w:p>
            <w:pPr>
              <w:adjustRightInd w:val="0"/>
              <w:snapToGrid w:val="0"/>
              <w:spacing w:line="240" w:lineRule="exact"/>
              <w:jc w:val="center"/>
              <w:rPr>
                <w:rFonts w:eastAsiaTheme="minorEastAsia"/>
                <w:snapToGrid w:val="0"/>
                <w:color w:val="000000" w:themeColor="text1"/>
                <w:kern w:val="0"/>
                <w:szCs w:val="21"/>
              </w:rPr>
            </w:pPr>
            <w:r>
              <w:rPr>
                <w:rFonts w:eastAsiaTheme="minorEastAsia"/>
                <w:snapToGrid w:val="0"/>
                <w:color w:val="000000" w:themeColor="text1"/>
                <w:kern w:val="0"/>
                <w:szCs w:val="21"/>
              </w:rPr>
              <w:t>0.95～1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636" w:type="dxa"/>
            <w:vAlign w:val="center"/>
          </w:tcPr>
          <w:p>
            <w:pPr>
              <w:adjustRightInd w:val="0"/>
              <w:snapToGrid w:val="0"/>
              <w:spacing w:line="240" w:lineRule="exact"/>
              <w:jc w:val="center"/>
              <w:rPr>
                <w:rFonts w:eastAsiaTheme="minorEastAsia"/>
                <w:snapToGrid w:val="0"/>
                <w:color w:val="000000" w:themeColor="text1"/>
                <w:kern w:val="0"/>
                <w:szCs w:val="21"/>
              </w:rPr>
            </w:pPr>
            <w:r>
              <w:rPr>
                <w:rFonts w:eastAsiaTheme="minorEastAsia"/>
                <w:snapToGrid w:val="0"/>
                <w:color w:val="000000" w:themeColor="text1"/>
                <w:kern w:val="0"/>
                <w:szCs w:val="21"/>
              </w:rPr>
              <w:t>6</w:t>
            </w:r>
          </w:p>
        </w:tc>
        <w:tc>
          <w:tcPr>
            <w:tcW w:w="5630" w:type="dxa"/>
            <w:vAlign w:val="center"/>
          </w:tcPr>
          <w:p>
            <w:pPr>
              <w:adjustRightInd w:val="0"/>
              <w:snapToGrid w:val="0"/>
              <w:spacing w:line="240" w:lineRule="exact"/>
              <w:jc w:val="center"/>
              <w:rPr>
                <w:rFonts w:eastAsiaTheme="minorEastAsia"/>
                <w:snapToGrid w:val="0"/>
                <w:color w:val="000000" w:themeColor="text1"/>
                <w:kern w:val="0"/>
                <w:szCs w:val="21"/>
              </w:rPr>
            </w:pPr>
            <w:r>
              <w:rPr>
                <w:rFonts w:eastAsiaTheme="minorEastAsia"/>
                <w:snapToGrid w:val="0"/>
                <w:color w:val="000000" w:themeColor="text1"/>
                <w:kern w:val="0"/>
                <w:szCs w:val="21"/>
              </w:rPr>
              <w:t>各工人员持证上岗情况</w:t>
            </w:r>
          </w:p>
        </w:tc>
        <w:tc>
          <w:tcPr>
            <w:tcW w:w="1290" w:type="dxa"/>
            <w:vAlign w:val="center"/>
          </w:tcPr>
          <w:p>
            <w:pPr>
              <w:adjustRightInd w:val="0"/>
              <w:snapToGrid w:val="0"/>
              <w:spacing w:line="240" w:lineRule="exact"/>
              <w:jc w:val="center"/>
              <w:rPr>
                <w:rFonts w:eastAsiaTheme="minorEastAsia"/>
                <w:snapToGrid w:val="0"/>
                <w:color w:val="000000" w:themeColor="text1"/>
                <w:kern w:val="0"/>
                <w:szCs w:val="21"/>
              </w:rPr>
            </w:pPr>
            <w:r>
              <w:rPr>
                <w:rFonts w:eastAsiaTheme="minorEastAsia"/>
                <w:snapToGrid w:val="0"/>
                <w:color w:val="000000" w:themeColor="text1"/>
                <w:kern w:val="0"/>
                <w:szCs w:val="21"/>
              </w:rPr>
              <w:t>0.93～1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636" w:type="dxa"/>
            <w:vAlign w:val="center"/>
          </w:tcPr>
          <w:p>
            <w:pPr>
              <w:adjustRightInd w:val="0"/>
              <w:snapToGrid w:val="0"/>
              <w:spacing w:line="240" w:lineRule="exact"/>
              <w:jc w:val="center"/>
              <w:rPr>
                <w:rFonts w:eastAsiaTheme="minorEastAsia"/>
                <w:snapToGrid w:val="0"/>
                <w:color w:val="000000" w:themeColor="text1"/>
                <w:kern w:val="0"/>
                <w:szCs w:val="21"/>
              </w:rPr>
            </w:pPr>
            <w:r>
              <w:rPr>
                <w:rFonts w:eastAsiaTheme="minorEastAsia"/>
                <w:snapToGrid w:val="0"/>
                <w:color w:val="000000" w:themeColor="text1"/>
                <w:kern w:val="0"/>
                <w:szCs w:val="21"/>
              </w:rPr>
              <w:t>7</w:t>
            </w:r>
          </w:p>
        </w:tc>
        <w:tc>
          <w:tcPr>
            <w:tcW w:w="5630" w:type="dxa"/>
            <w:vAlign w:val="center"/>
          </w:tcPr>
          <w:p>
            <w:pPr>
              <w:adjustRightInd w:val="0"/>
              <w:snapToGrid w:val="0"/>
              <w:spacing w:line="240" w:lineRule="exact"/>
              <w:jc w:val="center"/>
              <w:rPr>
                <w:rFonts w:eastAsiaTheme="minorEastAsia"/>
                <w:snapToGrid w:val="0"/>
                <w:color w:val="000000" w:themeColor="text1"/>
                <w:kern w:val="0"/>
                <w:szCs w:val="21"/>
              </w:rPr>
            </w:pPr>
            <w:r>
              <w:rPr>
                <w:rFonts w:eastAsiaTheme="minorEastAsia"/>
                <w:snapToGrid w:val="0"/>
                <w:color w:val="000000" w:themeColor="text1"/>
                <w:kern w:val="0"/>
                <w:szCs w:val="21"/>
              </w:rPr>
              <w:t>有无违章操作</w:t>
            </w:r>
          </w:p>
        </w:tc>
        <w:tc>
          <w:tcPr>
            <w:tcW w:w="1290" w:type="dxa"/>
            <w:vAlign w:val="center"/>
          </w:tcPr>
          <w:p>
            <w:pPr>
              <w:adjustRightInd w:val="0"/>
              <w:snapToGrid w:val="0"/>
              <w:spacing w:line="240" w:lineRule="exact"/>
              <w:jc w:val="center"/>
              <w:rPr>
                <w:rFonts w:eastAsiaTheme="minorEastAsia"/>
                <w:snapToGrid w:val="0"/>
                <w:color w:val="000000" w:themeColor="text1"/>
                <w:kern w:val="0"/>
                <w:szCs w:val="21"/>
              </w:rPr>
            </w:pPr>
            <w:r>
              <w:rPr>
                <w:rFonts w:eastAsiaTheme="minorEastAsia"/>
                <w:snapToGrid w:val="0"/>
                <w:color w:val="000000" w:themeColor="text1"/>
                <w:kern w:val="0"/>
                <w:szCs w:val="21"/>
              </w:rPr>
              <w:t>0.95～1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636" w:type="dxa"/>
            <w:vAlign w:val="center"/>
          </w:tcPr>
          <w:p>
            <w:pPr>
              <w:adjustRightInd w:val="0"/>
              <w:snapToGrid w:val="0"/>
              <w:spacing w:line="240" w:lineRule="exact"/>
              <w:jc w:val="center"/>
              <w:rPr>
                <w:rFonts w:eastAsiaTheme="minorEastAsia"/>
                <w:snapToGrid w:val="0"/>
                <w:color w:val="000000" w:themeColor="text1"/>
                <w:kern w:val="0"/>
                <w:szCs w:val="21"/>
              </w:rPr>
            </w:pPr>
            <w:r>
              <w:rPr>
                <w:rFonts w:eastAsiaTheme="minorEastAsia"/>
                <w:snapToGrid w:val="0"/>
                <w:color w:val="000000" w:themeColor="text1"/>
                <w:kern w:val="0"/>
                <w:szCs w:val="21"/>
              </w:rPr>
              <w:t>8</w:t>
            </w:r>
          </w:p>
        </w:tc>
        <w:tc>
          <w:tcPr>
            <w:tcW w:w="5630" w:type="dxa"/>
            <w:vAlign w:val="center"/>
          </w:tcPr>
          <w:p>
            <w:pPr>
              <w:adjustRightInd w:val="0"/>
              <w:snapToGrid w:val="0"/>
              <w:spacing w:line="240" w:lineRule="exact"/>
              <w:jc w:val="center"/>
              <w:rPr>
                <w:rFonts w:eastAsiaTheme="minorEastAsia"/>
                <w:snapToGrid w:val="0"/>
                <w:color w:val="000000" w:themeColor="text1"/>
                <w:kern w:val="0"/>
                <w:szCs w:val="21"/>
              </w:rPr>
            </w:pPr>
            <w:r>
              <w:rPr>
                <w:rFonts w:eastAsiaTheme="minorEastAsia"/>
                <w:snapToGrid w:val="0"/>
                <w:color w:val="000000" w:themeColor="text1"/>
                <w:kern w:val="0"/>
                <w:szCs w:val="21"/>
              </w:rPr>
              <w:t>事故应急救援预案的组织机构是否完善</w:t>
            </w:r>
          </w:p>
        </w:tc>
        <w:tc>
          <w:tcPr>
            <w:tcW w:w="1290" w:type="dxa"/>
            <w:vAlign w:val="center"/>
          </w:tcPr>
          <w:p>
            <w:pPr>
              <w:adjustRightInd w:val="0"/>
              <w:snapToGrid w:val="0"/>
              <w:spacing w:line="240" w:lineRule="exact"/>
              <w:jc w:val="center"/>
              <w:rPr>
                <w:rFonts w:eastAsiaTheme="minorEastAsia"/>
                <w:snapToGrid w:val="0"/>
                <w:color w:val="000000" w:themeColor="text1"/>
                <w:kern w:val="0"/>
                <w:szCs w:val="21"/>
              </w:rPr>
            </w:pPr>
            <w:r>
              <w:rPr>
                <w:rFonts w:eastAsiaTheme="minorEastAsia"/>
                <w:snapToGrid w:val="0"/>
                <w:color w:val="000000" w:themeColor="text1"/>
                <w:kern w:val="0"/>
                <w:szCs w:val="21"/>
              </w:rPr>
              <w:t>0.97～1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636" w:type="dxa"/>
            <w:vAlign w:val="center"/>
          </w:tcPr>
          <w:p>
            <w:pPr>
              <w:adjustRightInd w:val="0"/>
              <w:snapToGrid w:val="0"/>
              <w:spacing w:line="240" w:lineRule="exact"/>
              <w:jc w:val="center"/>
              <w:rPr>
                <w:rFonts w:eastAsiaTheme="minorEastAsia"/>
                <w:snapToGrid w:val="0"/>
                <w:color w:val="000000" w:themeColor="text1"/>
                <w:kern w:val="0"/>
                <w:szCs w:val="21"/>
              </w:rPr>
            </w:pPr>
            <w:r>
              <w:rPr>
                <w:rFonts w:eastAsiaTheme="minorEastAsia"/>
                <w:snapToGrid w:val="0"/>
                <w:color w:val="000000" w:themeColor="text1"/>
                <w:kern w:val="0"/>
                <w:szCs w:val="21"/>
              </w:rPr>
              <w:t>9</w:t>
            </w:r>
          </w:p>
        </w:tc>
        <w:tc>
          <w:tcPr>
            <w:tcW w:w="5630" w:type="dxa"/>
            <w:vAlign w:val="center"/>
          </w:tcPr>
          <w:p>
            <w:pPr>
              <w:adjustRightInd w:val="0"/>
              <w:snapToGrid w:val="0"/>
              <w:spacing w:line="240" w:lineRule="exact"/>
              <w:jc w:val="center"/>
              <w:rPr>
                <w:rFonts w:eastAsiaTheme="minorEastAsia"/>
                <w:snapToGrid w:val="0"/>
                <w:color w:val="000000" w:themeColor="text1"/>
                <w:kern w:val="0"/>
                <w:szCs w:val="21"/>
              </w:rPr>
            </w:pPr>
            <w:r>
              <w:rPr>
                <w:rFonts w:eastAsiaTheme="minorEastAsia"/>
                <w:snapToGrid w:val="0"/>
                <w:color w:val="000000" w:themeColor="text1"/>
                <w:kern w:val="0"/>
                <w:szCs w:val="21"/>
              </w:rPr>
              <w:t>事故应急救援的各级救援人员行动指南是否明确</w:t>
            </w:r>
          </w:p>
        </w:tc>
        <w:tc>
          <w:tcPr>
            <w:tcW w:w="1290" w:type="dxa"/>
            <w:vAlign w:val="center"/>
          </w:tcPr>
          <w:p>
            <w:pPr>
              <w:adjustRightInd w:val="0"/>
              <w:snapToGrid w:val="0"/>
              <w:spacing w:line="240" w:lineRule="exact"/>
              <w:jc w:val="center"/>
              <w:rPr>
                <w:rFonts w:eastAsiaTheme="minorEastAsia"/>
                <w:snapToGrid w:val="0"/>
                <w:color w:val="000000" w:themeColor="text1"/>
                <w:kern w:val="0"/>
                <w:szCs w:val="21"/>
              </w:rPr>
            </w:pPr>
            <w:r>
              <w:rPr>
                <w:rFonts w:eastAsiaTheme="minorEastAsia"/>
                <w:snapToGrid w:val="0"/>
                <w:color w:val="000000" w:themeColor="text1"/>
                <w:kern w:val="0"/>
                <w:szCs w:val="21"/>
              </w:rPr>
              <w:t>0.95～1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636" w:type="dxa"/>
            <w:vAlign w:val="center"/>
          </w:tcPr>
          <w:p>
            <w:pPr>
              <w:adjustRightInd w:val="0"/>
              <w:snapToGrid w:val="0"/>
              <w:spacing w:line="240" w:lineRule="exact"/>
              <w:jc w:val="center"/>
              <w:rPr>
                <w:rFonts w:eastAsiaTheme="minorEastAsia"/>
                <w:snapToGrid w:val="0"/>
                <w:color w:val="000000" w:themeColor="text1"/>
                <w:kern w:val="0"/>
                <w:szCs w:val="21"/>
              </w:rPr>
            </w:pPr>
            <w:r>
              <w:rPr>
                <w:rFonts w:eastAsiaTheme="minorEastAsia"/>
                <w:snapToGrid w:val="0"/>
                <w:color w:val="000000" w:themeColor="text1"/>
                <w:kern w:val="0"/>
                <w:szCs w:val="21"/>
              </w:rPr>
              <w:t>10</w:t>
            </w:r>
          </w:p>
        </w:tc>
        <w:tc>
          <w:tcPr>
            <w:tcW w:w="5630" w:type="dxa"/>
            <w:vAlign w:val="center"/>
          </w:tcPr>
          <w:p>
            <w:pPr>
              <w:adjustRightInd w:val="0"/>
              <w:snapToGrid w:val="0"/>
              <w:spacing w:line="240" w:lineRule="exact"/>
              <w:jc w:val="center"/>
              <w:rPr>
                <w:rFonts w:eastAsiaTheme="minorEastAsia"/>
                <w:snapToGrid w:val="0"/>
                <w:color w:val="000000" w:themeColor="text1"/>
                <w:kern w:val="0"/>
                <w:szCs w:val="21"/>
              </w:rPr>
            </w:pPr>
            <w:r>
              <w:rPr>
                <w:rFonts w:eastAsiaTheme="minorEastAsia"/>
                <w:snapToGrid w:val="0"/>
                <w:color w:val="000000" w:themeColor="text1"/>
                <w:kern w:val="0"/>
                <w:szCs w:val="21"/>
              </w:rPr>
              <w:t>安全机构人员</w:t>
            </w:r>
          </w:p>
        </w:tc>
        <w:tc>
          <w:tcPr>
            <w:tcW w:w="1290" w:type="dxa"/>
            <w:vAlign w:val="center"/>
          </w:tcPr>
          <w:p>
            <w:pPr>
              <w:adjustRightInd w:val="0"/>
              <w:snapToGrid w:val="0"/>
              <w:spacing w:line="240" w:lineRule="exact"/>
              <w:jc w:val="center"/>
              <w:rPr>
                <w:rFonts w:eastAsiaTheme="minorEastAsia"/>
                <w:snapToGrid w:val="0"/>
                <w:color w:val="000000" w:themeColor="text1"/>
                <w:kern w:val="0"/>
                <w:szCs w:val="21"/>
              </w:rPr>
            </w:pPr>
            <w:r>
              <w:rPr>
                <w:rFonts w:eastAsiaTheme="minorEastAsia"/>
                <w:snapToGrid w:val="0"/>
                <w:color w:val="000000" w:themeColor="text1"/>
                <w:kern w:val="0"/>
                <w:szCs w:val="21"/>
              </w:rPr>
              <w:t>0.93～1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636" w:type="dxa"/>
            <w:vAlign w:val="center"/>
          </w:tcPr>
          <w:p>
            <w:pPr>
              <w:adjustRightInd w:val="0"/>
              <w:snapToGrid w:val="0"/>
              <w:spacing w:line="240" w:lineRule="exact"/>
              <w:jc w:val="center"/>
              <w:rPr>
                <w:rFonts w:eastAsiaTheme="minorEastAsia"/>
                <w:snapToGrid w:val="0"/>
                <w:color w:val="000000" w:themeColor="text1"/>
                <w:kern w:val="0"/>
                <w:szCs w:val="21"/>
              </w:rPr>
            </w:pPr>
            <w:r>
              <w:rPr>
                <w:rFonts w:eastAsiaTheme="minorEastAsia"/>
                <w:snapToGrid w:val="0"/>
                <w:color w:val="000000" w:themeColor="text1"/>
                <w:kern w:val="0"/>
                <w:szCs w:val="21"/>
              </w:rPr>
              <w:t>11</w:t>
            </w:r>
          </w:p>
        </w:tc>
        <w:tc>
          <w:tcPr>
            <w:tcW w:w="5630" w:type="dxa"/>
            <w:vAlign w:val="center"/>
          </w:tcPr>
          <w:p>
            <w:pPr>
              <w:adjustRightInd w:val="0"/>
              <w:snapToGrid w:val="0"/>
              <w:spacing w:line="240" w:lineRule="exact"/>
              <w:jc w:val="center"/>
              <w:rPr>
                <w:rFonts w:eastAsiaTheme="minorEastAsia"/>
                <w:snapToGrid w:val="0"/>
                <w:color w:val="000000" w:themeColor="text1"/>
                <w:kern w:val="0"/>
                <w:szCs w:val="21"/>
              </w:rPr>
            </w:pPr>
            <w:r>
              <w:rPr>
                <w:rFonts w:eastAsiaTheme="minorEastAsia"/>
                <w:snapToGrid w:val="0"/>
                <w:color w:val="000000" w:themeColor="text1"/>
                <w:kern w:val="0"/>
                <w:szCs w:val="21"/>
              </w:rPr>
              <w:t>从业人员的保险情况是否符合要求</w:t>
            </w:r>
          </w:p>
        </w:tc>
        <w:tc>
          <w:tcPr>
            <w:tcW w:w="1290" w:type="dxa"/>
            <w:vAlign w:val="center"/>
          </w:tcPr>
          <w:p>
            <w:pPr>
              <w:adjustRightInd w:val="0"/>
              <w:snapToGrid w:val="0"/>
              <w:spacing w:line="240" w:lineRule="exact"/>
              <w:jc w:val="center"/>
              <w:rPr>
                <w:rFonts w:eastAsiaTheme="minorEastAsia"/>
                <w:snapToGrid w:val="0"/>
                <w:color w:val="000000" w:themeColor="text1"/>
                <w:kern w:val="0"/>
                <w:szCs w:val="21"/>
              </w:rPr>
            </w:pPr>
            <w:r>
              <w:rPr>
                <w:rFonts w:eastAsiaTheme="minorEastAsia"/>
                <w:snapToGrid w:val="0"/>
                <w:color w:val="000000" w:themeColor="text1"/>
                <w:kern w:val="0"/>
                <w:szCs w:val="21"/>
              </w:rPr>
              <w:t>0.93～1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636" w:type="dxa"/>
            <w:vAlign w:val="center"/>
          </w:tcPr>
          <w:p>
            <w:pPr>
              <w:adjustRightInd w:val="0"/>
              <w:snapToGrid w:val="0"/>
              <w:spacing w:line="240" w:lineRule="exact"/>
              <w:jc w:val="center"/>
              <w:rPr>
                <w:rFonts w:eastAsiaTheme="minorEastAsia"/>
                <w:snapToGrid w:val="0"/>
                <w:color w:val="000000" w:themeColor="text1"/>
                <w:kern w:val="0"/>
                <w:szCs w:val="21"/>
              </w:rPr>
            </w:pPr>
            <w:r>
              <w:rPr>
                <w:rFonts w:eastAsiaTheme="minorEastAsia"/>
                <w:snapToGrid w:val="0"/>
                <w:color w:val="000000" w:themeColor="text1"/>
                <w:kern w:val="0"/>
                <w:szCs w:val="21"/>
              </w:rPr>
              <w:t>12</w:t>
            </w:r>
          </w:p>
        </w:tc>
        <w:tc>
          <w:tcPr>
            <w:tcW w:w="5630" w:type="dxa"/>
            <w:vAlign w:val="center"/>
          </w:tcPr>
          <w:p>
            <w:pPr>
              <w:adjustRightInd w:val="0"/>
              <w:snapToGrid w:val="0"/>
              <w:spacing w:line="240" w:lineRule="exact"/>
              <w:jc w:val="center"/>
              <w:rPr>
                <w:rFonts w:eastAsiaTheme="minorEastAsia"/>
                <w:snapToGrid w:val="0"/>
                <w:color w:val="000000" w:themeColor="text1"/>
                <w:kern w:val="0"/>
                <w:szCs w:val="21"/>
              </w:rPr>
            </w:pPr>
            <w:r>
              <w:rPr>
                <w:rFonts w:eastAsiaTheme="minorEastAsia"/>
                <w:snapToGrid w:val="0"/>
                <w:color w:val="000000" w:themeColor="text1"/>
                <w:kern w:val="0"/>
                <w:szCs w:val="21"/>
              </w:rPr>
              <w:t>工房定员是否符合标准</w:t>
            </w:r>
          </w:p>
        </w:tc>
        <w:tc>
          <w:tcPr>
            <w:tcW w:w="1290" w:type="dxa"/>
            <w:vAlign w:val="center"/>
          </w:tcPr>
          <w:p>
            <w:pPr>
              <w:adjustRightInd w:val="0"/>
              <w:snapToGrid w:val="0"/>
              <w:spacing w:line="240" w:lineRule="exact"/>
              <w:jc w:val="center"/>
              <w:rPr>
                <w:rFonts w:eastAsiaTheme="minorEastAsia"/>
                <w:snapToGrid w:val="0"/>
                <w:color w:val="000000" w:themeColor="text1"/>
                <w:kern w:val="0"/>
                <w:szCs w:val="21"/>
              </w:rPr>
            </w:pPr>
            <w:r>
              <w:rPr>
                <w:rFonts w:eastAsiaTheme="minorEastAsia"/>
                <w:snapToGrid w:val="0"/>
                <w:color w:val="000000" w:themeColor="text1"/>
                <w:kern w:val="0"/>
                <w:szCs w:val="21"/>
              </w:rPr>
              <w:t>0.93～1</w:t>
            </w:r>
          </w:p>
        </w:tc>
      </w:tr>
    </w:tbl>
    <w:p>
      <w:pPr>
        <w:adjustRightInd w:val="0"/>
        <w:snapToGrid w:val="0"/>
        <w:spacing w:line="500" w:lineRule="exact"/>
        <w:ind w:firstLine="560"/>
        <w:rPr>
          <w:rFonts w:eastAsiaTheme="minorEastAsia"/>
          <w:bCs/>
          <w:color w:val="000000" w:themeColor="text1"/>
          <w:sz w:val="28"/>
        </w:rPr>
      </w:pPr>
      <w:bookmarkStart w:id="1599" w:name="_Toc18898"/>
      <w:bookmarkStart w:id="1600" w:name="_Toc22975_WPSOffice_Level2"/>
      <w:bookmarkStart w:id="1601" w:name="_Toc1408_WPSOffice_Level2"/>
      <w:bookmarkStart w:id="1602" w:name="_Toc31475_WPSOffice_Level2"/>
      <w:r>
        <w:rPr>
          <w:rFonts w:hint="eastAsia"/>
          <w:snapToGrid w:val="0"/>
          <w:color w:val="000000" w:themeColor="text1"/>
          <w:kern w:val="0"/>
          <w:sz w:val="28"/>
          <w:szCs w:val="24"/>
        </w:rPr>
        <w:t>（2）</w:t>
      </w:r>
      <w:r>
        <w:rPr>
          <w:rFonts w:eastAsiaTheme="minorEastAsia"/>
          <w:bCs/>
          <w:color w:val="000000" w:themeColor="text1"/>
          <w:sz w:val="28"/>
        </w:rPr>
        <w:t>设备管理系数M</w:t>
      </w:r>
      <w:r>
        <w:rPr>
          <w:rFonts w:eastAsiaTheme="minorEastAsia"/>
          <w:bCs/>
          <w:color w:val="000000" w:themeColor="text1"/>
          <w:sz w:val="28"/>
          <w:vertAlign w:val="subscript"/>
        </w:rPr>
        <w:t>2</w:t>
      </w:r>
      <w:bookmarkEnd w:id="1599"/>
      <w:bookmarkEnd w:id="1600"/>
      <w:bookmarkEnd w:id="1601"/>
      <w:bookmarkEnd w:id="1602"/>
    </w:p>
    <w:p>
      <w:pPr>
        <w:adjustRightInd w:val="0"/>
        <w:snapToGrid w:val="0"/>
        <w:spacing w:line="500" w:lineRule="exact"/>
        <w:ind w:firstLine="560"/>
        <w:rPr>
          <w:rFonts w:eastAsiaTheme="minorEastAsia"/>
          <w:color w:val="000000" w:themeColor="text1"/>
          <w:sz w:val="28"/>
        </w:rPr>
      </w:pPr>
      <w:r>
        <w:rPr>
          <w:rFonts w:eastAsiaTheme="minorEastAsia"/>
          <w:color w:val="000000" w:themeColor="text1"/>
          <w:sz w:val="28"/>
        </w:rPr>
        <w:t>设备管理系数M</w:t>
      </w:r>
      <w:r>
        <w:rPr>
          <w:rFonts w:eastAsiaTheme="minorEastAsia"/>
          <w:color w:val="000000" w:themeColor="text1"/>
          <w:sz w:val="28"/>
          <w:vertAlign w:val="subscript"/>
        </w:rPr>
        <w:t>2</w:t>
      </w:r>
      <w:r>
        <w:rPr>
          <w:rFonts w:eastAsiaTheme="minorEastAsia"/>
          <w:color w:val="000000" w:themeColor="text1"/>
          <w:sz w:val="28"/>
        </w:rPr>
        <w:t>按下表要求取得。</w:t>
      </w:r>
    </w:p>
    <w:p>
      <w:pPr>
        <w:adjustRightInd w:val="0"/>
        <w:snapToGrid w:val="0"/>
        <w:spacing w:line="500" w:lineRule="atLeast"/>
        <w:ind w:firstLine="480"/>
        <w:jc w:val="center"/>
        <w:rPr>
          <w:rFonts w:eastAsiaTheme="minorEastAsia"/>
          <w:bCs/>
          <w:color w:val="000000" w:themeColor="text1"/>
          <w:sz w:val="24"/>
        </w:rPr>
      </w:pPr>
      <w:r>
        <w:rPr>
          <w:rFonts w:eastAsiaTheme="minorEastAsia"/>
          <w:bCs/>
          <w:color w:val="000000" w:themeColor="text1"/>
          <w:sz w:val="24"/>
        </w:rPr>
        <w:t>表4-6 设备管理系数M</w:t>
      </w:r>
      <w:r>
        <w:rPr>
          <w:rFonts w:eastAsiaTheme="minorEastAsia"/>
          <w:bCs/>
          <w:color w:val="000000" w:themeColor="text1"/>
          <w:sz w:val="24"/>
          <w:vertAlign w:val="subscript"/>
        </w:rPr>
        <w:t>2</w:t>
      </w:r>
      <w:r>
        <w:rPr>
          <w:rFonts w:eastAsiaTheme="minorEastAsia"/>
          <w:bCs/>
          <w:color w:val="000000" w:themeColor="text1"/>
          <w:sz w:val="24"/>
        </w:rPr>
        <w:t>取值表</w:t>
      </w:r>
    </w:p>
    <w:tbl>
      <w:tblPr>
        <w:tblStyle w:val="52"/>
        <w:tblW w:w="73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5"/>
        <w:gridCol w:w="4457"/>
        <w:gridCol w:w="20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5" w:hRule="atLeast"/>
          <w:jc w:val="center"/>
        </w:trPr>
        <w:tc>
          <w:tcPr>
            <w:tcW w:w="795" w:type="dxa"/>
            <w:vAlign w:val="center"/>
          </w:tcPr>
          <w:p>
            <w:pPr>
              <w:adjustRightInd w:val="0"/>
              <w:snapToGrid w:val="0"/>
              <w:spacing w:line="260" w:lineRule="exact"/>
              <w:jc w:val="center"/>
              <w:rPr>
                <w:rFonts w:eastAsiaTheme="minorEastAsia"/>
                <w:snapToGrid w:val="0"/>
                <w:color w:val="000000" w:themeColor="text1"/>
                <w:kern w:val="0"/>
                <w:szCs w:val="21"/>
              </w:rPr>
            </w:pPr>
            <w:r>
              <w:rPr>
                <w:rFonts w:eastAsiaTheme="minorEastAsia"/>
                <w:snapToGrid w:val="0"/>
                <w:color w:val="000000" w:themeColor="text1"/>
                <w:kern w:val="0"/>
                <w:szCs w:val="21"/>
              </w:rPr>
              <w:t>序号</w:t>
            </w:r>
          </w:p>
        </w:tc>
        <w:tc>
          <w:tcPr>
            <w:tcW w:w="4457" w:type="dxa"/>
            <w:vAlign w:val="center"/>
          </w:tcPr>
          <w:p>
            <w:pPr>
              <w:adjustRightInd w:val="0"/>
              <w:snapToGrid w:val="0"/>
              <w:spacing w:line="260" w:lineRule="exact"/>
              <w:jc w:val="center"/>
              <w:rPr>
                <w:rFonts w:eastAsiaTheme="minorEastAsia"/>
                <w:snapToGrid w:val="0"/>
                <w:color w:val="000000" w:themeColor="text1"/>
                <w:kern w:val="0"/>
                <w:szCs w:val="21"/>
              </w:rPr>
            </w:pPr>
            <w:r>
              <w:rPr>
                <w:rFonts w:eastAsiaTheme="minorEastAsia"/>
                <w:snapToGrid w:val="0"/>
                <w:color w:val="000000" w:themeColor="text1"/>
                <w:kern w:val="0"/>
                <w:szCs w:val="21"/>
              </w:rPr>
              <w:t>设备管理系数</w:t>
            </w:r>
          </w:p>
        </w:tc>
        <w:tc>
          <w:tcPr>
            <w:tcW w:w="2086" w:type="dxa"/>
            <w:vAlign w:val="center"/>
          </w:tcPr>
          <w:p>
            <w:pPr>
              <w:adjustRightInd w:val="0"/>
              <w:snapToGrid w:val="0"/>
              <w:spacing w:line="260" w:lineRule="exact"/>
              <w:jc w:val="center"/>
              <w:rPr>
                <w:rFonts w:eastAsiaTheme="minorEastAsia"/>
                <w:snapToGrid w:val="0"/>
                <w:color w:val="000000" w:themeColor="text1"/>
                <w:kern w:val="0"/>
                <w:szCs w:val="21"/>
              </w:rPr>
            </w:pPr>
            <w:r>
              <w:rPr>
                <w:rFonts w:eastAsiaTheme="minorEastAsia"/>
                <w:snapToGrid w:val="0"/>
                <w:color w:val="000000" w:themeColor="text1"/>
                <w:kern w:val="0"/>
                <w:szCs w:val="21"/>
              </w:rPr>
              <w:t>取值范围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95" w:type="dxa"/>
            <w:vAlign w:val="center"/>
          </w:tcPr>
          <w:p>
            <w:pPr>
              <w:numPr>
                <w:ilvl w:val="0"/>
                <w:numId w:val="14"/>
              </w:numPr>
              <w:adjustRightInd w:val="0"/>
              <w:snapToGrid w:val="0"/>
              <w:spacing w:line="240" w:lineRule="exact"/>
              <w:ind w:left="0" w:firstLine="210" w:firstLineChars="100"/>
              <w:rPr>
                <w:rFonts w:eastAsiaTheme="minorEastAsia"/>
                <w:snapToGrid w:val="0"/>
                <w:color w:val="000000" w:themeColor="text1"/>
                <w:kern w:val="0"/>
                <w:szCs w:val="21"/>
              </w:rPr>
            </w:pPr>
          </w:p>
        </w:tc>
        <w:tc>
          <w:tcPr>
            <w:tcW w:w="4457" w:type="dxa"/>
            <w:vAlign w:val="center"/>
          </w:tcPr>
          <w:p>
            <w:pPr>
              <w:adjustRightInd w:val="0"/>
              <w:snapToGrid w:val="0"/>
              <w:spacing w:line="260" w:lineRule="exact"/>
              <w:rPr>
                <w:rFonts w:eastAsiaTheme="minorEastAsia"/>
                <w:snapToGrid w:val="0"/>
                <w:color w:val="000000" w:themeColor="text1"/>
                <w:kern w:val="0"/>
                <w:szCs w:val="21"/>
              </w:rPr>
            </w:pPr>
            <w:r>
              <w:rPr>
                <w:rFonts w:eastAsiaTheme="minorEastAsia"/>
                <w:snapToGrid w:val="0"/>
                <w:color w:val="000000" w:themeColor="text1"/>
                <w:kern w:val="0"/>
                <w:szCs w:val="21"/>
              </w:rPr>
              <w:t>消防器材管理</w:t>
            </w:r>
          </w:p>
        </w:tc>
        <w:tc>
          <w:tcPr>
            <w:tcW w:w="2086" w:type="dxa"/>
            <w:vAlign w:val="center"/>
          </w:tcPr>
          <w:p>
            <w:pPr>
              <w:adjustRightInd w:val="0"/>
              <w:snapToGrid w:val="0"/>
              <w:spacing w:line="260" w:lineRule="exact"/>
              <w:jc w:val="center"/>
              <w:rPr>
                <w:rFonts w:eastAsiaTheme="minorEastAsia"/>
                <w:snapToGrid w:val="0"/>
                <w:color w:val="000000" w:themeColor="text1"/>
                <w:kern w:val="0"/>
                <w:szCs w:val="21"/>
              </w:rPr>
            </w:pPr>
            <w:r>
              <w:rPr>
                <w:rFonts w:eastAsiaTheme="minorEastAsia"/>
                <w:snapToGrid w:val="0"/>
                <w:color w:val="000000" w:themeColor="text1"/>
                <w:kern w:val="0"/>
                <w:szCs w:val="21"/>
              </w:rPr>
              <w:t>0.93～1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95" w:type="dxa"/>
            <w:vAlign w:val="center"/>
          </w:tcPr>
          <w:p>
            <w:pPr>
              <w:numPr>
                <w:ilvl w:val="0"/>
                <w:numId w:val="14"/>
              </w:numPr>
              <w:adjustRightInd w:val="0"/>
              <w:snapToGrid w:val="0"/>
              <w:spacing w:line="240" w:lineRule="exact"/>
              <w:ind w:left="0" w:firstLine="210" w:firstLineChars="100"/>
              <w:rPr>
                <w:rFonts w:eastAsiaTheme="minorEastAsia"/>
                <w:snapToGrid w:val="0"/>
                <w:color w:val="000000" w:themeColor="text1"/>
                <w:kern w:val="0"/>
                <w:szCs w:val="21"/>
              </w:rPr>
            </w:pPr>
          </w:p>
        </w:tc>
        <w:tc>
          <w:tcPr>
            <w:tcW w:w="4457" w:type="dxa"/>
            <w:vAlign w:val="center"/>
          </w:tcPr>
          <w:p>
            <w:pPr>
              <w:adjustRightInd w:val="0"/>
              <w:snapToGrid w:val="0"/>
              <w:spacing w:line="260" w:lineRule="exact"/>
              <w:rPr>
                <w:rFonts w:eastAsiaTheme="minorEastAsia"/>
                <w:snapToGrid w:val="0"/>
                <w:color w:val="000000" w:themeColor="text1"/>
                <w:kern w:val="0"/>
                <w:szCs w:val="21"/>
              </w:rPr>
            </w:pPr>
            <w:r>
              <w:rPr>
                <w:rFonts w:eastAsiaTheme="minorEastAsia"/>
                <w:snapToGrid w:val="0"/>
                <w:color w:val="000000" w:themeColor="text1"/>
                <w:kern w:val="0"/>
                <w:szCs w:val="21"/>
              </w:rPr>
              <w:t>机械设备保养管理</w:t>
            </w:r>
          </w:p>
        </w:tc>
        <w:tc>
          <w:tcPr>
            <w:tcW w:w="2086" w:type="dxa"/>
            <w:vAlign w:val="center"/>
          </w:tcPr>
          <w:p>
            <w:pPr>
              <w:adjustRightInd w:val="0"/>
              <w:snapToGrid w:val="0"/>
              <w:spacing w:line="260" w:lineRule="exact"/>
              <w:jc w:val="center"/>
              <w:rPr>
                <w:rFonts w:eastAsiaTheme="minorEastAsia"/>
                <w:snapToGrid w:val="0"/>
                <w:color w:val="000000" w:themeColor="text1"/>
                <w:kern w:val="0"/>
                <w:szCs w:val="21"/>
              </w:rPr>
            </w:pPr>
            <w:r>
              <w:rPr>
                <w:rFonts w:eastAsiaTheme="minorEastAsia"/>
                <w:snapToGrid w:val="0"/>
                <w:color w:val="000000" w:themeColor="text1"/>
                <w:kern w:val="0"/>
                <w:szCs w:val="21"/>
              </w:rPr>
              <w:t>0.95～1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95" w:type="dxa"/>
            <w:vAlign w:val="center"/>
          </w:tcPr>
          <w:p>
            <w:pPr>
              <w:numPr>
                <w:ilvl w:val="0"/>
                <w:numId w:val="14"/>
              </w:numPr>
              <w:adjustRightInd w:val="0"/>
              <w:snapToGrid w:val="0"/>
              <w:spacing w:line="240" w:lineRule="exact"/>
              <w:ind w:left="0" w:firstLine="210" w:firstLineChars="100"/>
              <w:rPr>
                <w:rFonts w:eastAsiaTheme="minorEastAsia"/>
                <w:snapToGrid w:val="0"/>
                <w:color w:val="000000" w:themeColor="text1"/>
                <w:kern w:val="0"/>
                <w:szCs w:val="21"/>
              </w:rPr>
            </w:pPr>
          </w:p>
        </w:tc>
        <w:tc>
          <w:tcPr>
            <w:tcW w:w="4457" w:type="dxa"/>
            <w:vAlign w:val="center"/>
          </w:tcPr>
          <w:p>
            <w:pPr>
              <w:adjustRightInd w:val="0"/>
              <w:snapToGrid w:val="0"/>
              <w:spacing w:line="260" w:lineRule="exact"/>
              <w:rPr>
                <w:rFonts w:eastAsiaTheme="minorEastAsia"/>
                <w:snapToGrid w:val="0"/>
                <w:color w:val="000000" w:themeColor="text1"/>
                <w:kern w:val="0"/>
                <w:szCs w:val="21"/>
              </w:rPr>
            </w:pPr>
            <w:r>
              <w:rPr>
                <w:rFonts w:eastAsiaTheme="minorEastAsia"/>
                <w:snapToGrid w:val="0"/>
                <w:color w:val="000000" w:themeColor="text1"/>
                <w:kern w:val="0"/>
                <w:szCs w:val="21"/>
              </w:rPr>
              <w:t>避雷设施管理</w:t>
            </w:r>
          </w:p>
        </w:tc>
        <w:tc>
          <w:tcPr>
            <w:tcW w:w="2086" w:type="dxa"/>
            <w:vAlign w:val="center"/>
          </w:tcPr>
          <w:p>
            <w:pPr>
              <w:adjustRightInd w:val="0"/>
              <w:snapToGrid w:val="0"/>
              <w:spacing w:line="260" w:lineRule="exact"/>
              <w:jc w:val="center"/>
              <w:rPr>
                <w:rFonts w:eastAsiaTheme="minorEastAsia"/>
                <w:snapToGrid w:val="0"/>
                <w:color w:val="000000" w:themeColor="text1"/>
                <w:kern w:val="0"/>
                <w:szCs w:val="21"/>
              </w:rPr>
            </w:pPr>
            <w:r>
              <w:rPr>
                <w:rFonts w:eastAsiaTheme="minorEastAsia"/>
                <w:snapToGrid w:val="0"/>
                <w:color w:val="000000" w:themeColor="text1"/>
                <w:kern w:val="0"/>
                <w:szCs w:val="21"/>
              </w:rPr>
              <w:t>0.95～1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795" w:type="dxa"/>
            <w:vAlign w:val="center"/>
          </w:tcPr>
          <w:p>
            <w:pPr>
              <w:numPr>
                <w:ilvl w:val="0"/>
                <w:numId w:val="14"/>
              </w:numPr>
              <w:adjustRightInd w:val="0"/>
              <w:snapToGrid w:val="0"/>
              <w:spacing w:line="240" w:lineRule="exact"/>
              <w:ind w:left="0" w:firstLine="210" w:firstLineChars="100"/>
              <w:rPr>
                <w:rFonts w:eastAsiaTheme="minorEastAsia"/>
                <w:snapToGrid w:val="0"/>
                <w:color w:val="000000" w:themeColor="text1"/>
                <w:kern w:val="0"/>
                <w:szCs w:val="21"/>
              </w:rPr>
            </w:pPr>
          </w:p>
        </w:tc>
        <w:tc>
          <w:tcPr>
            <w:tcW w:w="4457" w:type="dxa"/>
            <w:vAlign w:val="center"/>
          </w:tcPr>
          <w:p>
            <w:pPr>
              <w:adjustRightInd w:val="0"/>
              <w:snapToGrid w:val="0"/>
              <w:spacing w:line="260" w:lineRule="exact"/>
              <w:rPr>
                <w:rFonts w:eastAsiaTheme="minorEastAsia"/>
                <w:snapToGrid w:val="0"/>
                <w:color w:val="000000" w:themeColor="text1"/>
                <w:kern w:val="0"/>
                <w:szCs w:val="21"/>
              </w:rPr>
            </w:pPr>
            <w:r>
              <w:rPr>
                <w:rFonts w:eastAsiaTheme="minorEastAsia"/>
                <w:snapToGrid w:val="0"/>
                <w:color w:val="000000" w:themeColor="text1"/>
                <w:kern w:val="0"/>
                <w:szCs w:val="21"/>
              </w:rPr>
              <w:t>运输车辆管理</w:t>
            </w:r>
          </w:p>
        </w:tc>
        <w:tc>
          <w:tcPr>
            <w:tcW w:w="2086" w:type="dxa"/>
            <w:vAlign w:val="center"/>
          </w:tcPr>
          <w:p>
            <w:pPr>
              <w:adjustRightInd w:val="0"/>
              <w:snapToGrid w:val="0"/>
              <w:spacing w:line="260" w:lineRule="exact"/>
              <w:jc w:val="center"/>
              <w:rPr>
                <w:rFonts w:eastAsiaTheme="minorEastAsia"/>
                <w:snapToGrid w:val="0"/>
                <w:color w:val="000000" w:themeColor="text1"/>
                <w:kern w:val="0"/>
                <w:szCs w:val="21"/>
              </w:rPr>
            </w:pPr>
            <w:r>
              <w:rPr>
                <w:rFonts w:eastAsiaTheme="minorEastAsia"/>
                <w:snapToGrid w:val="0"/>
                <w:color w:val="000000" w:themeColor="text1"/>
                <w:kern w:val="0"/>
                <w:szCs w:val="21"/>
              </w:rPr>
              <w:t>0.95～1</w:t>
            </w:r>
          </w:p>
        </w:tc>
      </w:tr>
    </w:tbl>
    <w:p>
      <w:pPr>
        <w:adjustRightInd w:val="0"/>
        <w:snapToGrid w:val="0"/>
        <w:spacing w:line="500" w:lineRule="exact"/>
        <w:ind w:firstLine="560"/>
        <w:rPr>
          <w:rFonts w:eastAsiaTheme="minorEastAsia"/>
          <w:bCs/>
          <w:color w:val="000000" w:themeColor="text1"/>
          <w:sz w:val="28"/>
        </w:rPr>
      </w:pPr>
      <w:bookmarkStart w:id="1603" w:name="_Toc22658_WPSOffice_Level2"/>
      <w:bookmarkStart w:id="1604" w:name="_Toc31346_WPSOffice_Level2"/>
      <w:bookmarkStart w:id="1605" w:name="_Toc32607"/>
      <w:bookmarkStart w:id="1606" w:name="_Toc31663_WPSOffice_Level2"/>
      <w:r>
        <w:rPr>
          <w:rFonts w:hint="eastAsia"/>
          <w:snapToGrid w:val="0"/>
          <w:color w:val="000000" w:themeColor="text1"/>
          <w:kern w:val="0"/>
          <w:sz w:val="28"/>
          <w:szCs w:val="24"/>
        </w:rPr>
        <w:t>（3）</w:t>
      </w:r>
      <w:r>
        <w:rPr>
          <w:rFonts w:eastAsiaTheme="minorEastAsia"/>
          <w:bCs/>
          <w:color w:val="000000" w:themeColor="text1"/>
          <w:sz w:val="28"/>
        </w:rPr>
        <w:t>物料管理系数M</w:t>
      </w:r>
      <w:r>
        <w:rPr>
          <w:rFonts w:eastAsiaTheme="minorEastAsia"/>
          <w:bCs/>
          <w:color w:val="000000" w:themeColor="text1"/>
          <w:sz w:val="28"/>
          <w:vertAlign w:val="subscript"/>
        </w:rPr>
        <w:t>3</w:t>
      </w:r>
      <w:bookmarkEnd w:id="1603"/>
      <w:bookmarkEnd w:id="1604"/>
      <w:bookmarkEnd w:id="1605"/>
      <w:bookmarkEnd w:id="1606"/>
    </w:p>
    <w:p>
      <w:pPr>
        <w:adjustRightInd w:val="0"/>
        <w:snapToGrid w:val="0"/>
        <w:spacing w:line="500" w:lineRule="exact"/>
        <w:ind w:firstLine="560"/>
        <w:rPr>
          <w:rFonts w:eastAsiaTheme="minorEastAsia"/>
          <w:color w:val="000000" w:themeColor="text1"/>
          <w:sz w:val="28"/>
        </w:rPr>
      </w:pPr>
      <w:r>
        <w:rPr>
          <w:rFonts w:eastAsiaTheme="minorEastAsia"/>
          <w:color w:val="000000" w:themeColor="text1"/>
          <w:sz w:val="28"/>
        </w:rPr>
        <w:t>物料管理系数M</w:t>
      </w:r>
      <w:r>
        <w:rPr>
          <w:rFonts w:eastAsiaTheme="minorEastAsia"/>
          <w:color w:val="000000" w:themeColor="text1"/>
          <w:sz w:val="28"/>
          <w:vertAlign w:val="subscript"/>
        </w:rPr>
        <w:t>3</w:t>
      </w:r>
      <w:r>
        <w:rPr>
          <w:rFonts w:eastAsiaTheme="minorEastAsia"/>
          <w:color w:val="000000" w:themeColor="text1"/>
          <w:sz w:val="28"/>
        </w:rPr>
        <w:t>按下表要求取得。</w:t>
      </w:r>
    </w:p>
    <w:p>
      <w:pPr>
        <w:adjustRightInd w:val="0"/>
        <w:snapToGrid w:val="0"/>
        <w:spacing w:line="500" w:lineRule="atLeast"/>
        <w:ind w:firstLine="480"/>
        <w:jc w:val="center"/>
        <w:rPr>
          <w:rFonts w:eastAsiaTheme="minorEastAsia"/>
          <w:bCs/>
          <w:color w:val="000000" w:themeColor="text1"/>
          <w:sz w:val="24"/>
        </w:rPr>
      </w:pPr>
      <w:r>
        <w:rPr>
          <w:rFonts w:eastAsiaTheme="minorEastAsia"/>
          <w:bCs/>
          <w:color w:val="000000" w:themeColor="text1"/>
          <w:sz w:val="24"/>
        </w:rPr>
        <w:t>表4-7 物料管理系数M</w:t>
      </w:r>
      <w:r>
        <w:rPr>
          <w:rFonts w:eastAsiaTheme="minorEastAsia"/>
          <w:bCs/>
          <w:color w:val="000000" w:themeColor="text1"/>
          <w:sz w:val="24"/>
          <w:vertAlign w:val="subscript"/>
        </w:rPr>
        <w:t>3</w:t>
      </w:r>
      <w:r>
        <w:rPr>
          <w:rFonts w:eastAsiaTheme="minorEastAsia"/>
          <w:bCs/>
          <w:color w:val="000000" w:themeColor="text1"/>
          <w:sz w:val="24"/>
        </w:rPr>
        <w:t>取值表</w:t>
      </w:r>
    </w:p>
    <w:tbl>
      <w:tblPr>
        <w:tblStyle w:val="52"/>
        <w:tblW w:w="81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6"/>
        <w:gridCol w:w="5630"/>
        <w:gridCol w:w="18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636" w:type="dxa"/>
            <w:vAlign w:val="center"/>
          </w:tcPr>
          <w:p>
            <w:pPr>
              <w:adjustRightInd w:val="0"/>
              <w:snapToGrid w:val="0"/>
              <w:spacing w:line="260" w:lineRule="exact"/>
              <w:jc w:val="center"/>
              <w:rPr>
                <w:rFonts w:eastAsiaTheme="minorEastAsia"/>
                <w:snapToGrid w:val="0"/>
                <w:color w:val="000000" w:themeColor="text1"/>
                <w:kern w:val="0"/>
                <w:szCs w:val="21"/>
              </w:rPr>
            </w:pPr>
            <w:r>
              <w:rPr>
                <w:rFonts w:eastAsiaTheme="minorEastAsia"/>
                <w:snapToGrid w:val="0"/>
                <w:color w:val="000000" w:themeColor="text1"/>
                <w:kern w:val="0"/>
                <w:szCs w:val="21"/>
              </w:rPr>
              <w:t>序号</w:t>
            </w:r>
          </w:p>
        </w:tc>
        <w:tc>
          <w:tcPr>
            <w:tcW w:w="5630" w:type="dxa"/>
            <w:vAlign w:val="center"/>
          </w:tcPr>
          <w:p>
            <w:pPr>
              <w:adjustRightInd w:val="0"/>
              <w:snapToGrid w:val="0"/>
              <w:spacing w:line="260" w:lineRule="exact"/>
              <w:jc w:val="center"/>
              <w:rPr>
                <w:rFonts w:eastAsiaTheme="minorEastAsia"/>
                <w:snapToGrid w:val="0"/>
                <w:color w:val="000000" w:themeColor="text1"/>
                <w:kern w:val="0"/>
                <w:szCs w:val="21"/>
              </w:rPr>
            </w:pPr>
            <w:r>
              <w:rPr>
                <w:rFonts w:eastAsiaTheme="minorEastAsia"/>
                <w:snapToGrid w:val="0"/>
                <w:color w:val="000000" w:themeColor="text1"/>
                <w:kern w:val="0"/>
                <w:szCs w:val="21"/>
              </w:rPr>
              <w:t>物料管理系数</w:t>
            </w:r>
          </w:p>
        </w:tc>
        <w:tc>
          <w:tcPr>
            <w:tcW w:w="1844" w:type="dxa"/>
            <w:vAlign w:val="center"/>
          </w:tcPr>
          <w:p>
            <w:pPr>
              <w:adjustRightInd w:val="0"/>
              <w:snapToGrid w:val="0"/>
              <w:spacing w:line="260" w:lineRule="exact"/>
              <w:jc w:val="center"/>
              <w:rPr>
                <w:rFonts w:eastAsiaTheme="minorEastAsia"/>
                <w:snapToGrid w:val="0"/>
                <w:color w:val="000000" w:themeColor="text1"/>
                <w:kern w:val="0"/>
                <w:szCs w:val="21"/>
              </w:rPr>
            </w:pPr>
            <w:r>
              <w:rPr>
                <w:rFonts w:eastAsiaTheme="minorEastAsia"/>
                <w:snapToGrid w:val="0"/>
                <w:color w:val="000000" w:themeColor="text1"/>
                <w:kern w:val="0"/>
                <w:szCs w:val="21"/>
              </w:rPr>
              <w:t>取值范围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636" w:type="dxa"/>
            <w:vAlign w:val="center"/>
          </w:tcPr>
          <w:p>
            <w:pPr>
              <w:tabs>
                <w:tab w:val="left" w:pos="363"/>
              </w:tabs>
              <w:adjustRightInd w:val="0"/>
              <w:snapToGrid w:val="0"/>
              <w:spacing w:line="260" w:lineRule="exact"/>
              <w:jc w:val="center"/>
              <w:rPr>
                <w:rFonts w:eastAsiaTheme="minorEastAsia"/>
                <w:snapToGrid w:val="0"/>
                <w:color w:val="000000" w:themeColor="text1"/>
                <w:kern w:val="0"/>
                <w:szCs w:val="21"/>
              </w:rPr>
            </w:pPr>
            <w:r>
              <w:rPr>
                <w:rFonts w:eastAsiaTheme="minorEastAsia"/>
                <w:snapToGrid w:val="0"/>
                <w:color w:val="000000" w:themeColor="text1"/>
                <w:kern w:val="0"/>
                <w:szCs w:val="21"/>
              </w:rPr>
              <w:t>1</w:t>
            </w:r>
          </w:p>
        </w:tc>
        <w:tc>
          <w:tcPr>
            <w:tcW w:w="5630" w:type="dxa"/>
            <w:vAlign w:val="center"/>
          </w:tcPr>
          <w:p>
            <w:pPr>
              <w:adjustRightInd w:val="0"/>
              <w:snapToGrid w:val="0"/>
              <w:spacing w:line="260" w:lineRule="exact"/>
              <w:jc w:val="center"/>
              <w:rPr>
                <w:rFonts w:eastAsiaTheme="minorEastAsia"/>
                <w:snapToGrid w:val="0"/>
                <w:color w:val="000000" w:themeColor="text1"/>
                <w:kern w:val="0"/>
                <w:szCs w:val="21"/>
              </w:rPr>
            </w:pPr>
            <w:r>
              <w:rPr>
                <w:rFonts w:eastAsiaTheme="minorEastAsia"/>
                <w:snapToGrid w:val="0"/>
                <w:color w:val="000000" w:themeColor="text1"/>
                <w:kern w:val="0"/>
                <w:szCs w:val="21"/>
              </w:rPr>
              <w:t>危险物品安全管理</w:t>
            </w:r>
          </w:p>
        </w:tc>
        <w:tc>
          <w:tcPr>
            <w:tcW w:w="1844" w:type="dxa"/>
            <w:vAlign w:val="center"/>
          </w:tcPr>
          <w:p>
            <w:pPr>
              <w:adjustRightInd w:val="0"/>
              <w:snapToGrid w:val="0"/>
              <w:spacing w:line="260" w:lineRule="exact"/>
              <w:jc w:val="center"/>
              <w:rPr>
                <w:rFonts w:eastAsiaTheme="minorEastAsia"/>
                <w:snapToGrid w:val="0"/>
                <w:color w:val="000000" w:themeColor="text1"/>
                <w:kern w:val="0"/>
                <w:szCs w:val="21"/>
              </w:rPr>
            </w:pPr>
            <w:r>
              <w:rPr>
                <w:rFonts w:eastAsiaTheme="minorEastAsia"/>
                <w:snapToGrid w:val="0"/>
                <w:color w:val="000000" w:themeColor="text1"/>
                <w:kern w:val="0"/>
                <w:szCs w:val="21"/>
              </w:rPr>
              <w:t>0.95～1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636" w:type="dxa"/>
            <w:vAlign w:val="center"/>
          </w:tcPr>
          <w:p>
            <w:pPr>
              <w:tabs>
                <w:tab w:val="left" w:pos="363"/>
              </w:tabs>
              <w:adjustRightInd w:val="0"/>
              <w:snapToGrid w:val="0"/>
              <w:spacing w:line="260" w:lineRule="exact"/>
              <w:jc w:val="center"/>
              <w:rPr>
                <w:rFonts w:eastAsiaTheme="minorEastAsia"/>
                <w:snapToGrid w:val="0"/>
                <w:color w:val="000000" w:themeColor="text1"/>
                <w:kern w:val="0"/>
                <w:szCs w:val="21"/>
              </w:rPr>
            </w:pPr>
            <w:r>
              <w:rPr>
                <w:rFonts w:eastAsiaTheme="minorEastAsia"/>
                <w:snapToGrid w:val="0"/>
                <w:color w:val="000000" w:themeColor="text1"/>
                <w:kern w:val="0"/>
                <w:szCs w:val="21"/>
              </w:rPr>
              <w:t>2</w:t>
            </w:r>
          </w:p>
        </w:tc>
        <w:tc>
          <w:tcPr>
            <w:tcW w:w="5630" w:type="dxa"/>
            <w:vAlign w:val="center"/>
          </w:tcPr>
          <w:p>
            <w:pPr>
              <w:adjustRightInd w:val="0"/>
              <w:snapToGrid w:val="0"/>
              <w:spacing w:line="260" w:lineRule="exact"/>
              <w:jc w:val="center"/>
              <w:rPr>
                <w:rFonts w:eastAsiaTheme="minorEastAsia"/>
                <w:snapToGrid w:val="0"/>
                <w:color w:val="000000" w:themeColor="text1"/>
                <w:kern w:val="0"/>
                <w:szCs w:val="21"/>
              </w:rPr>
            </w:pPr>
            <w:r>
              <w:rPr>
                <w:rFonts w:eastAsiaTheme="minorEastAsia"/>
                <w:snapToGrid w:val="0"/>
                <w:color w:val="000000" w:themeColor="text1"/>
                <w:kern w:val="0"/>
                <w:szCs w:val="21"/>
              </w:rPr>
              <w:t>成品储运安全管理</w:t>
            </w:r>
          </w:p>
        </w:tc>
        <w:tc>
          <w:tcPr>
            <w:tcW w:w="1844" w:type="dxa"/>
            <w:vAlign w:val="center"/>
          </w:tcPr>
          <w:p>
            <w:pPr>
              <w:adjustRightInd w:val="0"/>
              <w:snapToGrid w:val="0"/>
              <w:spacing w:line="260" w:lineRule="exact"/>
              <w:jc w:val="center"/>
              <w:rPr>
                <w:rFonts w:eastAsiaTheme="minorEastAsia"/>
                <w:snapToGrid w:val="0"/>
                <w:color w:val="000000" w:themeColor="text1"/>
                <w:kern w:val="0"/>
                <w:szCs w:val="21"/>
              </w:rPr>
            </w:pPr>
            <w:r>
              <w:rPr>
                <w:rFonts w:eastAsiaTheme="minorEastAsia"/>
                <w:snapToGrid w:val="0"/>
                <w:color w:val="000000" w:themeColor="text1"/>
                <w:kern w:val="0"/>
                <w:szCs w:val="21"/>
              </w:rPr>
              <w:t>0.95～1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636" w:type="dxa"/>
            <w:vAlign w:val="center"/>
          </w:tcPr>
          <w:p>
            <w:pPr>
              <w:tabs>
                <w:tab w:val="left" w:pos="363"/>
              </w:tabs>
              <w:adjustRightInd w:val="0"/>
              <w:snapToGrid w:val="0"/>
              <w:spacing w:line="260" w:lineRule="exact"/>
              <w:jc w:val="center"/>
              <w:rPr>
                <w:rFonts w:eastAsiaTheme="minorEastAsia"/>
                <w:snapToGrid w:val="0"/>
                <w:color w:val="000000" w:themeColor="text1"/>
                <w:kern w:val="0"/>
                <w:szCs w:val="21"/>
              </w:rPr>
            </w:pPr>
            <w:r>
              <w:rPr>
                <w:rFonts w:eastAsiaTheme="minorEastAsia"/>
                <w:snapToGrid w:val="0"/>
                <w:color w:val="000000" w:themeColor="text1"/>
                <w:kern w:val="0"/>
                <w:szCs w:val="21"/>
              </w:rPr>
              <w:t>3</w:t>
            </w:r>
          </w:p>
        </w:tc>
        <w:tc>
          <w:tcPr>
            <w:tcW w:w="5630" w:type="dxa"/>
            <w:vAlign w:val="center"/>
          </w:tcPr>
          <w:p>
            <w:pPr>
              <w:adjustRightInd w:val="0"/>
              <w:snapToGrid w:val="0"/>
              <w:spacing w:line="260" w:lineRule="exact"/>
              <w:jc w:val="center"/>
              <w:rPr>
                <w:rFonts w:eastAsiaTheme="minorEastAsia"/>
                <w:snapToGrid w:val="0"/>
                <w:color w:val="000000" w:themeColor="text1"/>
                <w:kern w:val="0"/>
                <w:szCs w:val="21"/>
              </w:rPr>
            </w:pPr>
            <w:r>
              <w:rPr>
                <w:rFonts w:eastAsiaTheme="minorEastAsia"/>
                <w:snapToGrid w:val="0"/>
                <w:color w:val="000000" w:themeColor="text1"/>
                <w:kern w:val="0"/>
                <w:szCs w:val="21"/>
              </w:rPr>
              <w:t>化工原料、产品、半成品质量检测检验资料</w:t>
            </w:r>
          </w:p>
        </w:tc>
        <w:tc>
          <w:tcPr>
            <w:tcW w:w="1844" w:type="dxa"/>
            <w:vAlign w:val="center"/>
          </w:tcPr>
          <w:p>
            <w:pPr>
              <w:adjustRightInd w:val="0"/>
              <w:snapToGrid w:val="0"/>
              <w:spacing w:line="260" w:lineRule="exact"/>
              <w:jc w:val="center"/>
              <w:rPr>
                <w:rFonts w:eastAsiaTheme="minorEastAsia"/>
                <w:snapToGrid w:val="0"/>
                <w:color w:val="000000" w:themeColor="text1"/>
                <w:kern w:val="0"/>
                <w:szCs w:val="21"/>
              </w:rPr>
            </w:pPr>
            <w:r>
              <w:rPr>
                <w:rFonts w:eastAsiaTheme="minorEastAsia"/>
                <w:snapToGrid w:val="0"/>
                <w:color w:val="000000" w:themeColor="text1"/>
                <w:kern w:val="0"/>
                <w:szCs w:val="21"/>
              </w:rPr>
              <w:t>0.95～1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636" w:type="dxa"/>
            <w:vAlign w:val="center"/>
          </w:tcPr>
          <w:p>
            <w:pPr>
              <w:tabs>
                <w:tab w:val="left" w:pos="363"/>
              </w:tabs>
              <w:adjustRightInd w:val="0"/>
              <w:snapToGrid w:val="0"/>
              <w:spacing w:line="260" w:lineRule="exact"/>
              <w:jc w:val="center"/>
              <w:rPr>
                <w:rFonts w:eastAsiaTheme="minorEastAsia"/>
                <w:snapToGrid w:val="0"/>
                <w:color w:val="000000" w:themeColor="text1"/>
                <w:kern w:val="0"/>
                <w:szCs w:val="21"/>
              </w:rPr>
            </w:pPr>
            <w:r>
              <w:rPr>
                <w:rFonts w:eastAsiaTheme="minorEastAsia"/>
                <w:snapToGrid w:val="0"/>
                <w:color w:val="000000" w:themeColor="text1"/>
                <w:kern w:val="0"/>
                <w:szCs w:val="21"/>
              </w:rPr>
              <w:t>4</w:t>
            </w:r>
          </w:p>
        </w:tc>
        <w:tc>
          <w:tcPr>
            <w:tcW w:w="5630" w:type="dxa"/>
            <w:vAlign w:val="center"/>
          </w:tcPr>
          <w:p>
            <w:pPr>
              <w:adjustRightInd w:val="0"/>
              <w:snapToGrid w:val="0"/>
              <w:spacing w:line="260" w:lineRule="exact"/>
              <w:jc w:val="center"/>
              <w:rPr>
                <w:rFonts w:eastAsiaTheme="minorEastAsia"/>
                <w:snapToGrid w:val="0"/>
                <w:color w:val="000000" w:themeColor="text1"/>
                <w:kern w:val="0"/>
                <w:szCs w:val="21"/>
              </w:rPr>
            </w:pPr>
            <w:r>
              <w:rPr>
                <w:rFonts w:eastAsiaTheme="minorEastAsia"/>
                <w:snapToGrid w:val="0"/>
                <w:color w:val="000000" w:themeColor="text1"/>
                <w:kern w:val="0"/>
                <w:szCs w:val="21"/>
              </w:rPr>
              <w:t>危险品运输</w:t>
            </w:r>
          </w:p>
        </w:tc>
        <w:tc>
          <w:tcPr>
            <w:tcW w:w="1844" w:type="dxa"/>
            <w:vAlign w:val="center"/>
          </w:tcPr>
          <w:p>
            <w:pPr>
              <w:adjustRightInd w:val="0"/>
              <w:snapToGrid w:val="0"/>
              <w:spacing w:line="260" w:lineRule="exact"/>
              <w:jc w:val="center"/>
              <w:rPr>
                <w:rFonts w:eastAsiaTheme="minorEastAsia"/>
                <w:snapToGrid w:val="0"/>
                <w:color w:val="000000" w:themeColor="text1"/>
                <w:kern w:val="0"/>
                <w:szCs w:val="21"/>
              </w:rPr>
            </w:pPr>
            <w:r>
              <w:rPr>
                <w:rFonts w:eastAsiaTheme="minorEastAsia"/>
                <w:snapToGrid w:val="0"/>
                <w:color w:val="000000" w:themeColor="text1"/>
                <w:kern w:val="0"/>
                <w:szCs w:val="21"/>
              </w:rPr>
              <w:t>0.93～1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636" w:type="dxa"/>
            <w:vAlign w:val="center"/>
          </w:tcPr>
          <w:p>
            <w:pPr>
              <w:tabs>
                <w:tab w:val="left" w:pos="363"/>
              </w:tabs>
              <w:adjustRightInd w:val="0"/>
              <w:snapToGrid w:val="0"/>
              <w:spacing w:line="260" w:lineRule="exact"/>
              <w:jc w:val="center"/>
              <w:rPr>
                <w:rFonts w:eastAsiaTheme="minorEastAsia"/>
                <w:snapToGrid w:val="0"/>
                <w:color w:val="000000" w:themeColor="text1"/>
                <w:kern w:val="0"/>
                <w:szCs w:val="21"/>
              </w:rPr>
            </w:pPr>
            <w:r>
              <w:rPr>
                <w:rFonts w:eastAsiaTheme="minorEastAsia"/>
                <w:snapToGrid w:val="0"/>
                <w:color w:val="000000" w:themeColor="text1"/>
                <w:kern w:val="0"/>
                <w:szCs w:val="21"/>
              </w:rPr>
              <w:t>5</w:t>
            </w:r>
          </w:p>
        </w:tc>
        <w:tc>
          <w:tcPr>
            <w:tcW w:w="5630" w:type="dxa"/>
            <w:vAlign w:val="center"/>
          </w:tcPr>
          <w:p>
            <w:pPr>
              <w:adjustRightInd w:val="0"/>
              <w:snapToGrid w:val="0"/>
              <w:spacing w:line="260" w:lineRule="exact"/>
              <w:jc w:val="center"/>
              <w:rPr>
                <w:rFonts w:eastAsiaTheme="minorEastAsia"/>
                <w:snapToGrid w:val="0"/>
                <w:color w:val="000000" w:themeColor="text1"/>
                <w:kern w:val="0"/>
                <w:szCs w:val="21"/>
              </w:rPr>
            </w:pPr>
            <w:r>
              <w:rPr>
                <w:rFonts w:eastAsiaTheme="minorEastAsia"/>
                <w:snapToGrid w:val="0"/>
                <w:color w:val="000000" w:themeColor="text1"/>
                <w:kern w:val="0"/>
                <w:szCs w:val="21"/>
              </w:rPr>
              <w:t>有余药场地的清扫</w:t>
            </w:r>
          </w:p>
        </w:tc>
        <w:tc>
          <w:tcPr>
            <w:tcW w:w="1844" w:type="dxa"/>
            <w:vAlign w:val="center"/>
          </w:tcPr>
          <w:p>
            <w:pPr>
              <w:adjustRightInd w:val="0"/>
              <w:snapToGrid w:val="0"/>
              <w:spacing w:line="260" w:lineRule="exact"/>
              <w:jc w:val="center"/>
              <w:rPr>
                <w:rFonts w:eastAsiaTheme="minorEastAsia"/>
                <w:snapToGrid w:val="0"/>
                <w:color w:val="000000" w:themeColor="text1"/>
                <w:kern w:val="0"/>
                <w:szCs w:val="21"/>
              </w:rPr>
            </w:pPr>
            <w:r>
              <w:rPr>
                <w:rFonts w:eastAsiaTheme="minorEastAsia"/>
                <w:snapToGrid w:val="0"/>
                <w:color w:val="000000" w:themeColor="text1"/>
                <w:kern w:val="0"/>
                <w:szCs w:val="21"/>
              </w:rPr>
              <w:t>0.95～1</w:t>
            </w:r>
          </w:p>
        </w:tc>
      </w:tr>
    </w:tbl>
    <w:p>
      <w:pPr>
        <w:adjustRightInd w:val="0"/>
        <w:snapToGrid w:val="0"/>
        <w:spacing w:line="500" w:lineRule="exact"/>
        <w:ind w:firstLine="560"/>
        <w:rPr>
          <w:rFonts w:eastAsiaTheme="minorEastAsia"/>
          <w:color w:val="000000" w:themeColor="text1"/>
          <w:sz w:val="28"/>
        </w:rPr>
      </w:pPr>
      <w:bookmarkStart w:id="1607" w:name="_Toc26874_WPSOffice_Level2"/>
      <w:bookmarkStart w:id="1608" w:name="_Toc10509_WPSOffice_Level2"/>
      <w:bookmarkStart w:id="1609" w:name="_Toc21079"/>
      <w:bookmarkStart w:id="1610" w:name="_Toc27912_WPSOffice_Level2"/>
      <w:r>
        <w:rPr>
          <w:rFonts w:eastAsiaTheme="minorEastAsia"/>
          <w:color w:val="000000" w:themeColor="text1"/>
          <w:sz w:val="28"/>
        </w:rPr>
        <w:t>（4）作业环境管理系数M</w:t>
      </w:r>
      <w:r>
        <w:rPr>
          <w:rFonts w:eastAsiaTheme="minorEastAsia"/>
          <w:color w:val="000000" w:themeColor="text1"/>
          <w:sz w:val="28"/>
          <w:vertAlign w:val="subscript"/>
        </w:rPr>
        <w:t>4</w:t>
      </w:r>
      <w:bookmarkEnd w:id="1607"/>
      <w:bookmarkEnd w:id="1608"/>
      <w:bookmarkEnd w:id="1609"/>
      <w:bookmarkEnd w:id="1610"/>
    </w:p>
    <w:p>
      <w:pPr>
        <w:adjustRightInd w:val="0"/>
        <w:snapToGrid w:val="0"/>
        <w:spacing w:line="500" w:lineRule="exact"/>
        <w:ind w:firstLine="560"/>
        <w:rPr>
          <w:rFonts w:eastAsiaTheme="minorEastAsia"/>
          <w:color w:val="000000" w:themeColor="text1"/>
          <w:sz w:val="28"/>
        </w:rPr>
      </w:pPr>
      <w:r>
        <w:rPr>
          <w:rFonts w:eastAsiaTheme="minorEastAsia"/>
          <w:color w:val="000000" w:themeColor="text1"/>
          <w:sz w:val="28"/>
        </w:rPr>
        <w:t>作业环境管理系数M</w:t>
      </w:r>
      <w:r>
        <w:rPr>
          <w:rFonts w:eastAsiaTheme="minorEastAsia"/>
          <w:color w:val="000000" w:themeColor="text1"/>
          <w:sz w:val="28"/>
          <w:vertAlign w:val="subscript"/>
        </w:rPr>
        <w:t>4</w:t>
      </w:r>
      <w:r>
        <w:rPr>
          <w:rFonts w:eastAsiaTheme="minorEastAsia"/>
          <w:color w:val="000000" w:themeColor="text1"/>
          <w:sz w:val="28"/>
        </w:rPr>
        <w:t>按下表要求取得。</w:t>
      </w:r>
    </w:p>
    <w:p>
      <w:pPr>
        <w:rPr>
          <w:rFonts w:eastAsiaTheme="minorEastAsia"/>
          <w:bCs/>
          <w:color w:val="000000" w:themeColor="text1"/>
          <w:sz w:val="24"/>
        </w:rPr>
      </w:pPr>
      <w:r>
        <w:rPr>
          <w:rFonts w:eastAsiaTheme="minorEastAsia"/>
          <w:bCs/>
          <w:color w:val="000000" w:themeColor="text1"/>
          <w:sz w:val="24"/>
        </w:rPr>
        <w:br w:type="page"/>
      </w:r>
    </w:p>
    <w:p>
      <w:pPr>
        <w:adjustRightInd w:val="0"/>
        <w:snapToGrid w:val="0"/>
        <w:spacing w:line="500" w:lineRule="atLeast"/>
        <w:ind w:firstLine="480"/>
        <w:jc w:val="center"/>
        <w:rPr>
          <w:rFonts w:eastAsiaTheme="minorEastAsia"/>
          <w:bCs/>
          <w:color w:val="000000" w:themeColor="text1"/>
          <w:sz w:val="24"/>
        </w:rPr>
      </w:pPr>
      <w:r>
        <w:rPr>
          <w:rFonts w:eastAsiaTheme="minorEastAsia"/>
          <w:bCs/>
          <w:color w:val="000000" w:themeColor="text1"/>
          <w:sz w:val="24"/>
        </w:rPr>
        <w:t>表4-8 作业环境管理系数M</w:t>
      </w:r>
      <w:r>
        <w:rPr>
          <w:rFonts w:eastAsiaTheme="minorEastAsia"/>
          <w:bCs/>
          <w:color w:val="000000" w:themeColor="text1"/>
          <w:sz w:val="24"/>
          <w:vertAlign w:val="subscript"/>
        </w:rPr>
        <w:t>4</w:t>
      </w:r>
      <w:r>
        <w:rPr>
          <w:rFonts w:eastAsiaTheme="minorEastAsia"/>
          <w:bCs/>
          <w:color w:val="000000" w:themeColor="text1"/>
          <w:sz w:val="24"/>
        </w:rPr>
        <w:t>取值表</w:t>
      </w:r>
    </w:p>
    <w:tbl>
      <w:tblPr>
        <w:tblStyle w:val="52"/>
        <w:tblW w:w="81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6"/>
        <w:gridCol w:w="5630"/>
        <w:gridCol w:w="18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36" w:type="dxa"/>
            <w:vAlign w:val="center"/>
          </w:tcPr>
          <w:p>
            <w:pPr>
              <w:adjustRightInd w:val="0"/>
              <w:snapToGrid w:val="0"/>
              <w:spacing w:line="240" w:lineRule="exact"/>
              <w:jc w:val="center"/>
              <w:rPr>
                <w:rFonts w:eastAsiaTheme="minorEastAsia"/>
                <w:snapToGrid w:val="0"/>
                <w:color w:val="000000" w:themeColor="text1"/>
                <w:kern w:val="0"/>
                <w:szCs w:val="21"/>
              </w:rPr>
            </w:pPr>
            <w:r>
              <w:rPr>
                <w:rFonts w:eastAsiaTheme="minorEastAsia"/>
                <w:snapToGrid w:val="0"/>
                <w:color w:val="000000" w:themeColor="text1"/>
                <w:kern w:val="0"/>
                <w:szCs w:val="21"/>
              </w:rPr>
              <w:t>序号</w:t>
            </w:r>
          </w:p>
        </w:tc>
        <w:tc>
          <w:tcPr>
            <w:tcW w:w="5630" w:type="dxa"/>
            <w:vAlign w:val="center"/>
          </w:tcPr>
          <w:p>
            <w:pPr>
              <w:adjustRightInd w:val="0"/>
              <w:snapToGrid w:val="0"/>
              <w:spacing w:line="240" w:lineRule="exact"/>
              <w:jc w:val="center"/>
              <w:rPr>
                <w:rFonts w:eastAsiaTheme="minorEastAsia"/>
                <w:snapToGrid w:val="0"/>
                <w:color w:val="000000" w:themeColor="text1"/>
                <w:kern w:val="0"/>
                <w:szCs w:val="21"/>
              </w:rPr>
            </w:pPr>
            <w:r>
              <w:rPr>
                <w:rFonts w:eastAsiaTheme="minorEastAsia"/>
                <w:snapToGrid w:val="0"/>
                <w:color w:val="000000" w:themeColor="text1"/>
                <w:kern w:val="0"/>
                <w:szCs w:val="21"/>
              </w:rPr>
              <w:t>作业环境管理系数</w:t>
            </w:r>
          </w:p>
        </w:tc>
        <w:tc>
          <w:tcPr>
            <w:tcW w:w="1868" w:type="dxa"/>
            <w:vAlign w:val="center"/>
          </w:tcPr>
          <w:p>
            <w:pPr>
              <w:adjustRightInd w:val="0"/>
              <w:snapToGrid w:val="0"/>
              <w:spacing w:line="240" w:lineRule="exact"/>
              <w:jc w:val="center"/>
              <w:rPr>
                <w:rFonts w:eastAsiaTheme="minorEastAsia"/>
                <w:snapToGrid w:val="0"/>
                <w:color w:val="000000" w:themeColor="text1"/>
                <w:kern w:val="0"/>
                <w:szCs w:val="21"/>
              </w:rPr>
            </w:pPr>
            <w:r>
              <w:rPr>
                <w:rFonts w:eastAsiaTheme="minorEastAsia"/>
                <w:snapToGrid w:val="0"/>
                <w:color w:val="000000" w:themeColor="text1"/>
                <w:kern w:val="0"/>
                <w:szCs w:val="21"/>
              </w:rPr>
              <w:t>取值范围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jc w:val="center"/>
        </w:trPr>
        <w:tc>
          <w:tcPr>
            <w:tcW w:w="636" w:type="dxa"/>
            <w:vAlign w:val="center"/>
          </w:tcPr>
          <w:p>
            <w:pPr>
              <w:tabs>
                <w:tab w:val="left" w:pos="363"/>
              </w:tabs>
              <w:adjustRightInd w:val="0"/>
              <w:snapToGrid w:val="0"/>
              <w:spacing w:line="240" w:lineRule="exact"/>
              <w:jc w:val="center"/>
              <w:rPr>
                <w:rFonts w:eastAsiaTheme="minorEastAsia"/>
                <w:snapToGrid w:val="0"/>
                <w:color w:val="000000" w:themeColor="text1"/>
                <w:kern w:val="0"/>
                <w:szCs w:val="21"/>
              </w:rPr>
            </w:pPr>
            <w:r>
              <w:rPr>
                <w:rFonts w:eastAsiaTheme="minorEastAsia"/>
                <w:snapToGrid w:val="0"/>
                <w:color w:val="000000" w:themeColor="text1"/>
                <w:kern w:val="0"/>
                <w:szCs w:val="21"/>
              </w:rPr>
              <w:t>1</w:t>
            </w:r>
          </w:p>
        </w:tc>
        <w:tc>
          <w:tcPr>
            <w:tcW w:w="5630" w:type="dxa"/>
            <w:vAlign w:val="center"/>
          </w:tcPr>
          <w:p>
            <w:pPr>
              <w:adjustRightInd w:val="0"/>
              <w:snapToGrid w:val="0"/>
              <w:spacing w:line="240" w:lineRule="exact"/>
              <w:jc w:val="center"/>
              <w:rPr>
                <w:rFonts w:eastAsiaTheme="minorEastAsia"/>
                <w:snapToGrid w:val="0"/>
                <w:color w:val="000000" w:themeColor="text1"/>
                <w:kern w:val="0"/>
                <w:szCs w:val="21"/>
              </w:rPr>
            </w:pPr>
            <w:r>
              <w:rPr>
                <w:rFonts w:eastAsiaTheme="minorEastAsia"/>
                <w:snapToGrid w:val="0"/>
                <w:color w:val="000000" w:themeColor="text1"/>
                <w:kern w:val="0"/>
                <w:szCs w:val="21"/>
              </w:rPr>
              <w:t>防静电措施</w:t>
            </w:r>
          </w:p>
        </w:tc>
        <w:tc>
          <w:tcPr>
            <w:tcW w:w="1868" w:type="dxa"/>
            <w:vAlign w:val="center"/>
          </w:tcPr>
          <w:p>
            <w:pPr>
              <w:adjustRightInd w:val="0"/>
              <w:snapToGrid w:val="0"/>
              <w:spacing w:line="240" w:lineRule="exact"/>
              <w:jc w:val="center"/>
              <w:rPr>
                <w:rFonts w:eastAsiaTheme="minorEastAsia"/>
                <w:snapToGrid w:val="0"/>
                <w:color w:val="000000" w:themeColor="text1"/>
                <w:kern w:val="0"/>
                <w:szCs w:val="21"/>
              </w:rPr>
            </w:pPr>
            <w:r>
              <w:rPr>
                <w:rFonts w:eastAsiaTheme="minorEastAsia"/>
                <w:snapToGrid w:val="0"/>
                <w:color w:val="000000" w:themeColor="text1"/>
                <w:kern w:val="0"/>
                <w:szCs w:val="21"/>
              </w:rPr>
              <w:t>0.93～1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636" w:type="dxa"/>
            <w:vAlign w:val="center"/>
          </w:tcPr>
          <w:p>
            <w:pPr>
              <w:tabs>
                <w:tab w:val="left" w:pos="363"/>
              </w:tabs>
              <w:adjustRightInd w:val="0"/>
              <w:snapToGrid w:val="0"/>
              <w:spacing w:line="240" w:lineRule="exact"/>
              <w:jc w:val="center"/>
              <w:rPr>
                <w:rFonts w:eastAsiaTheme="minorEastAsia"/>
                <w:snapToGrid w:val="0"/>
                <w:color w:val="000000" w:themeColor="text1"/>
                <w:kern w:val="0"/>
                <w:szCs w:val="21"/>
              </w:rPr>
            </w:pPr>
            <w:r>
              <w:rPr>
                <w:rFonts w:eastAsiaTheme="minorEastAsia"/>
                <w:snapToGrid w:val="0"/>
                <w:color w:val="000000" w:themeColor="text1"/>
                <w:kern w:val="0"/>
                <w:szCs w:val="21"/>
              </w:rPr>
              <w:t>2</w:t>
            </w:r>
          </w:p>
        </w:tc>
        <w:tc>
          <w:tcPr>
            <w:tcW w:w="5630" w:type="dxa"/>
            <w:vAlign w:val="center"/>
          </w:tcPr>
          <w:p>
            <w:pPr>
              <w:adjustRightInd w:val="0"/>
              <w:snapToGrid w:val="0"/>
              <w:spacing w:line="240" w:lineRule="exact"/>
              <w:jc w:val="center"/>
              <w:rPr>
                <w:rFonts w:eastAsiaTheme="minorEastAsia"/>
                <w:snapToGrid w:val="0"/>
                <w:color w:val="000000" w:themeColor="text1"/>
                <w:kern w:val="0"/>
                <w:szCs w:val="21"/>
              </w:rPr>
            </w:pPr>
            <w:r>
              <w:rPr>
                <w:rFonts w:eastAsiaTheme="minorEastAsia"/>
                <w:snapToGrid w:val="0"/>
                <w:color w:val="000000" w:themeColor="text1"/>
                <w:kern w:val="0"/>
                <w:szCs w:val="21"/>
              </w:rPr>
              <w:t>设备、管理接地情况</w:t>
            </w:r>
          </w:p>
        </w:tc>
        <w:tc>
          <w:tcPr>
            <w:tcW w:w="1868" w:type="dxa"/>
            <w:vAlign w:val="center"/>
          </w:tcPr>
          <w:p>
            <w:pPr>
              <w:adjustRightInd w:val="0"/>
              <w:snapToGrid w:val="0"/>
              <w:spacing w:line="240" w:lineRule="exact"/>
              <w:jc w:val="center"/>
              <w:rPr>
                <w:rFonts w:eastAsiaTheme="minorEastAsia"/>
                <w:snapToGrid w:val="0"/>
                <w:color w:val="000000" w:themeColor="text1"/>
                <w:kern w:val="0"/>
                <w:szCs w:val="21"/>
              </w:rPr>
            </w:pPr>
            <w:r>
              <w:rPr>
                <w:rFonts w:eastAsiaTheme="minorEastAsia"/>
                <w:snapToGrid w:val="0"/>
                <w:color w:val="000000" w:themeColor="text1"/>
                <w:kern w:val="0"/>
                <w:szCs w:val="21"/>
              </w:rPr>
              <w:t>0.95～1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636" w:type="dxa"/>
            <w:vAlign w:val="center"/>
          </w:tcPr>
          <w:p>
            <w:pPr>
              <w:tabs>
                <w:tab w:val="left" w:pos="363"/>
              </w:tabs>
              <w:adjustRightInd w:val="0"/>
              <w:snapToGrid w:val="0"/>
              <w:spacing w:line="240" w:lineRule="exact"/>
              <w:jc w:val="center"/>
              <w:rPr>
                <w:rFonts w:eastAsiaTheme="minorEastAsia"/>
                <w:snapToGrid w:val="0"/>
                <w:color w:val="000000" w:themeColor="text1"/>
                <w:kern w:val="0"/>
                <w:szCs w:val="21"/>
              </w:rPr>
            </w:pPr>
            <w:r>
              <w:rPr>
                <w:rFonts w:eastAsiaTheme="minorEastAsia"/>
                <w:snapToGrid w:val="0"/>
                <w:color w:val="000000" w:themeColor="text1"/>
                <w:kern w:val="0"/>
                <w:szCs w:val="21"/>
              </w:rPr>
              <w:t>3</w:t>
            </w:r>
          </w:p>
        </w:tc>
        <w:tc>
          <w:tcPr>
            <w:tcW w:w="5630" w:type="dxa"/>
            <w:vAlign w:val="center"/>
          </w:tcPr>
          <w:p>
            <w:pPr>
              <w:adjustRightInd w:val="0"/>
              <w:snapToGrid w:val="0"/>
              <w:spacing w:line="240" w:lineRule="exact"/>
              <w:jc w:val="center"/>
              <w:rPr>
                <w:rFonts w:eastAsiaTheme="minorEastAsia"/>
                <w:snapToGrid w:val="0"/>
                <w:color w:val="000000" w:themeColor="text1"/>
                <w:kern w:val="0"/>
                <w:szCs w:val="21"/>
              </w:rPr>
            </w:pPr>
            <w:r>
              <w:rPr>
                <w:rFonts w:eastAsiaTheme="minorEastAsia"/>
                <w:snapToGrid w:val="0"/>
                <w:color w:val="000000" w:themeColor="text1"/>
                <w:kern w:val="0"/>
                <w:szCs w:val="21"/>
              </w:rPr>
              <w:t>通道是否畅通</w:t>
            </w:r>
          </w:p>
        </w:tc>
        <w:tc>
          <w:tcPr>
            <w:tcW w:w="1868" w:type="dxa"/>
            <w:vAlign w:val="center"/>
          </w:tcPr>
          <w:p>
            <w:pPr>
              <w:adjustRightInd w:val="0"/>
              <w:snapToGrid w:val="0"/>
              <w:spacing w:line="240" w:lineRule="exact"/>
              <w:jc w:val="center"/>
              <w:rPr>
                <w:rFonts w:eastAsiaTheme="minorEastAsia"/>
                <w:snapToGrid w:val="0"/>
                <w:color w:val="000000" w:themeColor="text1"/>
                <w:kern w:val="0"/>
                <w:szCs w:val="21"/>
              </w:rPr>
            </w:pPr>
            <w:r>
              <w:rPr>
                <w:rFonts w:eastAsiaTheme="minorEastAsia"/>
                <w:snapToGrid w:val="0"/>
                <w:color w:val="000000" w:themeColor="text1"/>
                <w:kern w:val="0"/>
                <w:szCs w:val="21"/>
              </w:rPr>
              <w:t>0.95～1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jc w:val="center"/>
        </w:trPr>
        <w:tc>
          <w:tcPr>
            <w:tcW w:w="636" w:type="dxa"/>
            <w:vAlign w:val="center"/>
          </w:tcPr>
          <w:p>
            <w:pPr>
              <w:tabs>
                <w:tab w:val="left" w:pos="363"/>
              </w:tabs>
              <w:adjustRightInd w:val="0"/>
              <w:snapToGrid w:val="0"/>
              <w:spacing w:line="240" w:lineRule="exact"/>
              <w:jc w:val="center"/>
              <w:rPr>
                <w:rFonts w:eastAsiaTheme="minorEastAsia"/>
                <w:snapToGrid w:val="0"/>
                <w:color w:val="000000" w:themeColor="text1"/>
                <w:kern w:val="0"/>
                <w:szCs w:val="21"/>
              </w:rPr>
            </w:pPr>
            <w:r>
              <w:rPr>
                <w:rFonts w:eastAsiaTheme="minorEastAsia"/>
                <w:snapToGrid w:val="0"/>
                <w:color w:val="000000" w:themeColor="text1"/>
                <w:kern w:val="0"/>
                <w:szCs w:val="21"/>
              </w:rPr>
              <w:t>4</w:t>
            </w:r>
          </w:p>
        </w:tc>
        <w:tc>
          <w:tcPr>
            <w:tcW w:w="5630" w:type="dxa"/>
            <w:vAlign w:val="center"/>
          </w:tcPr>
          <w:p>
            <w:pPr>
              <w:adjustRightInd w:val="0"/>
              <w:snapToGrid w:val="0"/>
              <w:spacing w:line="240" w:lineRule="exact"/>
              <w:jc w:val="center"/>
              <w:rPr>
                <w:rFonts w:eastAsiaTheme="minorEastAsia"/>
                <w:snapToGrid w:val="0"/>
                <w:color w:val="000000" w:themeColor="text1"/>
                <w:kern w:val="0"/>
                <w:szCs w:val="21"/>
              </w:rPr>
            </w:pPr>
            <w:r>
              <w:rPr>
                <w:rFonts w:eastAsiaTheme="minorEastAsia"/>
                <w:snapToGrid w:val="0"/>
                <w:color w:val="000000" w:themeColor="text1"/>
                <w:kern w:val="0"/>
                <w:szCs w:val="21"/>
              </w:rPr>
              <w:t>通风情况</w:t>
            </w:r>
          </w:p>
        </w:tc>
        <w:tc>
          <w:tcPr>
            <w:tcW w:w="1868" w:type="dxa"/>
            <w:vAlign w:val="center"/>
          </w:tcPr>
          <w:p>
            <w:pPr>
              <w:adjustRightInd w:val="0"/>
              <w:snapToGrid w:val="0"/>
              <w:spacing w:line="240" w:lineRule="exact"/>
              <w:jc w:val="center"/>
              <w:rPr>
                <w:rFonts w:eastAsiaTheme="minorEastAsia"/>
                <w:snapToGrid w:val="0"/>
                <w:color w:val="000000" w:themeColor="text1"/>
                <w:kern w:val="0"/>
                <w:szCs w:val="21"/>
              </w:rPr>
            </w:pPr>
            <w:r>
              <w:rPr>
                <w:rFonts w:eastAsiaTheme="minorEastAsia"/>
                <w:snapToGrid w:val="0"/>
                <w:color w:val="000000" w:themeColor="text1"/>
                <w:kern w:val="0"/>
                <w:szCs w:val="21"/>
              </w:rPr>
              <w:t>0.95～1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jc w:val="center"/>
        </w:trPr>
        <w:tc>
          <w:tcPr>
            <w:tcW w:w="636" w:type="dxa"/>
            <w:vAlign w:val="center"/>
          </w:tcPr>
          <w:p>
            <w:pPr>
              <w:tabs>
                <w:tab w:val="left" w:pos="363"/>
              </w:tabs>
              <w:adjustRightInd w:val="0"/>
              <w:snapToGrid w:val="0"/>
              <w:spacing w:line="240" w:lineRule="exact"/>
              <w:jc w:val="center"/>
              <w:rPr>
                <w:rFonts w:eastAsiaTheme="minorEastAsia"/>
                <w:snapToGrid w:val="0"/>
                <w:color w:val="000000" w:themeColor="text1"/>
                <w:kern w:val="0"/>
                <w:szCs w:val="21"/>
              </w:rPr>
            </w:pPr>
            <w:r>
              <w:rPr>
                <w:rFonts w:eastAsiaTheme="minorEastAsia"/>
                <w:snapToGrid w:val="0"/>
                <w:color w:val="000000" w:themeColor="text1"/>
                <w:kern w:val="0"/>
                <w:szCs w:val="21"/>
              </w:rPr>
              <w:t>5</w:t>
            </w:r>
          </w:p>
        </w:tc>
        <w:tc>
          <w:tcPr>
            <w:tcW w:w="5630" w:type="dxa"/>
            <w:vAlign w:val="center"/>
          </w:tcPr>
          <w:p>
            <w:pPr>
              <w:adjustRightInd w:val="0"/>
              <w:snapToGrid w:val="0"/>
              <w:spacing w:line="240" w:lineRule="exact"/>
              <w:jc w:val="center"/>
              <w:rPr>
                <w:rFonts w:eastAsiaTheme="minorEastAsia"/>
                <w:snapToGrid w:val="0"/>
                <w:color w:val="000000" w:themeColor="text1"/>
                <w:kern w:val="0"/>
                <w:szCs w:val="21"/>
              </w:rPr>
            </w:pPr>
            <w:r>
              <w:rPr>
                <w:rFonts w:eastAsiaTheme="minorEastAsia"/>
                <w:snapToGrid w:val="0"/>
                <w:color w:val="000000" w:themeColor="text1"/>
                <w:kern w:val="0"/>
                <w:szCs w:val="21"/>
              </w:rPr>
              <w:t>工库房、设备内废药品清理情况</w:t>
            </w:r>
          </w:p>
        </w:tc>
        <w:tc>
          <w:tcPr>
            <w:tcW w:w="1868" w:type="dxa"/>
            <w:vAlign w:val="center"/>
          </w:tcPr>
          <w:p>
            <w:pPr>
              <w:adjustRightInd w:val="0"/>
              <w:snapToGrid w:val="0"/>
              <w:spacing w:line="240" w:lineRule="exact"/>
              <w:jc w:val="center"/>
              <w:rPr>
                <w:rFonts w:eastAsiaTheme="minorEastAsia"/>
                <w:snapToGrid w:val="0"/>
                <w:color w:val="000000" w:themeColor="text1"/>
                <w:kern w:val="0"/>
                <w:szCs w:val="21"/>
              </w:rPr>
            </w:pPr>
            <w:r>
              <w:rPr>
                <w:rFonts w:eastAsiaTheme="minorEastAsia"/>
                <w:snapToGrid w:val="0"/>
                <w:color w:val="000000" w:themeColor="text1"/>
                <w:kern w:val="0"/>
                <w:szCs w:val="21"/>
              </w:rPr>
              <w:t>0.95～1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jc w:val="center"/>
        </w:trPr>
        <w:tc>
          <w:tcPr>
            <w:tcW w:w="636" w:type="dxa"/>
            <w:vAlign w:val="center"/>
          </w:tcPr>
          <w:p>
            <w:pPr>
              <w:tabs>
                <w:tab w:val="left" w:pos="363"/>
              </w:tabs>
              <w:adjustRightInd w:val="0"/>
              <w:snapToGrid w:val="0"/>
              <w:spacing w:line="240" w:lineRule="exact"/>
              <w:jc w:val="center"/>
              <w:rPr>
                <w:rFonts w:eastAsiaTheme="minorEastAsia"/>
                <w:snapToGrid w:val="0"/>
                <w:color w:val="000000" w:themeColor="text1"/>
                <w:kern w:val="0"/>
                <w:szCs w:val="21"/>
              </w:rPr>
            </w:pPr>
            <w:r>
              <w:rPr>
                <w:rFonts w:eastAsiaTheme="minorEastAsia"/>
                <w:snapToGrid w:val="0"/>
                <w:color w:val="000000" w:themeColor="text1"/>
                <w:kern w:val="0"/>
                <w:szCs w:val="21"/>
              </w:rPr>
              <w:t>6</w:t>
            </w:r>
          </w:p>
        </w:tc>
        <w:tc>
          <w:tcPr>
            <w:tcW w:w="5630" w:type="dxa"/>
            <w:vAlign w:val="center"/>
          </w:tcPr>
          <w:p>
            <w:pPr>
              <w:adjustRightInd w:val="0"/>
              <w:snapToGrid w:val="0"/>
              <w:spacing w:line="240" w:lineRule="exact"/>
              <w:jc w:val="center"/>
              <w:rPr>
                <w:rFonts w:eastAsiaTheme="minorEastAsia"/>
                <w:snapToGrid w:val="0"/>
                <w:color w:val="000000" w:themeColor="text1"/>
                <w:kern w:val="0"/>
                <w:szCs w:val="21"/>
              </w:rPr>
            </w:pPr>
            <w:r>
              <w:rPr>
                <w:rFonts w:eastAsiaTheme="minorEastAsia"/>
                <w:snapToGrid w:val="0"/>
                <w:color w:val="000000" w:themeColor="text1"/>
                <w:kern w:val="0"/>
                <w:szCs w:val="21"/>
              </w:rPr>
              <w:t>地面情况</w:t>
            </w:r>
          </w:p>
        </w:tc>
        <w:tc>
          <w:tcPr>
            <w:tcW w:w="1868" w:type="dxa"/>
            <w:vAlign w:val="center"/>
          </w:tcPr>
          <w:p>
            <w:pPr>
              <w:adjustRightInd w:val="0"/>
              <w:snapToGrid w:val="0"/>
              <w:spacing w:line="240" w:lineRule="exact"/>
              <w:jc w:val="center"/>
              <w:rPr>
                <w:rFonts w:eastAsiaTheme="minorEastAsia"/>
                <w:snapToGrid w:val="0"/>
                <w:color w:val="000000" w:themeColor="text1"/>
                <w:kern w:val="0"/>
                <w:szCs w:val="21"/>
              </w:rPr>
            </w:pPr>
            <w:r>
              <w:rPr>
                <w:rFonts w:eastAsiaTheme="minorEastAsia"/>
                <w:snapToGrid w:val="0"/>
                <w:color w:val="000000" w:themeColor="text1"/>
                <w:kern w:val="0"/>
                <w:szCs w:val="21"/>
              </w:rPr>
              <w:t>0.93～1</w:t>
            </w:r>
          </w:p>
        </w:tc>
      </w:tr>
    </w:tbl>
    <w:p>
      <w:pPr>
        <w:adjustRightInd w:val="0"/>
        <w:snapToGrid w:val="0"/>
        <w:ind w:firstLine="480"/>
        <w:rPr>
          <w:i/>
          <w:iCs/>
          <w:color w:val="000000" w:themeColor="text1"/>
        </w:rPr>
      </w:pPr>
      <w:r>
        <w:rPr>
          <w:rFonts w:eastAsiaTheme="minorEastAsia"/>
          <w:color w:val="000000" w:themeColor="text1"/>
          <w:szCs w:val="21"/>
        </w:rPr>
        <w:t>注：</w:t>
      </w:r>
      <w:r>
        <w:rPr>
          <w:rFonts w:eastAsiaTheme="minorEastAsia"/>
          <w:color w:val="000000" w:themeColor="text1"/>
          <w:szCs w:val="21"/>
        </w:rPr>
        <w:sym w:font="Wingdings" w:char="F081"/>
      </w:r>
      <w:r>
        <w:rPr>
          <w:rFonts w:eastAsiaTheme="minorEastAsia"/>
          <w:color w:val="000000" w:themeColor="text1"/>
          <w:szCs w:val="21"/>
        </w:rPr>
        <w:t>上述M</w:t>
      </w:r>
      <w:r>
        <w:rPr>
          <w:rFonts w:eastAsiaTheme="minorEastAsia"/>
          <w:color w:val="000000" w:themeColor="text1"/>
          <w:szCs w:val="21"/>
          <w:vertAlign w:val="subscript"/>
        </w:rPr>
        <w:t>1</w:t>
      </w:r>
      <w:r>
        <w:rPr>
          <w:rFonts w:eastAsiaTheme="minorEastAsia"/>
          <w:color w:val="000000" w:themeColor="text1"/>
          <w:szCs w:val="21"/>
        </w:rPr>
        <w:t>、M</w:t>
      </w:r>
      <w:r>
        <w:rPr>
          <w:rFonts w:eastAsiaTheme="minorEastAsia"/>
          <w:color w:val="000000" w:themeColor="text1"/>
          <w:szCs w:val="21"/>
          <w:vertAlign w:val="subscript"/>
        </w:rPr>
        <w:t>2</w:t>
      </w:r>
      <w:r>
        <w:rPr>
          <w:rFonts w:eastAsiaTheme="minorEastAsia"/>
          <w:color w:val="000000" w:themeColor="text1"/>
          <w:szCs w:val="21"/>
        </w:rPr>
        <w:t>、M</w:t>
      </w:r>
      <w:r>
        <w:rPr>
          <w:rFonts w:eastAsiaTheme="minorEastAsia"/>
          <w:color w:val="000000" w:themeColor="text1"/>
          <w:szCs w:val="21"/>
          <w:vertAlign w:val="subscript"/>
        </w:rPr>
        <w:t>3</w:t>
      </w:r>
      <w:r>
        <w:rPr>
          <w:rFonts w:eastAsiaTheme="minorEastAsia"/>
          <w:color w:val="000000" w:themeColor="text1"/>
          <w:szCs w:val="21"/>
        </w:rPr>
        <w:t>、M</w:t>
      </w:r>
      <w:r>
        <w:rPr>
          <w:rFonts w:eastAsiaTheme="minorEastAsia"/>
          <w:color w:val="000000" w:themeColor="text1"/>
          <w:szCs w:val="21"/>
          <w:vertAlign w:val="subscript"/>
        </w:rPr>
        <w:t>4</w:t>
      </w:r>
      <w:r>
        <w:rPr>
          <w:rFonts w:eastAsiaTheme="minorEastAsia"/>
          <w:color w:val="000000" w:themeColor="text1"/>
          <w:szCs w:val="21"/>
        </w:rPr>
        <w:t>的取值分别按各自系数范围内的数值取得，然后相乘所得，如存在不符合的项目皆赋值1、完全符合则取下限值、有部分符合且部分不符合在取值范围内取值</w:t>
      </w:r>
      <w:r>
        <w:rPr>
          <w:rFonts w:hint="eastAsia" w:eastAsiaTheme="minorEastAsia"/>
          <w:color w:val="000000" w:themeColor="text1"/>
          <w:szCs w:val="21"/>
        </w:rPr>
        <w:t>；</w:t>
      </w:r>
      <w:r>
        <w:rPr>
          <w:rFonts w:eastAsiaTheme="minorEastAsia"/>
          <w:color w:val="000000" w:themeColor="text1"/>
          <w:szCs w:val="21"/>
        </w:rPr>
        <w:sym w:font="Wingdings" w:char="F082"/>
      </w:r>
      <w:r>
        <w:rPr>
          <w:rFonts w:eastAsiaTheme="minorEastAsia"/>
          <w:color w:val="000000" w:themeColor="text1"/>
          <w:szCs w:val="21"/>
        </w:rPr>
        <w:t>考虑了管理系数后的危险等级的划分可以不作变动，按上“表4-4 危险性程度分级的分数值”划分。</w:t>
      </w:r>
    </w:p>
    <w:p>
      <w:pPr>
        <w:pStyle w:val="19"/>
        <w:spacing w:afterLines="100" w:line="500" w:lineRule="exact"/>
        <w:rPr>
          <w:rFonts w:ascii="黑体" w:hAnsi="宋体" w:eastAsia="黑体"/>
          <w:color w:val="000000" w:themeColor="text1"/>
          <w:kern w:val="3"/>
          <w:sz w:val="28"/>
          <w:szCs w:val="28"/>
        </w:rPr>
      </w:pPr>
      <w:bookmarkStart w:id="1611" w:name="_Toc3759"/>
      <w:bookmarkStart w:id="1612" w:name="_Toc10911"/>
      <w:bookmarkStart w:id="1613" w:name="_Toc259982248"/>
      <w:bookmarkStart w:id="1614" w:name="_Toc25752"/>
      <w:bookmarkStart w:id="1615" w:name="_Toc17960"/>
      <w:bookmarkStart w:id="1616" w:name="_Toc9522"/>
      <w:bookmarkStart w:id="1617" w:name="_Toc20363"/>
      <w:bookmarkStart w:id="1618" w:name="_Toc5491"/>
      <w:bookmarkStart w:id="1619" w:name="_Toc3064"/>
      <w:bookmarkStart w:id="1620" w:name="_Toc16549"/>
      <w:bookmarkStart w:id="1621" w:name="_Toc11480"/>
      <w:r>
        <w:rPr>
          <w:rFonts w:hint="eastAsia" w:ascii="黑体" w:hAnsi="宋体" w:eastAsia="黑体"/>
          <w:color w:val="000000" w:themeColor="text1"/>
          <w:kern w:val="3"/>
          <w:sz w:val="28"/>
          <w:szCs w:val="28"/>
        </w:rPr>
        <w:t>4.3.3危险度评价法简介</w:t>
      </w:r>
      <w:bookmarkEnd w:id="1611"/>
      <w:bookmarkEnd w:id="1612"/>
      <w:bookmarkEnd w:id="1613"/>
      <w:bookmarkEnd w:id="1614"/>
      <w:bookmarkEnd w:id="1615"/>
      <w:bookmarkEnd w:id="1616"/>
      <w:bookmarkEnd w:id="1617"/>
      <w:bookmarkEnd w:id="1618"/>
      <w:bookmarkEnd w:id="1619"/>
      <w:bookmarkEnd w:id="1620"/>
      <w:bookmarkEnd w:id="1621"/>
    </w:p>
    <w:p>
      <w:pPr>
        <w:widowControl/>
        <w:shd w:val="clear" w:color="auto" w:fill="FFFFFF"/>
        <w:adjustRightInd w:val="0"/>
        <w:snapToGrid w:val="0"/>
        <w:spacing w:line="500" w:lineRule="exact"/>
        <w:ind w:firstLine="560" w:firstLineChars="200"/>
        <w:rPr>
          <w:color w:val="000000" w:themeColor="text1"/>
        </w:rPr>
      </w:pPr>
      <w:bookmarkStart w:id="1622" w:name="_Toc2185"/>
      <w:bookmarkStart w:id="1623" w:name="_Toc3626"/>
      <w:bookmarkStart w:id="1624" w:name="_Toc4592"/>
      <w:bookmarkStart w:id="1625" w:name="_Toc15599"/>
      <w:bookmarkStart w:id="1626" w:name="_Toc28271"/>
      <w:r>
        <w:rPr>
          <w:rFonts w:eastAsiaTheme="minorEastAsia"/>
          <w:color w:val="000000" w:themeColor="text1"/>
          <w:sz w:val="28"/>
        </w:rPr>
        <w:t>借鉴日本劳动省“六阶段法”的定量评价表，结合我国《石油化工企业设计防火标准(2018年版)》（GB 50160-2008）、《压力容器中化学介质毒性危害和爆炸危险程度分类标准》（HG/T 20660-2017）等有关标准，编制了危险度评价取值表，详见下表4-9所示。规定了危险度由物质、容量、温度、压力和操作5个项目共同确定。其危险度分别按A=10分；B=5分；C=2分；D=0分赋值计分，由累计分值确定单元危险度，危险度分级如下表4-10所示。</w:t>
      </w:r>
      <w:bookmarkEnd w:id="1622"/>
      <w:bookmarkEnd w:id="1623"/>
      <w:bookmarkEnd w:id="1624"/>
      <w:bookmarkEnd w:id="1625"/>
      <w:bookmarkEnd w:id="1626"/>
      <w:bookmarkStart w:id="1627" w:name="_Toc28108"/>
      <w:bookmarkStart w:id="1628" w:name="_Toc28965"/>
      <w:bookmarkStart w:id="1629" w:name="_Toc23676"/>
      <w:bookmarkStart w:id="1630" w:name="_Toc28786"/>
    </w:p>
    <w:p>
      <w:pPr>
        <w:widowControl/>
        <w:shd w:val="clear" w:color="auto" w:fill="FFFFFF"/>
        <w:adjustRightInd w:val="0"/>
        <w:snapToGrid w:val="0"/>
        <w:spacing w:line="500" w:lineRule="exact"/>
        <w:ind w:firstLine="480" w:firstLineChars="200"/>
        <w:jc w:val="center"/>
        <w:rPr>
          <w:rFonts w:eastAsiaTheme="minorEastAsia"/>
          <w:color w:val="000000" w:themeColor="text1"/>
          <w:sz w:val="24"/>
        </w:rPr>
      </w:pPr>
      <w:r>
        <w:rPr>
          <w:rFonts w:eastAsiaTheme="minorEastAsia"/>
          <w:color w:val="000000" w:themeColor="text1"/>
          <w:sz w:val="24"/>
        </w:rPr>
        <w:t>表4-9 危险度评价取值表</w:t>
      </w:r>
      <w:bookmarkEnd w:id="1627"/>
      <w:bookmarkEnd w:id="1628"/>
      <w:bookmarkEnd w:id="1629"/>
      <w:bookmarkEnd w:id="1630"/>
    </w:p>
    <w:tbl>
      <w:tblPr>
        <w:tblStyle w:val="52"/>
        <w:tblW w:w="88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0"/>
        <w:gridCol w:w="1951"/>
        <w:gridCol w:w="1885"/>
        <w:gridCol w:w="2205"/>
        <w:gridCol w:w="14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jc w:val="center"/>
        </w:trPr>
        <w:tc>
          <w:tcPr>
            <w:tcW w:w="1440" w:type="dxa"/>
            <w:vAlign w:val="center"/>
          </w:tcPr>
          <w:p>
            <w:pPr>
              <w:spacing w:line="280" w:lineRule="exact"/>
              <w:jc w:val="center"/>
              <w:rPr>
                <w:rFonts w:ascii="宋体" w:hAnsi="宋体" w:cs="宋体"/>
                <w:color w:val="000000" w:themeColor="text1"/>
                <w:szCs w:val="21"/>
              </w:rPr>
            </w:pPr>
            <w:r>
              <w:rPr>
                <w:rFonts w:hint="eastAsia" w:ascii="宋体" w:hAnsi="宋体" w:cs="宋体"/>
                <w:color w:val="000000" w:themeColor="text1"/>
                <w:szCs w:val="21"/>
              </w:rPr>
              <w:t>项目/分值</w:t>
            </w:r>
          </w:p>
        </w:tc>
        <w:tc>
          <w:tcPr>
            <w:tcW w:w="1951" w:type="dxa"/>
            <w:vAlign w:val="center"/>
          </w:tcPr>
          <w:p>
            <w:pPr>
              <w:spacing w:line="280" w:lineRule="exact"/>
              <w:jc w:val="center"/>
              <w:rPr>
                <w:rFonts w:ascii="宋体" w:hAnsi="宋体" w:cs="宋体"/>
                <w:color w:val="000000" w:themeColor="text1"/>
                <w:szCs w:val="21"/>
              </w:rPr>
            </w:pPr>
            <w:r>
              <w:rPr>
                <w:rFonts w:hint="eastAsia" w:ascii="宋体" w:hAnsi="宋体" w:cs="宋体"/>
                <w:color w:val="000000" w:themeColor="text1"/>
                <w:szCs w:val="21"/>
              </w:rPr>
              <w:t>A（10分）</w:t>
            </w:r>
          </w:p>
        </w:tc>
        <w:tc>
          <w:tcPr>
            <w:tcW w:w="1885" w:type="dxa"/>
            <w:vAlign w:val="center"/>
          </w:tcPr>
          <w:p>
            <w:pPr>
              <w:spacing w:line="280" w:lineRule="exact"/>
              <w:jc w:val="center"/>
              <w:rPr>
                <w:rFonts w:ascii="宋体" w:hAnsi="宋体" w:cs="宋体"/>
                <w:color w:val="000000" w:themeColor="text1"/>
                <w:szCs w:val="21"/>
              </w:rPr>
            </w:pPr>
            <w:r>
              <w:rPr>
                <w:rFonts w:hint="eastAsia" w:ascii="宋体" w:hAnsi="宋体" w:cs="宋体"/>
                <w:color w:val="000000" w:themeColor="text1"/>
                <w:szCs w:val="21"/>
              </w:rPr>
              <w:t>B（5分）</w:t>
            </w:r>
          </w:p>
        </w:tc>
        <w:tc>
          <w:tcPr>
            <w:tcW w:w="2205" w:type="dxa"/>
            <w:vAlign w:val="center"/>
          </w:tcPr>
          <w:p>
            <w:pPr>
              <w:spacing w:line="280" w:lineRule="exact"/>
              <w:jc w:val="center"/>
              <w:rPr>
                <w:rFonts w:ascii="宋体" w:hAnsi="宋体" w:cs="宋体"/>
                <w:color w:val="000000" w:themeColor="text1"/>
                <w:szCs w:val="21"/>
              </w:rPr>
            </w:pPr>
            <w:r>
              <w:rPr>
                <w:rFonts w:hint="eastAsia" w:ascii="宋体" w:hAnsi="宋体" w:cs="宋体"/>
                <w:color w:val="000000" w:themeColor="text1"/>
                <w:szCs w:val="21"/>
              </w:rPr>
              <w:t>C（2分）</w:t>
            </w:r>
          </w:p>
        </w:tc>
        <w:tc>
          <w:tcPr>
            <w:tcW w:w="1405" w:type="dxa"/>
            <w:vAlign w:val="center"/>
          </w:tcPr>
          <w:p>
            <w:pPr>
              <w:spacing w:line="280" w:lineRule="exact"/>
              <w:jc w:val="center"/>
              <w:rPr>
                <w:rFonts w:ascii="宋体" w:hAnsi="宋体" w:cs="宋体"/>
                <w:color w:val="000000" w:themeColor="text1"/>
                <w:szCs w:val="21"/>
              </w:rPr>
            </w:pPr>
            <w:r>
              <w:rPr>
                <w:rFonts w:hint="eastAsia" w:ascii="宋体" w:hAnsi="宋体" w:cs="宋体"/>
                <w:color w:val="000000" w:themeColor="text1"/>
                <w:szCs w:val="21"/>
              </w:rPr>
              <w:t>D（0分）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5" w:hRule="atLeast"/>
          <w:jc w:val="center"/>
        </w:trPr>
        <w:tc>
          <w:tcPr>
            <w:tcW w:w="1440" w:type="dxa"/>
          </w:tcPr>
          <w:p>
            <w:pPr>
              <w:spacing w:line="280" w:lineRule="exact"/>
              <w:rPr>
                <w:rFonts w:ascii="宋体" w:hAnsi="宋体" w:cs="宋体"/>
                <w:color w:val="000000" w:themeColor="text1"/>
                <w:szCs w:val="21"/>
              </w:rPr>
            </w:pPr>
            <w:r>
              <w:rPr>
                <w:rFonts w:hint="eastAsia" w:ascii="宋体" w:hAnsi="宋体" w:cs="宋体"/>
                <w:color w:val="000000" w:themeColor="text1"/>
                <w:szCs w:val="21"/>
              </w:rPr>
              <w:t>物质（系指单元中危险、有害程度最大之物质）。</w:t>
            </w:r>
          </w:p>
        </w:tc>
        <w:tc>
          <w:tcPr>
            <w:tcW w:w="1951" w:type="dxa"/>
            <w:vAlign w:val="center"/>
          </w:tcPr>
          <w:p>
            <w:pPr>
              <w:spacing w:line="280" w:lineRule="exact"/>
              <w:rPr>
                <w:rFonts w:ascii="宋体" w:hAnsi="宋体" w:cs="宋体"/>
                <w:color w:val="000000" w:themeColor="text1"/>
                <w:szCs w:val="21"/>
              </w:rPr>
            </w:pPr>
            <w:r>
              <w:rPr>
                <w:rFonts w:hint="eastAsia" w:ascii="宋体" w:hAnsi="宋体" w:cs="宋体"/>
                <w:color w:val="000000" w:themeColor="text1"/>
                <w:szCs w:val="21"/>
              </w:rPr>
              <w:t>⑴甲类可燃气体</w:t>
            </w:r>
            <w:r>
              <w:rPr>
                <w:rFonts w:hint="eastAsia" w:ascii="宋体" w:hAnsi="宋体" w:cs="宋体"/>
                <w:color w:val="000000" w:themeColor="text1"/>
                <w:szCs w:val="21"/>
                <w:vertAlign w:val="superscript"/>
              </w:rPr>
              <w:t>*1</w:t>
            </w:r>
            <w:r>
              <w:rPr>
                <w:rFonts w:hint="eastAsia" w:ascii="宋体" w:hAnsi="宋体" w:cs="宋体"/>
                <w:color w:val="000000" w:themeColor="text1"/>
                <w:szCs w:val="21"/>
              </w:rPr>
              <w:t>；</w:t>
            </w:r>
          </w:p>
          <w:p>
            <w:pPr>
              <w:spacing w:line="280" w:lineRule="exact"/>
              <w:rPr>
                <w:rFonts w:ascii="宋体" w:hAnsi="宋体" w:cs="宋体"/>
                <w:color w:val="000000" w:themeColor="text1"/>
                <w:szCs w:val="21"/>
              </w:rPr>
            </w:pPr>
            <w:r>
              <w:rPr>
                <w:rFonts w:hint="eastAsia" w:ascii="宋体" w:hAnsi="宋体" w:cs="宋体"/>
                <w:color w:val="000000" w:themeColor="text1"/>
                <w:szCs w:val="21"/>
              </w:rPr>
              <w:t>⑵</w:t>
            </w:r>
            <w:r>
              <w:rPr>
                <w:rFonts w:hint="eastAsia" w:ascii="宋体" w:hAnsi="宋体" w:cs="宋体"/>
                <w:color w:val="000000" w:themeColor="text1"/>
                <w:spacing w:val="-20"/>
                <w:szCs w:val="21"/>
              </w:rPr>
              <w:t>甲</w:t>
            </w:r>
            <w:r>
              <w:rPr>
                <w:rFonts w:hint="eastAsia" w:ascii="宋体" w:hAnsi="宋体" w:cs="宋体"/>
                <w:color w:val="000000" w:themeColor="text1"/>
                <w:spacing w:val="-20"/>
                <w:szCs w:val="21"/>
                <w:vertAlign w:val="subscript"/>
              </w:rPr>
              <w:t>A</w:t>
            </w:r>
            <w:r>
              <w:rPr>
                <w:rFonts w:hint="eastAsia" w:ascii="宋体" w:hAnsi="宋体" w:cs="宋体"/>
                <w:color w:val="000000" w:themeColor="text1"/>
                <w:szCs w:val="21"/>
              </w:rPr>
              <w:t>类物质及液态烃类；</w:t>
            </w:r>
          </w:p>
          <w:p>
            <w:pPr>
              <w:spacing w:line="280" w:lineRule="exact"/>
              <w:rPr>
                <w:rFonts w:ascii="宋体" w:hAnsi="宋体" w:cs="宋体"/>
                <w:color w:val="000000" w:themeColor="text1"/>
                <w:szCs w:val="21"/>
              </w:rPr>
            </w:pPr>
            <w:r>
              <w:rPr>
                <w:rFonts w:hint="eastAsia" w:ascii="宋体" w:hAnsi="宋体" w:cs="宋体"/>
                <w:color w:val="000000" w:themeColor="text1"/>
                <w:szCs w:val="21"/>
              </w:rPr>
              <w:t>⑶甲类固体；</w:t>
            </w:r>
          </w:p>
          <w:p>
            <w:pPr>
              <w:spacing w:line="280" w:lineRule="exact"/>
              <w:rPr>
                <w:rFonts w:ascii="宋体" w:hAnsi="宋体" w:cs="宋体"/>
                <w:color w:val="000000" w:themeColor="text1"/>
                <w:szCs w:val="21"/>
              </w:rPr>
            </w:pPr>
            <w:r>
              <w:rPr>
                <w:rFonts w:hint="eastAsia" w:ascii="宋体" w:hAnsi="宋体" w:cs="宋体"/>
                <w:color w:val="000000" w:themeColor="text1"/>
                <w:szCs w:val="21"/>
              </w:rPr>
              <w:t>⑷极度危害介质</w:t>
            </w:r>
            <w:r>
              <w:rPr>
                <w:rFonts w:hint="eastAsia" w:ascii="宋体" w:hAnsi="宋体" w:cs="宋体"/>
                <w:color w:val="000000" w:themeColor="text1"/>
                <w:szCs w:val="21"/>
                <w:vertAlign w:val="superscript"/>
              </w:rPr>
              <w:t>*2</w:t>
            </w:r>
          </w:p>
        </w:tc>
        <w:tc>
          <w:tcPr>
            <w:tcW w:w="1885" w:type="dxa"/>
            <w:vAlign w:val="center"/>
          </w:tcPr>
          <w:p>
            <w:pPr>
              <w:spacing w:line="280" w:lineRule="exact"/>
              <w:rPr>
                <w:rFonts w:ascii="宋体" w:hAnsi="宋体" w:cs="宋体"/>
                <w:color w:val="000000" w:themeColor="text1"/>
                <w:szCs w:val="21"/>
              </w:rPr>
            </w:pPr>
            <w:r>
              <w:rPr>
                <w:rFonts w:hint="eastAsia" w:ascii="宋体" w:hAnsi="宋体" w:cs="宋体"/>
                <w:color w:val="000000" w:themeColor="text1"/>
                <w:szCs w:val="21"/>
              </w:rPr>
              <w:t>⑴乙类可燃气体；</w:t>
            </w:r>
          </w:p>
          <w:p>
            <w:pPr>
              <w:spacing w:line="280" w:lineRule="exact"/>
              <w:rPr>
                <w:rFonts w:ascii="宋体" w:hAnsi="宋体" w:cs="宋体"/>
                <w:color w:val="000000" w:themeColor="text1"/>
                <w:szCs w:val="21"/>
              </w:rPr>
            </w:pPr>
            <w:r>
              <w:rPr>
                <w:rFonts w:hint="eastAsia" w:ascii="宋体" w:hAnsi="宋体" w:cs="宋体"/>
                <w:color w:val="000000" w:themeColor="text1"/>
                <w:szCs w:val="21"/>
              </w:rPr>
              <w:t>⑵</w:t>
            </w:r>
            <w:r>
              <w:rPr>
                <w:rFonts w:hint="eastAsia" w:ascii="宋体" w:hAnsi="宋体" w:cs="宋体"/>
                <w:color w:val="000000" w:themeColor="text1"/>
                <w:spacing w:val="-20"/>
                <w:szCs w:val="21"/>
              </w:rPr>
              <w:t>甲</w:t>
            </w:r>
            <w:r>
              <w:rPr>
                <w:rFonts w:hint="eastAsia" w:ascii="宋体" w:hAnsi="宋体" w:cs="宋体"/>
                <w:color w:val="000000" w:themeColor="text1"/>
                <w:spacing w:val="-20"/>
                <w:szCs w:val="21"/>
                <w:vertAlign w:val="subscript"/>
              </w:rPr>
              <w:t>B</w:t>
            </w:r>
            <w:r>
              <w:rPr>
                <w:rFonts w:hint="eastAsia" w:ascii="宋体" w:hAnsi="宋体" w:cs="宋体"/>
                <w:color w:val="000000" w:themeColor="text1"/>
                <w:szCs w:val="21"/>
              </w:rPr>
              <w:t>、</w:t>
            </w:r>
            <w:r>
              <w:rPr>
                <w:rFonts w:hint="eastAsia" w:ascii="宋体" w:hAnsi="宋体" w:cs="宋体"/>
                <w:color w:val="000000" w:themeColor="text1"/>
                <w:spacing w:val="-20"/>
                <w:szCs w:val="21"/>
              </w:rPr>
              <w:t>乙</w:t>
            </w:r>
            <w:r>
              <w:rPr>
                <w:rFonts w:hint="eastAsia" w:ascii="宋体" w:hAnsi="宋体" w:cs="宋体"/>
                <w:color w:val="000000" w:themeColor="text1"/>
                <w:spacing w:val="-20"/>
                <w:szCs w:val="21"/>
                <w:vertAlign w:val="subscript"/>
              </w:rPr>
              <w:t>A</w:t>
            </w:r>
            <w:r>
              <w:rPr>
                <w:rFonts w:hint="eastAsia" w:ascii="宋体" w:hAnsi="宋体" w:cs="宋体"/>
                <w:color w:val="000000" w:themeColor="text1"/>
                <w:szCs w:val="21"/>
              </w:rPr>
              <w:t>类可燃液体；</w:t>
            </w:r>
          </w:p>
          <w:p>
            <w:pPr>
              <w:spacing w:line="280" w:lineRule="exact"/>
              <w:rPr>
                <w:rFonts w:ascii="宋体" w:hAnsi="宋体" w:cs="宋体"/>
                <w:color w:val="000000" w:themeColor="text1"/>
                <w:szCs w:val="21"/>
              </w:rPr>
            </w:pPr>
            <w:r>
              <w:rPr>
                <w:rFonts w:hint="eastAsia" w:ascii="宋体" w:hAnsi="宋体" w:cs="宋体"/>
                <w:color w:val="000000" w:themeColor="text1"/>
                <w:szCs w:val="21"/>
              </w:rPr>
              <w:t>⑶乙类固体；</w:t>
            </w:r>
          </w:p>
          <w:p>
            <w:pPr>
              <w:spacing w:line="280" w:lineRule="exact"/>
              <w:rPr>
                <w:rFonts w:ascii="宋体" w:hAnsi="宋体" w:cs="宋体"/>
                <w:color w:val="000000" w:themeColor="text1"/>
                <w:szCs w:val="21"/>
              </w:rPr>
            </w:pPr>
            <w:r>
              <w:rPr>
                <w:rFonts w:hint="eastAsia" w:ascii="宋体" w:hAnsi="宋体" w:cs="宋体"/>
                <w:color w:val="000000" w:themeColor="text1"/>
                <w:szCs w:val="21"/>
              </w:rPr>
              <w:t>⑷高度危害介质</w:t>
            </w:r>
          </w:p>
        </w:tc>
        <w:tc>
          <w:tcPr>
            <w:tcW w:w="2205" w:type="dxa"/>
            <w:vAlign w:val="center"/>
          </w:tcPr>
          <w:p>
            <w:pPr>
              <w:spacing w:line="280" w:lineRule="exact"/>
              <w:rPr>
                <w:rFonts w:ascii="宋体" w:hAnsi="宋体" w:cs="宋体"/>
                <w:color w:val="000000" w:themeColor="text1"/>
                <w:szCs w:val="21"/>
              </w:rPr>
            </w:pPr>
            <w:r>
              <w:rPr>
                <w:rFonts w:hint="eastAsia" w:ascii="宋体" w:hAnsi="宋体" w:cs="宋体"/>
                <w:color w:val="000000" w:themeColor="text1"/>
                <w:szCs w:val="21"/>
              </w:rPr>
              <w:t>⑴</w:t>
            </w:r>
            <w:r>
              <w:rPr>
                <w:rFonts w:hint="eastAsia" w:ascii="宋体" w:hAnsi="宋体" w:cs="宋体"/>
                <w:color w:val="000000" w:themeColor="text1"/>
                <w:spacing w:val="-20"/>
                <w:szCs w:val="21"/>
              </w:rPr>
              <w:t>乙</w:t>
            </w:r>
            <w:r>
              <w:rPr>
                <w:rFonts w:hint="eastAsia" w:ascii="宋体" w:hAnsi="宋体" w:cs="宋体"/>
                <w:color w:val="000000" w:themeColor="text1"/>
                <w:spacing w:val="-20"/>
                <w:szCs w:val="21"/>
                <w:vertAlign w:val="subscript"/>
              </w:rPr>
              <w:t>B</w:t>
            </w:r>
            <w:r>
              <w:rPr>
                <w:rFonts w:hint="eastAsia" w:ascii="宋体" w:hAnsi="宋体" w:cs="宋体"/>
                <w:color w:val="000000" w:themeColor="text1"/>
                <w:szCs w:val="21"/>
              </w:rPr>
              <w:t>、丙</w:t>
            </w:r>
            <w:r>
              <w:rPr>
                <w:rFonts w:hint="eastAsia" w:ascii="宋体" w:hAnsi="宋体" w:cs="宋体"/>
                <w:color w:val="000000" w:themeColor="text1"/>
                <w:szCs w:val="21"/>
                <w:vertAlign w:val="subscript"/>
              </w:rPr>
              <w:t>A</w:t>
            </w:r>
            <w:r>
              <w:rPr>
                <w:rFonts w:hint="eastAsia" w:ascii="宋体" w:hAnsi="宋体" w:cs="宋体"/>
                <w:color w:val="000000" w:themeColor="text1"/>
                <w:szCs w:val="21"/>
              </w:rPr>
              <w:t>、丙</w:t>
            </w:r>
            <w:r>
              <w:rPr>
                <w:rFonts w:hint="eastAsia" w:ascii="宋体" w:hAnsi="宋体" w:cs="宋体"/>
                <w:color w:val="000000" w:themeColor="text1"/>
                <w:szCs w:val="21"/>
                <w:vertAlign w:val="subscript"/>
              </w:rPr>
              <w:t>B</w:t>
            </w:r>
            <w:r>
              <w:rPr>
                <w:rFonts w:hint="eastAsia" w:ascii="宋体" w:hAnsi="宋体" w:cs="宋体"/>
                <w:color w:val="000000" w:themeColor="text1"/>
                <w:szCs w:val="21"/>
              </w:rPr>
              <w:t xml:space="preserve"> 类可燃液体；</w:t>
            </w:r>
          </w:p>
          <w:p>
            <w:pPr>
              <w:spacing w:line="280" w:lineRule="exact"/>
              <w:rPr>
                <w:rFonts w:ascii="宋体" w:hAnsi="宋体" w:cs="宋体"/>
                <w:color w:val="000000" w:themeColor="text1"/>
                <w:szCs w:val="21"/>
              </w:rPr>
            </w:pPr>
            <w:r>
              <w:rPr>
                <w:rFonts w:hint="eastAsia" w:ascii="宋体" w:hAnsi="宋体" w:cs="宋体"/>
                <w:color w:val="000000" w:themeColor="text1"/>
                <w:szCs w:val="21"/>
              </w:rPr>
              <w:t>⑵丙类固体；</w:t>
            </w:r>
          </w:p>
          <w:p>
            <w:pPr>
              <w:spacing w:line="280" w:lineRule="exact"/>
              <w:rPr>
                <w:rFonts w:ascii="宋体" w:hAnsi="宋体" w:cs="宋体"/>
                <w:color w:val="000000" w:themeColor="text1"/>
                <w:szCs w:val="21"/>
              </w:rPr>
            </w:pPr>
            <w:r>
              <w:rPr>
                <w:rFonts w:hint="eastAsia" w:ascii="宋体" w:hAnsi="宋体" w:cs="宋体"/>
                <w:color w:val="000000" w:themeColor="text1"/>
                <w:szCs w:val="21"/>
              </w:rPr>
              <w:t>⑶中、轻度危害介质。</w:t>
            </w:r>
          </w:p>
        </w:tc>
        <w:tc>
          <w:tcPr>
            <w:tcW w:w="1405" w:type="dxa"/>
            <w:vAlign w:val="center"/>
          </w:tcPr>
          <w:p>
            <w:pPr>
              <w:spacing w:line="280" w:lineRule="exact"/>
              <w:rPr>
                <w:rFonts w:ascii="宋体" w:hAnsi="宋体" w:cs="宋体"/>
                <w:color w:val="000000" w:themeColor="text1"/>
                <w:szCs w:val="21"/>
              </w:rPr>
            </w:pPr>
            <w:r>
              <w:rPr>
                <w:rFonts w:hint="eastAsia" w:ascii="宋体" w:hAnsi="宋体" w:cs="宋体"/>
                <w:color w:val="000000" w:themeColor="text1"/>
                <w:szCs w:val="21"/>
              </w:rPr>
              <w:t>不属左述之A、B、C项之物质。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jc w:val="center"/>
        </w:trPr>
        <w:tc>
          <w:tcPr>
            <w:tcW w:w="1440" w:type="dxa"/>
            <w:vAlign w:val="center"/>
          </w:tcPr>
          <w:p>
            <w:pPr>
              <w:spacing w:line="280" w:lineRule="exact"/>
              <w:jc w:val="center"/>
              <w:rPr>
                <w:rFonts w:ascii="宋体" w:hAnsi="宋体" w:cs="宋体"/>
                <w:color w:val="000000" w:themeColor="text1"/>
                <w:szCs w:val="21"/>
              </w:rPr>
            </w:pPr>
            <w:r>
              <w:rPr>
                <w:rFonts w:hint="eastAsia" w:ascii="宋体" w:hAnsi="宋体" w:cs="宋体"/>
                <w:color w:val="000000" w:themeColor="text1"/>
                <w:szCs w:val="21"/>
              </w:rPr>
              <w:t>容量</w:t>
            </w:r>
            <w:r>
              <w:rPr>
                <w:rFonts w:hint="eastAsia" w:ascii="宋体" w:hAnsi="宋体" w:cs="宋体"/>
                <w:color w:val="000000" w:themeColor="text1"/>
                <w:szCs w:val="21"/>
                <w:vertAlign w:val="superscript"/>
              </w:rPr>
              <w:t>*3</w:t>
            </w:r>
          </w:p>
        </w:tc>
        <w:tc>
          <w:tcPr>
            <w:tcW w:w="1951" w:type="dxa"/>
            <w:vAlign w:val="center"/>
          </w:tcPr>
          <w:p>
            <w:pPr>
              <w:spacing w:line="280" w:lineRule="exact"/>
              <w:rPr>
                <w:rFonts w:ascii="宋体" w:hAnsi="宋体" w:cs="宋体"/>
                <w:color w:val="000000" w:themeColor="text1"/>
                <w:szCs w:val="21"/>
              </w:rPr>
            </w:pPr>
            <w:r>
              <w:rPr>
                <w:rFonts w:hint="eastAsia" w:ascii="宋体" w:hAnsi="宋体" w:cs="宋体"/>
                <w:color w:val="000000" w:themeColor="text1"/>
                <w:szCs w:val="21"/>
              </w:rPr>
              <w:t>⑴气体1000m</w:t>
            </w:r>
            <w:r>
              <w:rPr>
                <w:rFonts w:hint="eastAsia" w:ascii="宋体" w:hAnsi="宋体" w:cs="宋体"/>
                <w:color w:val="000000" w:themeColor="text1"/>
                <w:szCs w:val="21"/>
                <w:vertAlign w:val="superscript"/>
              </w:rPr>
              <w:t>3</w:t>
            </w:r>
            <w:r>
              <w:rPr>
                <w:rFonts w:hint="eastAsia" w:ascii="宋体" w:hAnsi="宋体" w:cs="宋体"/>
                <w:color w:val="000000" w:themeColor="text1"/>
                <w:szCs w:val="21"/>
              </w:rPr>
              <w:t>以上；</w:t>
            </w:r>
          </w:p>
          <w:p>
            <w:pPr>
              <w:spacing w:line="280" w:lineRule="exact"/>
              <w:rPr>
                <w:rFonts w:ascii="宋体" w:hAnsi="宋体" w:cs="宋体"/>
                <w:color w:val="000000" w:themeColor="text1"/>
                <w:szCs w:val="21"/>
              </w:rPr>
            </w:pPr>
            <w:r>
              <w:rPr>
                <w:rFonts w:hint="eastAsia" w:ascii="宋体" w:hAnsi="宋体" w:cs="宋体"/>
                <w:color w:val="000000" w:themeColor="text1"/>
                <w:szCs w:val="21"/>
              </w:rPr>
              <w:t>⑵液体100m</w:t>
            </w:r>
            <w:r>
              <w:rPr>
                <w:rFonts w:hint="eastAsia" w:ascii="宋体" w:hAnsi="宋体" w:cs="宋体"/>
                <w:color w:val="000000" w:themeColor="text1"/>
                <w:szCs w:val="21"/>
                <w:vertAlign w:val="superscript"/>
              </w:rPr>
              <w:t>3</w:t>
            </w:r>
            <w:r>
              <w:rPr>
                <w:rFonts w:hint="eastAsia" w:ascii="宋体" w:hAnsi="宋体" w:cs="宋体"/>
                <w:color w:val="000000" w:themeColor="text1"/>
                <w:szCs w:val="21"/>
              </w:rPr>
              <w:t>以上</w:t>
            </w:r>
          </w:p>
        </w:tc>
        <w:tc>
          <w:tcPr>
            <w:tcW w:w="1885" w:type="dxa"/>
            <w:vAlign w:val="center"/>
          </w:tcPr>
          <w:p>
            <w:pPr>
              <w:spacing w:line="280" w:lineRule="exact"/>
              <w:rPr>
                <w:rFonts w:ascii="宋体" w:hAnsi="宋体" w:cs="宋体"/>
                <w:color w:val="000000" w:themeColor="text1"/>
                <w:szCs w:val="21"/>
              </w:rPr>
            </w:pPr>
            <w:r>
              <w:rPr>
                <w:rFonts w:hint="eastAsia" w:ascii="宋体" w:hAnsi="宋体" w:cs="宋体"/>
                <w:color w:val="000000" w:themeColor="text1"/>
                <w:szCs w:val="21"/>
              </w:rPr>
              <w:t>⑴气体500m</w:t>
            </w:r>
            <w:r>
              <w:rPr>
                <w:rFonts w:hint="eastAsia" w:ascii="宋体" w:hAnsi="宋体" w:cs="宋体"/>
                <w:color w:val="000000" w:themeColor="text1"/>
                <w:szCs w:val="21"/>
                <w:vertAlign w:val="superscript"/>
              </w:rPr>
              <w:t>3</w:t>
            </w:r>
            <w:r>
              <w:rPr>
                <w:rFonts w:hint="eastAsia" w:ascii="宋体" w:hAnsi="宋体" w:cs="宋体"/>
                <w:color w:val="000000" w:themeColor="text1"/>
                <w:szCs w:val="21"/>
              </w:rPr>
              <w:t>～1000m</w:t>
            </w:r>
            <w:r>
              <w:rPr>
                <w:rFonts w:hint="eastAsia" w:ascii="宋体" w:hAnsi="宋体" w:cs="宋体"/>
                <w:color w:val="000000" w:themeColor="text1"/>
                <w:szCs w:val="21"/>
                <w:vertAlign w:val="superscript"/>
              </w:rPr>
              <w:t>3</w:t>
            </w:r>
            <w:r>
              <w:rPr>
                <w:rFonts w:hint="eastAsia" w:ascii="宋体" w:hAnsi="宋体" w:cs="宋体"/>
                <w:color w:val="000000" w:themeColor="text1"/>
                <w:szCs w:val="21"/>
              </w:rPr>
              <w:t>；</w:t>
            </w:r>
          </w:p>
          <w:p>
            <w:pPr>
              <w:spacing w:line="280" w:lineRule="exact"/>
              <w:rPr>
                <w:rFonts w:ascii="宋体" w:hAnsi="宋体" w:cs="宋体"/>
                <w:color w:val="000000" w:themeColor="text1"/>
                <w:szCs w:val="21"/>
              </w:rPr>
            </w:pPr>
            <w:r>
              <w:rPr>
                <w:rFonts w:hint="eastAsia" w:ascii="宋体" w:hAnsi="宋体" w:cs="宋体"/>
                <w:color w:val="000000" w:themeColor="text1"/>
                <w:szCs w:val="21"/>
              </w:rPr>
              <w:t>⑵液体50m</w:t>
            </w:r>
            <w:r>
              <w:rPr>
                <w:rFonts w:hint="eastAsia" w:ascii="宋体" w:hAnsi="宋体" w:cs="宋体"/>
                <w:color w:val="000000" w:themeColor="text1"/>
                <w:szCs w:val="21"/>
                <w:vertAlign w:val="superscript"/>
              </w:rPr>
              <w:t>3</w:t>
            </w:r>
            <w:r>
              <w:rPr>
                <w:rFonts w:hint="eastAsia" w:ascii="宋体" w:hAnsi="宋体" w:cs="宋体"/>
                <w:color w:val="000000" w:themeColor="text1"/>
                <w:szCs w:val="21"/>
              </w:rPr>
              <w:t>～100m</w:t>
            </w:r>
            <w:r>
              <w:rPr>
                <w:rFonts w:hint="eastAsia" w:ascii="宋体" w:hAnsi="宋体" w:cs="宋体"/>
                <w:color w:val="000000" w:themeColor="text1"/>
                <w:szCs w:val="21"/>
                <w:vertAlign w:val="superscript"/>
              </w:rPr>
              <w:t>3</w:t>
            </w:r>
          </w:p>
        </w:tc>
        <w:tc>
          <w:tcPr>
            <w:tcW w:w="2205" w:type="dxa"/>
            <w:vAlign w:val="center"/>
          </w:tcPr>
          <w:p>
            <w:pPr>
              <w:spacing w:line="280" w:lineRule="exact"/>
              <w:rPr>
                <w:rFonts w:ascii="宋体" w:hAnsi="宋体" w:cs="宋体"/>
                <w:color w:val="000000" w:themeColor="text1"/>
                <w:szCs w:val="21"/>
              </w:rPr>
            </w:pPr>
            <w:r>
              <w:rPr>
                <w:rFonts w:hint="eastAsia" w:ascii="宋体" w:hAnsi="宋体" w:cs="宋体"/>
                <w:color w:val="000000" w:themeColor="text1"/>
                <w:szCs w:val="21"/>
              </w:rPr>
              <w:t>⑴气体100m</w:t>
            </w:r>
            <w:r>
              <w:rPr>
                <w:rFonts w:hint="eastAsia" w:ascii="宋体" w:hAnsi="宋体" w:cs="宋体"/>
                <w:color w:val="000000" w:themeColor="text1"/>
                <w:szCs w:val="21"/>
                <w:vertAlign w:val="superscript"/>
              </w:rPr>
              <w:t>3</w:t>
            </w:r>
            <w:r>
              <w:rPr>
                <w:rFonts w:hint="eastAsia" w:ascii="宋体" w:hAnsi="宋体" w:cs="宋体"/>
                <w:color w:val="000000" w:themeColor="text1"/>
                <w:szCs w:val="21"/>
              </w:rPr>
              <w:t>～500m</w:t>
            </w:r>
            <w:r>
              <w:rPr>
                <w:rFonts w:hint="eastAsia" w:ascii="宋体" w:hAnsi="宋体" w:cs="宋体"/>
                <w:color w:val="000000" w:themeColor="text1"/>
                <w:szCs w:val="21"/>
                <w:vertAlign w:val="superscript"/>
              </w:rPr>
              <w:t>3</w:t>
            </w:r>
            <w:r>
              <w:rPr>
                <w:rFonts w:hint="eastAsia" w:ascii="宋体" w:hAnsi="宋体" w:cs="宋体"/>
                <w:color w:val="000000" w:themeColor="text1"/>
                <w:szCs w:val="21"/>
              </w:rPr>
              <w:t>；</w:t>
            </w:r>
          </w:p>
          <w:p>
            <w:pPr>
              <w:spacing w:line="280" w:lineRule="exact"/>
              <w:rPr>
                <w:rFonts w:ascii="宋体" w:hAnsi="宋体" w:cs="宋体"/>
                <w:color w:val="000000" w:themeColor="text1"/>
                <w:szCs w:val="21"/>
              </w:rPr>
            </w:pPr>
            <w:r>
              <w:rPr>
                <w:rFonts w:hint="eastAsia" w:ascii="宋体" w:hAnsi="宋体" w:cs="宋体"/>
                <w:color w:val="000000" w:themeColor="text1"/>
                <w:szCs w:val="21"/>
              </w:rPr>
              <w:t>⑵液体10m</w:t>
            </w:r>
            <w:r>
              <w:rPr>
                <w:rFonts w:hint="eastAsia" w:ascii="宋体" w:hAnsi="宋体" w:cs="宋体"/>
                <w:color w:val="000000" w:themeColor="text1"/>
                <w:szCs w:val="21"/>
                <w:vertAlign w:val="superscript"/>
              </w:rPr>
              <w:t>3</w:t>
            </w:r>
            <w:r>
              <w:rPr>
                <w:rFonts w:hint="eastAsia" w:ascii="宋体" w:hAnsi="宋体" w:cs="宋体"/>
                <w:color w:val="000000" w:themeColor="text1"/>
                <w:szCs w:val="21"/>
              </w:rPr>
              <w:t>～50m</w:t>
            </w:r>
            <w:r>
              <w:rPr>
                <w:rFonts w:hint="eastAsia" w:ascii="宋体" w:hAnsi="宋体" w:cs="宋体"/>
                <w:color w:val="000000" w:themeColor="text1"/>
                <w:szCs w:val="21"/>
                <w:vertAlign w:val="superscript"/>
              </w:rPr>
              <w:t>3</w:t>
            </w:r>
          </w:p>
        </w:tc>
        <w:tc>
          <w:tcPr>
            <w:tcW w:w="1405" w:type="dxa"/>
            <w:vAlign w:val="center"/>
          </w:tcPr>
          <w:p>
            <w:pPr>
              <w:spacing w:line="280" w:lineRule="exact"/>
              <w:rPr>
                <w:rFonts w:ascii="宋体" w:hAnsi="宋体" w:cs="宋体"/>
                <w:color w:val="000000" w:themeColor="text1"/>
                <w:szCs w:val="21"/>
              </w:rPr>
            </w:pPr>
            <w:r>
              <w:rPr>
                <w:rFonts w:hint="eastAsia" w:ascii="宋体" w:hAnsi="宋体" w:cs="宋体"/>
                <w:color w:val="000000" w:themeColor="text1"/>
                <w:szCs w:val="21"/>
              </w:rPr>
              <w:t>⑴气体＜100m</w:t>
            </w:r>
            <w:r>
              <w:rPr>
                <w:rFonts w:hint="eastAsia" w:ascii="宋体" w:hAnsi="宋体" w:cs="宋体"/>
                <w:color w:val="000000" w:themeColor="text1"/>
                <w:szCs w:val="21"/>
                <w:vertAlign w:val="superscript"/>
              </w:rPr>
              <w:t>3</w:t>
            </w:r>
          </w:p>
          <w:p>
            <w:pPr>
              <w:spacing w:line="280" w:lineRule="exact"/>
              <w:rPr>
                <w:rFonts w:ascii="宋体" w:hAnsi="宋体" w:cs="宋体"/>
                <w:color w:val="000000" w:themeColor="text1"/>
                <w:szCs w:val="21"/>
              </w:rPr>
            </w:pPr>
            <w:r>
              <w:rPr>
                <w:rFonts w:hint="eastAsia" w:ascii="宋体" w:hAnsi="宋体" w:cs="宋体"/>
                <w:color w:val="000000" w:themeColor="text1"/>
                <w:szCs w:val="21"/>
              </w:rPr>
              <w:t>⑵液体＜10m</w:t>
            </w:r>
            <w:r>
              <w:rPr>
                <w:rFonts w:hint="eastAsia" w:ascii="宋体" w:hAnsi="宋体" w:cs="宋体"/>
                <w:color w:val="000000" w:themeColor="text1"/>
                <w:szCs w:val="21"/>
                <w:vertAlign w:val="superscript"/>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2" w:hRule="atLeast"/>
          <w:jc w:val="center"/>
        </w:trPr>
        <w:tc>
          <w:tcPr>
            <w:tcW w:w="1440" w:type="dxa"/>
            <w:vAlign w:val="center"/>
          </w:tcPr>
          <w:p>
            <w:pPr>
              <w:spacing w:line="280" w:lineRule="exact"/>
              <w:jc w:val="center"/>
              <w:rPr>
                <w:rFonts w:ascii="宋体" w:hAnsi="宋体" w:cs="宋体"/>
                <w:color w:val="000000" w:themeColor="text1"/>
                <w:szCs w:val="21"/>
              </w:rPr>
            </w:pPr>
            <w:r>
              <w:rPr>
                <w:rFonts w:hint="eastAsia" w:ascii="宋体" w:hAnsi="宋体" w:cs="宋体"/>
                <w:color w:val="000000" w:themeColor="text1"/>
                <w:szCs w:val="21"/>
              </w:rPr>
              <w:t>温度</w:t>
            </w:r>
          </w:p>
        </w:tc>
        <w:tc>
          <w:tcPr>
            <w:tcW w:w="1951" w:type="dxa"/>
            <w:vAlign w:val="center"/>
          </w:tcPr>
          <w:p>
            <w:pPr>
              <w:spacing w:line="280" w:lineRule="exact"/>
              <w:rPr>
                <w:rFonts w:ascii="宋体" w:hAnsi="宋体" w:cs="宋体"/>
                <w:color w:val="000000" w:themeColor="text1"/>
                <w:szCs w:val="21"/>
              </w:rPr>
            </w:pPr>
            <w:r>
              <w:rPr>
                <w:rFonts w:hint="eastAsia" w:ascii="宋体" w:hAnsi="宋体" w:cs="宋体"/>
                <w:color w:val="000000" w:themeColor="text1"/>
                <w:szCs w:val="21"/>
              </w:rPr>
              <w:t>1000℃以上使用，其操作温度在燃点以上。</w:t>
            </w:r>
          </w:p>
        </w:tc>
        <w:tc>
          <w:tcPr>
            <w:tcW w:w="1885" w:type="dxa"/>
            <w:vAlign w:val="center"/>
          </w:tcPr>
          <w:p>
            <w:pPr>
              <w:spacing w:line="280" w:lineRule="exact"/>
              <w:rPr>
                <w:rFonts w:ascii="宋体" w:hAnsi="宋体" w:cs="宋体"/>
                <w:color w:val="000000" w:themeColor="text1"/>
                <w:szCs w:val="21"/>
              </w:rPr>
            </w:pPr>
            <w:r>
              <w:rPr>
                <w:rFonts w:hint="eastAsia" w:ascii="宋体" w:hAnsi="宋体" w:cs="宋体"/>
                <w:color w:val="000000" w:themeColor="text1"/>
                <w:szCs w:val="21"/>
              </w:rPr>
              <w:t>⑴1000℃以上使用,但操作温度在燃点以下；</w:t>
            </w:r>
          </w:p>
          <w:p>
            <w:pPr>
              <w:spacing w:line="280" w:lineRule="exact"/>
              <w:rPr>
                <w:rFonts w:ascii="宋体" w:hAnsi="宋体" w:cs="宋体"/>
                <w:color w:val="000000" w:themeColor="text1"/>
                <w:szCs w:val="21"/>
              </w:rPr>
            </w:pPr>
            <w:r>
              <w:rPr>
                <w:rFonts w:hint="eastAsia" w:ascii="宋体" w:hAnsi="宋体" w:cs="宋体"/>
                <w:color w:val="000000" w:themeColor="text1"/>
                <w:szCs w:val="21"/>
              </w:rPr>
              <w:t>⑵在250℃～1000℃使用,其操作温度在燃点以上。</w:t>
            </w:r>
          </w:p>
        </w:tc>
        <w:tc>
          <w:tcPr>
            <w:tcW w:w="2205" w:type="dxa"/>
            <w:vAlign w:val="center"/>
          </w:tcPr>
          <w:p>
            <w:pPr>
              <w:spacing w:line="280" w:lineRule="exact"/>
              <w:rPr>
                <w:rFonts w:ascii="宋体" w:hAnsi="宋体" w:cs="宋体"/>
                <w:color w:val="000000" w:themeColor="text1"/>
                <w:szCs w:val="21"/>
              </w:rPr>
            </w:pPr>
            <w:r>
              <w:rPr>
                <w:rFonts w:hint="eastAsia" w:ascii="宋体" w:hAnsi="宋体" w:cs="宋体"/>
                <w:color w:val="000000" w:themeColor="text1"/>
                <w:szCs w:val="21"/>
              </w:rPr>
              <w:t>⑴在250℃～1000℃使用，但操作温度在燃点以下；</w:t>
            </w:r>
            <w:r>
              <w:rPr>
                <w:rFonts w:hint="eastAsia" w:ascii="宋体" w:hAnsi="宋体" w:cs="宋体"/>
                <w:color w:val="000000" w:themeColor="text1"/>
                <w:szCs w:val="21"/>
              </w:rPr>
              <w:cr/>
            </w:r>
            <w:r>
              <w:rPr>
                <w:rFonts w:hint="eastAsia" w:ascii="宋体" w:hAnsi="宋体" w:cs="宋体"/>
                <w:color w:val="000000" w:themeColor="text1"/>
                <w:szCs w:val="21"/>
              </w:rPr>
              <w:t>⑵在低于250℃时使用，操作温度在燃点以上。</w:t>
            </w:r>
          </w:p>
        </w:tc>
        <w:tc>
          <w:tcPr>
            <w:tcW w:w="1405" w:type="dxa"/>
            <w:vAlign w:val="center"/>
          </w:tcPr>
          <w:p>
            <w:pPr>
              <w:spacing w:line="280" w:lineRule="exact"/>
              <w:rPr>
                <w:rFonts w:ascii="宋体" w:hAnsi="宋体" w:cs="宋体"/>
                <w:color w:val="000000" w:themeColor="text1"/>
                <w:szCs w:val="21"/>
              </w:rPr>
            </w:pPr>
            <w:r>
              <w:rPr>
                <w:rFonts w:hint="eastAsia" w:ascii="宋体" w:hAnsi="宋体" w:cs="宋体"/>
                <w:color w:val="000000" w:themeColor="text1"/>
                <w:szCs w:val="21"/>
              </w:rPr>
              <w:t>在低于250℃时使用，操作温度在燃点以下。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1440" w:type="dxa"/>
            <w:vAlign w:val="center"/>
          </w:tcPr>
          <w:p>
            <w:pPr>
              <w:spacing w:line="280" w:lineRule="exact"/>
              <w:jc w:val="center"/>
              <w:rPr>
                <w:rFonts w:ascii="宋体" w:hAnsi="宋体" w:cs="宋体"/>
                <w:color w:val="000000" w:themeColor="text1"/>
                <w:szCs w:val="21"/>
              </w:rPr>
            </w:pPr>
            <w:r>
              <w:rPr>
                <w:rFonts w:hint="eastAsia" w:ascii="宋体" w:hAnsi="宋体" w:cs="宋体"/>
                <w:color w:val="000000" w:themeColor="text1"/>
                <w:szCs w:val="21"/>
              </w:rPr>
              <w:t>压力</w:t>
            </w:r>
          </w:p>
        </w:tc>
        <w:tc>
          <w:tcPr>
            <w:tcW w:w="1951" w:type="dxa"/>
            <w:vAlign w:val="center"/>
          </w:tcPr>
          <w:p>
            <w:pPr>
              <w:spacing w:line="280" w:lineRule="exact"/>
              <w:jc w:val="center"/>
              <w:rPr>
                <w:rFonts w:ascii="宋体" w:hAnsi="宋体" w:cs="宋体"/>
                <w:color w:val="000000" w:themeColor="text1"/>
                <w:szCs w:val="21"/>
              </w:rPr>
            </w:pPr>
            <w:r>
              <w:rPr>
                <w:rFonts w:hint="eastAsia" w:ascii="宋体" w:hAnsi="宋体" w:cs="宋体"/>
                <w:color w:val="000000" w:themeColor="text1"/>
                <w:szCs w:val="21"/>
              </w:rPr>
              <w:t>100MPa</w:t>
            </w:r>
          </w:p>
        </w:tc>
        <w:tc>
          <w:tcPr>
            <w:tcW w:w="1885" w:type="dxa"/>
            <w:vAlign w:val="center"/>
          </w:tcPr>
          <w:p>
            <w:pPr>
              <w:spacing w:line="280" w:lineRule="exact"/>
              <w:jc w:val="center"/>
              <w:rPr>
                <w:rFonts w:ascii="宋体" w:hAnsi="宋体" w:cs="宋体"/>
                <w:color w:val="000000" w:themeColor="text1"/>
                <w:szCs w:val="21"/>
              </w:rPr>
            </w:pPr>
            <w:r>
              <w:rPr>
                <w:rFonts w:hint="eastAsia" w:ascii="宋体" w:hAnsi="宋体" w:cs="宋体"/>
                <w:color w:val="000000" w:themeColor="text1"/>
                <w:szCs w:val="21"/>
              </w:rPr>
              <w:t>20MPa～100MPa</w:t>
            </w:r>
          </w:p>
        </w:tc>
        <w:tc>
          <w:tcPr>
            <w:tcW w:w="2205" w:type="dxa"/>
            <w:vAlign w:val="center"/>
          </w:tcPr>
          <w:p>
            <w:pPr>
              <w:spacing w:line="280" w:lineRule="exact"/>
              <w:jc w:val="center"/>
              <w:rPr>
                <w:rFonts w:ascii="宋体" w:hAnsi="宋体" w:cs="宋体"/>
                <w:color w:val="000000" w:themeColor="text1"/>
                <w:szCs w:val="21"/>
              </w:rPr>
            </w:pPr>
            <w:r>
              <w:rPr>
                <w:rFonts w:hint="eastAsia" w:ascii="宋体" w:hAnsi="宋体" w:cs="宋体"/>
                <w:color w:val="000000" w:themeColor="text1"/>
                <w:szCs w:val="21"/>
              </w:rPr>
              <w:t>1MPa～20MPa</w:t>
            </w:r>
          </w:p>
        </w:tc>
        <w:tc>
          <w:tcPr>
            <w:tcW w:w="1405" w:type="dxa"/>
            <w:vAlign w:val="center"/>
          </w:tcPr>
          <w:p>
            <w:pPr>
              <w:spacing w:line="280" w:lineRule="exact"/>
              <w:jc w:val="center"/>
              <w:rPr>
                <w:rFonts w:ascii="宋体" w:hAnsi="宋体" w:cs="宋体"/>
                <w:color w:val="000000" w:themeColor="text1"/>
                <w:szCs w:val="21"/>
              </w:rPr>
            </w:pPr>
            <w:r>
              <w:rPr>
                <w:rFonts w:hint="eastAsia" w:ascii="宋体" w:hAnsi="宋体" w:cs="宋体"/>
                <w:color w:val="000000" w:themeColor="text1"/>
                <w:szCs w:val="21"/>
              </w:rPr>
              <w:t>1MPa以下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1440" w:type="dxa"/>
            <w:vAlign w:val="center"/>
          </w:tcPr>
          <w:p>
            <w:pPr>
              <w:spacing w:line="280" w:lineRule="exact"/>
              <w:jc w:val="center"/>
              <w:rPr>
                <w:rFonts w:ascii="宋体" w:hAnsi="宋体" w:cs="宋体"/>
                <w:color w:val="000000" w:themeColor="text1"/>
                <w:szCs w:val="21"/>
              </w:rPr>
            </w:pPr>
            <w:r>
              <w:rPr>
                <w:rFonts w:hint="eastAsia" w:ascii="宋体" w:hAnsi="宋体" w:cs="宋体"/>
                <w:color w:val="000000" w:themeColor="text1"/>
                <w:szCs w:val="21"/>
              </w:rPr>
              <w:t>操作</w:t>
            </w:r>
          </w:p>
        </w:tc>
        <w:tc>
          <w:tcPr>
            <w:tcW w:w="1951" w:type="dxa"/>
          </w:tcPr>
          <w:p>
            <w:pPr>
              <w:spacing w:line="280" w:lineRule="exact"/>
              <w:rPr>
                <w:rFonts w:ascii="宋体" w:hAnsi="宋体" w:cs="宋体"/>
                <w:color w:val="000000" w:themeColor="text1"/>
                <w:szCs w:val="21"/>
              </w:rPr>
            </w:pPr>
          </w:p>
          <w:p>
            <w:pPr>
              <w:spacing w:line="280" w:lineRule="exact"/>
              <w:rPr>
                <w:rFonts w:ascii="宋体" w:hAnsi="宋体" w:cs="宋体"/>
                <w:color w:val="000000" w:themeColor="text1"/>
                <w:szCs w:val="21"/>
              </w:rPr>
            </w:pPr>
          </w:p>
          <w:p>
            <w:pPr>
              <w:spacing w:line="280" w:lineRule="exact"/>
              <w:rPr>
                <w:rFonts w:ascii="宋体" w:hAnsi="宋体" w:cs="宋体"/>
                <w:color w:val="000000" w:themeColor="text1"/>
                <w:szCs w:val="21"/>
              </w:rPr>
            </w:pPr>
          </w:p>
          <w:p>
            <w:pPr>
              <w:spacing w:line="280" w:lineRule="exact"/>
              <w:rPr>
                <w:rFonts w:ascii="宋体" w:hAnsi="宋体" w:cs="宋体"/>
                <w:color w:val="000000" w:themeColor="text1"/>
                <w:szCs w:val="21"/>
              </w:rPr>
            </w:pPr>
            <w:r>
              <w:rPr>
                <w:rFonts w:hint="eastAsia" w:ascii="宋体" w:hAnsi="宋体" w:cs="宋体"/>
                <w:color w:val="000000" w:themeColor="text1"/>
                <w:szCs w:val="21"/>
              </w:rPr>
              <w:t>⑴临界放热和特别剧烈的放热反应操作；</w:t>
            </w:r>
            <w:r>
              <w:rPr>
                <w:rFonts w:hint="eastAsia" w:ascii="宋体" w:hAnsi="宋体" w:cs="宋体"/>
                <w:color w:val="000000" w:themeColor="text1"/>
                <w:szCs w:val="21"/>
              </w:rPr>
              <w:cr/>
            </w:r>
            <w:r>
              <w:rPr>
                <w:rFonts w:hint="eastAsia" w:ascii="宋体" w:hAnsi="宋体" w:cs="宋体"/>
                <w:color w:val="000000" w:themeColor="text1"/>
                <w:szCs w:val="21"/>
              </w:rPr>
              <w:t>⑵在爆炸极限范围内或其附近的操作。</w:t>
            </w:r>
          </w:p>
        </w:tc>
        <w:tc>
          <w:tcPr>
            <w:tcW w:w="1885" w:type="dxa"/>
          </w:tcPr>
          <w:p>
            <w:pPr>
              <w:spacing w:line="280" w:lineRule="exact"/>
              <w:rPr>
                <w:rFonts w:ascii="宋体" w:hAnsi="宋体" w:cs="宋体"/>
                <w:color w:val="000000" w:themeColor="text1"/>
                <w:szCs w:val="21"/>
              </w:rPr>
            </w:pPr>
            <w:r>
              <w:rPr>
                <w:rFonts w:hint="eastAsia" w:ascii="宋体" w:hAnsi="宋体" w:cs="宋体"/>
                <w:color w:val="000000" w:themeColor="text1"/>
                <w:szCs w:val="21"/>
              </w:rPr>
              <w:t>⑴中等放热反应</w:t>
            </w:r>
            <w:r>
              <w:rPr>
                <w:rFonts w:hint="eastAsia" w:ascii="宋体" w:hAnsi="宋体" w:cs="宋体"/>
                <w:color w:val="000000" w:themeColor="text1"/>
                <w:szCs w:val="21"/>
              </w:rPr>
              <w:cr/>
            </w:r>
            <w:r>
              <w:rPr>
                <w:rFonts w:hint="eastAsia" w:ascii="宋体" w:hAnsi="宋体" w:cs="宋体"/>
                <w:color w:val="000000" w:themeColor="text1"/>
                <w:szCs w:val="21"/>
              </w:rPr>
              <w:t>(如硝基化、酯化、加成、氧化、聚合、缩合等反应操作)；</w:t>
            </w:r>
          </w:p>
          <w:p>
            <w:pPr>
              <w:spacing w:line="280" w:lineRule="exact"/>
              <w:rPr>
                <w:rFonts w:ascii="宋体" w:hAnsi="宋体" w:cs="宋体"/>
                <w:color w:val="000000" w:themeColor="text1"/>
                <w:szCs w:val="21"/>
              </w:rPr>
            </w:pPr>
            <w:r>
              <w:rPr>
                <w:rFonts w:hint="eastAsia" w:ascii="宋体" w:hAnsi="宋体" w:cs="宋体"/>
                <w:color w:val="000000" w:themeColor="text1"/>
                <w:szCs w:val="21"/>
              </w:rPr>
              <w:t>⑵系统进入空气或不纯物质，可能发生的危险、操作；</w:t>
            </w:r>
            <w:r>
              <w:rPr>
                <w:rFonts w:hint="eastAsia" w:ascii="宋体" w:hAnsi="宋体" w:cs="宋体"/>
                <w:color w:val="000000" w:themeColor="text1"/>
                <w:szCs w:val="21"/>
              </w:rPr>
              <w:cr/>
            </w:r>
            <w:r>
              <w:rPr>
                <w:rFonts w:hint="eastAsia" w:ascii="宋体" w:hAnsi="宋体" w:cs="宋体"/>
                <w:color w:val="000000" w:themeColor="text1"/>
                <w:szCs w:val="21"/>
              </w:rPr>
              <w:t>⑶使用粉状或雾状物质，有可能发生粉尘爆炸的操作；</w:t>
            </w:r>
          </w:p>
          <w:p>
            <w:pPr>
              <w:spacing w:line="280" w:lineRule="exact"/>
              <w:rPr>
                <w:rFonts w:ascii="宋体" w:hAnsi="宋体" w:cs="宋体"/>
                <w:color w:val="000000" w:themeColor="text1"/>
                <w:szCs w:val="21"/>
              </w:rPr>
            </w:pPr>
            <w:r>
              <w:rPr>
                <w:rFonts w:hint="eastAsia" w:ascii="宋体" w:hAnsi="宋体" w:cs="宋体"/>
                <w:color w:val="000000" w:themeColor="text1"/>
                <w:szCs w:val="21"/>
              </w:rPr>
              <w:t>⑷单批式操作。</w:t>
            </w:r>
          </w:p>
        </w:tc>
        <w:tc>
          <w:tcPr>
            <w:tcW w:w="2205" w:type="dxa"/>
          </w:tcPr>
          <w:p>
            <w:pPr>
              <w:spacing w:line="280" w:lineRule="exact"/>
              <w:rPr>
                <w:rFonts w:ascii="宋体" w:hAnsi="宋体" w:cs="宋体"/>
                <w:color w:val="000000" w:themeColor="text1"/>
                <w:szCs w:val="21"/>
              </w:rPr>
            </w:pPr>
            <w:r>
              <w:rPr>
                <w:rFonts w:hint="eastAsia" w:ascii="宋体" w:hAnsi="宋体" w:cs="宋体"/>
                <w:color w:val="000000" w:themeColor="text1"/>
                <w:szCs w:val="21"/>
              </w:rPr>
              <w:t>⑴轻微放热反应</w:t>
            </w:r>
            <w:r>
              <w:rPr>
                <w:rFonts w:hint="eastAsia" w:ascii="宋体" w:hAnsi="宋体" w:cs="宋体"/>
                <w:color w:val="000000" w:themeColor="text1"/>
                <w:szCs w:val="21"/>
              </w:rPr>
              <w:cr/>
            </w:r>
            <w:r>
              <w:rPr>
                <w:rFonts w:hint="eastAsia" w:ascii="宋体" w:hAnsi="宋体" w:cs="宋体"/>
                <w:color w:val="000000" w:themeColor="text1"/>
                <w:szCs w:val="21"/>
              </w:rPr>
              <w:t>(如加氢、水合、异构化、烷基化、磺化、中和等反应)操作；</w:t>
            </w:r>
          </w:p>
          <w:p>
            <w:pPr>
              <w:spacing w:line="280" w:lineRule="exact"/>
              <w:rPr>
                <w:rFonts w:ascii="宋体" w:hAnsi="宋体" w:cs="宋体"/>
                <w:color w:val="000000" w:themeColor="text1"/>
                <w:szCs w:val="21"/>
              </w:rPr>
            </w:pPr>
            <w:r>
              <w:rPr>
                <w:rFonts w:hint="eastAsia" w:ascii="宋体" w:hAnsi="宋体" w:cs="宋体"/>
                <w:color w:val="000000" w:themeColor="text1"/>
                <w:szCs w:val="21"/>
              </w:rPr>
              <w:t>⑵在精制过程中伴有化学反应；</w:t>
            </w:r>
            <w:r>
              <w:rPr>
                <w:rFonts w:hint="eastAsia" w:ascii="宋体" w:hAnsi="宋体" w:cs="宋体"/>
                <w:color w:val="000000" w:themeColor="text1"/>
                <w:szCs w:val="21"/>
              </w:rPr>
              <w:cr/>
            </w:r>
            <w:r>
              <w:rPr>
                <w:rFonts w:hint="eastAsia" w:ascii="宋体" w:hAnsi="宋体" w:cs="宋体"/>
                <w:color w:val="000000" w:themeColor="text1"/>
                <w:szCs w:val="21"/>
              </w:rPr>
              <w:t>⑶单批式操作，但开始使用机械等手段进行程序操作；</w:t>
            </w:r>
          </w:p>
          <w:p>
            <w:pPr>
              <w:spacing w:line="280" w:lineRule="exact"/>
              <w:rPr>
                <w:rFonts w:ascii="宋体" w:hAnsi="宋体" w:cs="宋体"/>
                <w:color w:val="000000" w:themeColor="text1"/>
                <w:szCs w:val="21"/>
              </w:rPr>
            </w:pPr>
            <w:r>
              <w:rPr>
                <w:rFonts w:hint="eastAsia" w:ascii="宋体" w:hAnsi="宋体" w:cs="宋体"/>
                <w:color w:val="000000" w:themeColor="text1"/>
                <w:szCs w:val="21"/>
              </w:rPr>
              <w:t>⑷有一定危险的操作。</w:t>
            </w:r>
          </w:p>
        </w:tc>
        <w:tc>
          <w:tcPr>
            <w:tcW w:w="1405" w:type="dxa"/>
            <w:vAlign w:val="center"/>
          </w:tcPr>
          <w:p>
            <w:pPr>
              <w:spacing w:line="280" w:lineRule="exact"/>
              <w:rPr>
                <w:rFonts w:ascii="宋体" w:hAnsi="宋体" w:cs="宋体"/>
                <w:color w:val="000000" w:themeColor="text1"/>
                <w:szCs w:val="21"/>
              </w:rPr>
            </w:pPr>
            <w:r>
              <w:rPr>
                <w:rFonts w:hint="eastAsia" w:ascii="宋体" w:hAnsi="宋体" w:cs="宋体"/>
                <w:color w:val="000000" w:themeColor="text1"/>
                <w:szCs w:val="21"/>
              </w:rPr>
              <w:t>无危险的操作。</w:t>
            </w:r>
          </w:p>
        </w:tc>
      </w:tr>
    </w:tbl>
    <w:p>
      <w:pPr>
        <w:rPr>
          <w:rFonts w:eastAsiaTheme="minorEastAsia"/>
          <w:bCs/>
          <w:color w:val="000000" w:themeColor="text1"/>
          <w:sz w:val="24"/>
        </w:rPr>
      </w:pPr>
      <w:r>
        <w:rPr>
          <w:rFonts w:eastAsiaTheme="minorEastAsia"/>
          <w:color w:val="000000" w:themeColor="text1"/>
        </w:rPr>
        <w:t>注：*1.见《石油化工企业设计防火标准(2018年版)》（GB 50160-2008）中可燃物质的火灾危险性分类；*2.见《压力容器中化学介质毒性危害和爆炸危险程度分类标准》（HG/T 20660-2017）表1、表2、表3；*3.①有触媒的反应，应去掉触媒层所占空间；②气液混合反应，应按其反应的形态选择上述规定。</w:t>
      </w:r>
    </w:p>
    <w:p>
      <w:pPr>
        <w:adjustRightInd w:val="0"/>
        <w:snapToGrid w:val="0"/>
        <w:spacing w:line="500" w:lineRule="atLeast"/>
        <w:jc w:val="center"/>
        <w:rPr>
          <w:rFonts w:eastAsiaTheme="minorEastAsia"/>
          <w:bCs/>
          <w:color w:val="000000" w:themeColor="text1"/>
          <w:sz w:val="24"/>
        </w:rPr>
      </w:pPr>
      <w:r>
        <w:rPr>
          <w:rFonts w:eastAsiaTheme="minorEastAsia"/>
          <w:bCs/>
          <w:color w:val="000000" w:themeColor="text1"/>
          <w:sz w:val="24"/>
        </w:rPr>
        <w:t>表4-10</w:t>
      </w:r>
      <w:r>
        <w:rPr>
          <w:rFonts w:eastAsiaTheme="minorEastAsia"/>
          <w:color w:val="000000" w:themeColor="text1"/>
          <w:sz w:val="24"/>
        </w:rPr>
        <w:t>危险度分级表</w:t>
      </w:r>
    </w:p>
    <w:tbl>
      <w:tblPr>
        <w:tblStyle w:val="52"/>
        <w:tblW w:w="80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2"/>
        <w:gridCol w:w="1753"/>
        <w:gridCol w:w="1935"/>
        <w:gridCol w:w="23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exact"/>
          <w:jc w:val="center"/>
        </w:trPr>
        <w:tc>
          <w:tcPr>
            <w:tcW w:w="2032" w:type="dxa"/>
            <w:vAlign w:val="center"/>
          </w:tcPr>
          <w:p>
            <w:pPr>
              <w:spacing w:line="240" w:lineRule="exact"/>
              <w:jc w:val="center"/>
              <w:rPr>
                <w:rFonts w:eastAsiaTheme="minorEastAsia"/>
                <w:color w:val="000000" w:themeColor="text1"/>
                <w:szCs w:val="21"/>
              </w:rPr>
            </w:pPr>
            <w:r>
              <w:rPr>
                <w:rFonts w:eastAsiaTheme="minorEastAsia"/>
                <w:color w:val="000000" w:themeColor="text1"/>
                <w:szCs w:val="21"/>
              </w:rPr>
              <w:t>总分值</w:t>
            </w:r>
          </w:p>
        </w:tc>
        <w:tc>
          <w:tcPr>
            <w:tcW w:w="1753" w:type="dxa"/>
            <w:vAlign w:val="center"/>
          </w:tcPr>
          <w:p>
            <w:pPr>
              <w:spacing w:line="240" w:lineRule="exact"/>
              <w:jc w:val="center"/>
              <w:rPr>
                <w:rFonts w:eastAsiaTheme="minorEastAsia"/>
                <w:color w:val="000000" w:themeColor="text1"/>
                <w:szCs w:val="21"/>
              </w:rPr>
            </w:pPr>
            <w:r>
              <w:rPr>
                <w:rFonts w:eastAsiaTheme="minorEastAsia"/>
                <w:color w:val="000000" w:themeColor="text1"/>
                <w:szCs w:val="21"/>
              </w:rPr>
              <w:t>≥16</w:t>
            </w:r>
          </w:p>
        </w:tc>
        <w:tc>
          <w:tcPr>
            <w:tcW w:w="1935" w:type="dxa"/>
            <w:vAlign w:val="center"/>
          </w:tcPr>
          <w:p>
            <w:pPr>
              <w:spacing w:line="240" w:lineRule="exact"/>
              <w:ind w:firstLine="420" w:firstLineChars="200"/>
              <w:jc w:val="center"/>
              <w:rPr>
                <w:rFonts w:eastAsiaTheme="minorEastAsia"/>
                <w:color w:val="000000" w:themeColor="text1"/>
                <w:szCs w:val="21"/>
              </w:rPr>
            </w:pPr>
            <w:r>
              <w:rPr>
                <w:rFonts w:eastAsiaTheme="minorEastAsia"/>
                <w:color w:val="000000" w:themeColor="text1"/>
                <w:szCs w:val="21"/>
              </w:rPr>
              <w:t>11～15</w:t>
            </w:r>
          </w:p>
        </w:tc>
        <w:tc>
          <w:tcPr>
            <w:tcW w:w="2355" w:type="dxa"/>
            <w:vAlign w:val="center"/>
          </w:tcPr>
          <w:p>
            <w:pPr>
              <w:spacing w:line="240" w:lineRule="exact"/>
              <w:jc w:val="center"/>
              <w:rPr>
                <w:rFonts w:eastAsiaTheme="minorEastAsia"/>
                <w:color w:val="000000" w:themeColor="text1"/>
                <w:szCs w:val="21"/>
              </w:rPr>
            </w:pPr>
            <w:r>
              <w:rPr>
                <w:rFonts w:eastAsiaTheme="minorEastAsia"/>
                <w:color w:val="000000" w:themeColor="text1"/>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exact"/>
          <w:jc w:val="center"/>
        </w:trPr>
        <w:tc>
          <w:tcPr>
            <w:tcW w:w="2032" w:type="dxa"/>
            <w:vAlign w:val="center"/>
          </w:tcPr>
          <w:p>
            <w:pPr>
              <w:spacing w:line="240" w:lineRule="exact"/>
              <w:jc w:val="center"/>
              <w:rPr>
                <w:rFonts w:eastAsiaTheme="minorEastAsia"/>
                <w:color w:val="000000" w:themeColor="text1"/>
                <w:szCs w:val="21"/>
              </w:rPr>
            </w:pPr>
            <w:r>
              <w:rPr>
                <w:rFonts w:eastAsiaTheme="minorEastAsia"/>
                <w:color w:val="000000" w:themeColor="text1"/>
                <w:szCs w:val="21"/>
              </w:rPr>
              <w:t>等级</w:t>
            </w:r>
          </w:p>
        </w:tc>
        <w:tc>
          <w:tcPr>
            <w:tcW w:w="1753" w:type="dxa"/>
            <w:vAlign w:val="center"/>
          </w:tcPr>
          <w:p>
            <w:pPr>
              <w:spacing w:line="240" w:lineRule="exact"/>
              <w:jc w:val="center"/>
              <w:rPr>
                <w:rFonts w:eastAsiaTheme="minorEastAsia"/>
                <w:color w:val="000000" w:themeColor="text1"/>
                <w:szCs w:val="21"/>
              </w:rPr>
            </w:pPr>
            <w:r>
              <w:rPr>
                <w:rFonts w:eastAsiaTheme="minorEastAsia"/>
                <w:color w:val="000000" w:themeColor="text1"/>
                <w:szCs w:val="21"/>
              </w:rPr>
              <w:t>Ⅰ</w:t>
            </w:r>
          </w:p>
        </w:tc>
        <w:tc>
          <w:tcPr>
            <w:tcW w:w="1935" w:type="dxa"/>
            <w:vAlign w:val="center"/>
          </w:tcPr>
          <w:p>
            <w:pPr>
              <w:spacing w:line="240" w:lineRule="exact"/>
              <w:jc w:val="center"/>
              <w:rPr>
                <w:rFonts w:eastAsiaTheme="minorEastAsia"/>
                <w:color w:val="000000" w:themeColor="text1"/>
                <w:szCs w:val="21"/>
              </w:rPr>
            </w:pPr>
            <w:r>
              <w:rPr>
                <w:rFonts w:eastAsiaTheme="minorEastAsia"/>
                <w:color w:val="000000" w:themeColor="text1"/>
                <w:szCs w:val="21"/>
              </w:rPr>
              <w:t>Ⅱ</w:t>
            </w:r>
          </w:p>
        </w:tc>
        <w:tc>
          <w:tcPr>
            <w:tcW w:w="2355" w:type="dxa"/>
            <w:vAlign w:val="center"/>
          </w:tcPr>
          <w:p>
            <w:pPr>
              <w:spacing w:line="240" w:lineRule="exact"/>
              <w:jc w:val="center"/>
              <w:rPr>
                <w:rFonts w:eastAsiaTheme="minorEastAsia"/>
                <w:color w:val="000000" w:themeColor="text1"/>
                <w:szCs w:val="21"/>
              </w:rPr>
            </w:pPr>
            <w:r>
              <w:rPr>
                <w:rFonts w:eastAsiaTheme="minorEastAsia"/>
                <w:color w:val="000000" w:themeColor="text1"/>
                <w:szCs w:val="21"/>
              </w:rPr>
              <w:t>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2032" w:type="dxa"/>
            <w:vAlign w:val="center"/>
          </w:tcPr>
          <w:p>
            <w:pPr>
              <w:spacing w:line="240" w:lineRule="exact"/>
              <w:jc w:val="center"/>
              <w:rPr>
                <w:rFonts w:eastAsiaTheme="minorEastAsia"/>
                <w:color w:val="000000" w:themeColor="text1"/>
                <w:szCs w:val="21"/>
              </w:rPr>
            </w:pPr>
            <w:r>
              <w:rPr>
                <w:rFonts w:eastAsiaTheme="minorEastAsia"/>
                <w:color w:val="000000" w:themeColor="text1"/>
                <w:szCs w:val="21"/>
              </w:rPr>
              <w:t>危险程度</w:t>
            </w:r>
          </w:p>
        </w:tc>
        <w:tc>
          <w:tcPr>
            <w:tcW w:w="1753" w:type="dxa"/>
            <w:vAlign w:val="center"/>
          </w:tcPr>
          <w:p>
            <w:pPr>
              <w:spacing w:line="240" w:lineRule="exact"/>
              <w:jc w:val="center"/>
              <w:rPr>
                <w:rFonts w:eastAsiaTheme="minorEastAsia"/>
                <w:color w:val="000000" w:themeColor="text1"/>
                <w:szCs w:val="21"/>
              </w:rPr>
            </w:pPr>
            <w:r>
              <w:rPr>
                <w:rFonts w:eastAsiaTheme="minorEastAsia"/>
                <w:color w:val="000000" w:themeColor="text1"/>
                <w:szCs w:val="21"/>
              </w:rPr>
              <w:t>高度危险</w:t>
            </w:r>
          </w:p>
        </w:tc>
        <w:tc>
          <w:tcPr>
            <w:tcW w:w="1935" w:type="dxa"/>
            <w:vAlign w:val="center"/>
          </w:tcPr>
          <w:p>
            <w:pPr>
              <w:spacing w:line="240" w:lineRule="exact"/>
              <w:jc w:val="center"/>
              <w:rPr>
                <w:rFonts w:eastAsiaTheme="minorEastAsia"/>
                <w:color w:val="000000" w:themeColor="text1"/>
                <w:szCs w:val="21"/>
              </w:rPr>
            </w:pPr>
            <w:r>
              <w:rPr>
                <w:rFonts w:eastAsiaTheme="minorEastAsia"/>
                <w:color w:val="000000" w:themeColor="text1"/>
                <w:szCs w:val="21"/>
              </w:rPr>
              <w:t>中度危险</w:t>
            </w:r>
          </w:p>
        </w:tc>
        <w:tc>
          <w:tcPr>
            <w:tcW w:w="2355" w:type="dxa"/>
            <w:vAlign w:val="center"/>
          </w:tcPr>
          <w:p>
            <w:pPr>
              <w:spacing w:line="240" w:lineRule="exact"/>
              <w:jc w:val="center"/>
              <w:rPr>
                <w:rFonts w:eastAsiaTheme="minorEastAsia"/>
                <w:color w:val="000000" w:themeColor="text1"/>
                <w:szCs w:val="21"/>
              </w:rPr>
            </w:pPr>
            <w:r>
              <w:rPr>
                <w:rFonts w:eastAsiaTheme="minorEastAsia"/>
                <w:color w:val="000000" w:themeColor="text1"/>
                <w:szCs w:val="21"/>
              </w:rPr>
              <w:t>低度危险</w:t>
            </w:r>
          </w:p>
        </w:tc>
      </w:tr>
      <w:bookmarkEnd w:id="1561"/>
      <w:bookmarkEnd w:id="1562"/>
    </w:tbl>
    <w:p>
      <w:pPr>
        <w:keepNext/>
        <w:keepLines/>
        <w:pageBreakBefore/>
        <w:spacing w:before="340" w:after="330" w:line="500" w:lineRule="exact"/>
        <w:jc w:val="center"/>
        <w:outlineLvl w:val="0"/>
        <w:rPr>
          <w:rFonts w:ascii="楷体_GB2312" w:hAnsi="宋体" w:eastAsia="楷体_GB2312"/>
          <w:b/>
          <w:bCs/>
          <w:color w:val="000000" w:themeColor="text1"/>
          <w:kern w:val="3"/>
          <w:sz w:val="32"/>
          <w:szCs w:val="32"/>
        </w:rPr>
      </w:pPr>
      <w:bookmarkStart w:id="1631" w:name="_Toc18751"/>
      <w:bookmarkStart w:id="1632" w:name="_Toc20320"/>
      <w:bookmarkStart w:id="1633" w:name="_Toc9302"/>
      <w:bookmarkStart w:id="1634" w:name="_Toc2936"/>
      <w:bookmarkStart w:id="1635" w:name="_Toc17969"/>
      <w:bookmarkStart w:id="1636" w:name="_Toc26571"/>
      <w:bookmarkStart w:id="1637" w:name="_Toc217444239"/>
      <w:bookmarkStart w:id="1638" w:name="_Toc7115"/>
      <w:bookmarkStart w:id="1639" w:name="_Toc27440"/>
      <w:bookmarkStart w:id="1640" w:name="_Toc24860"/>
      <w:bookmarkStart w:id="1641" w:name="_Toc15404"/>
      <w:bookmarkStart w:id="1642" w:name="_Toc6326"/>
      <w:bookmarkStart w:id="1643" w:name="_Toc1013"/>
      <w:bookmarkStart w:id="1644" w:name="_Toc5164"/>
      <w:bookmarkStart w:id="1645" w:name="_Toc7664"/>
      <w:bookmarkStart w:id="1646" w:name="_Toc26513"/>
      <w:bookmarkStart w:id="1647" w:name="_Toc16306"/>
      <w:bookmarkStart w:id="1648" w:name="_Toc6099_WPSOffice_Level1"/>
      <w:r>
        <w:rPr>
          <w:rFonts w:hint="eastAsia" w:ascii="楷体_GB2312" w:hAnsi="宋体" w:eastAsia="楷体_GB2312"/>
          <w:b/>
          <w:bCs/>
          <w:color w:val="000000" w:themeColor="text1"/>
          <w:kern w:val="3"/>
          <w:sz w:val="32"/>
          <w:szCs w:val="32"/>
        </w:rPr>
        <w:t>第5章 定性、定量分析</w:t>
      </w:r>
      <w:bookmarkEnd w:id="1631"/>
      <w:r>
        <w:rPr>
          <w:rFonts w:hint="eastAsia" w:ascii="楷体_GB2312" w:hAnsi="宋体" w:eastAsia="楷体_GB2312"/>
          <w:b/>
          <w:bCs/>
          <w:color w:val="000000" w:themeColor="text1"/>
          <w:kern w:val="3"/>
          <w:sz w:val="32"/>
          <w:szCs w:val="32"/>
        </w:rPr>
        <w:t>评价</w:t>
      </w:r>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Start w:id="1649" w:name="_Toc345765788"/>
      <w:bookmarkStart w:id="1650" w:name="_Toc286493611"/>
    </w:p>
    <w:p>
      <w:pPr>
        <w:pStyle w:val="19"/>
        <w:spacing w:afterLines="100" w:line="500" w:lineRule="exact"/>
        <w:jc w:val="center"/>
        <w:rPr>
          <w:rFonts w:ascii="楷体_GB2312" w:hAnsi="宋体" w:eastAsia="楷体_GB2312"/>
          <w:color w:val="000000" w:themeColor="text1"/>
          <w:kern w:val="3"/>
        </w:rPr>
      </w:pPr>
      <w:bookmarkStart w:id="1651" w:name="_Toc30129"/>
      <w:bookmarkStart w:id="1652" w:name="_Toc5295"/>
      <w:bookmarkStart w:id="1653" w:name="_Toc17558"/>
      <w:bookmarkStart w:id="1654" w:name="_Toc18696"/>
      <w:bookmarkStart w:id="1655" w:name="_Toc27936"/>
      <w:bookmarkStart w:id="1656" w:name="_Toc259560049"/>
      <w:bookmarkStart w:id="1657" w:name="_Toc12289"/>
      <w:bookmarkStart w:id="1658" w:name="_Toc26690"/>
      <w:bookmarkStart w:id="1659" w:name="_Toc32724"/>
      <w:bookmarkStart w:id="1660" w:name="_Toc14064"/>
      <w:bookmarkStart w:id="1661" w:name="_Toc32090"/>
      <w:bookmarkStart w:id="1662" w:name="_Toc25486"/>
      <w:bookmarkStart w:id="1663" w:name="_Toc20210"/>
      <w:bookmarkStart w:id="1664" w:name="_Toc21890_WPSOffice_Level2"/>
      <w:bookmarkStart w:id="1665" w:name="_Toc27710"/>
      <w:bookmarkStart w:id="1666" w:name="_Toc23629"/>
      <w:bookmarkStart w:id="1667" w:name="_Toc638"/>
      <w:r>
        <w:rPr>
          <w:rFonts w:hint="eastAsia" w:ascii="楷体_GB2312" w:hAnsi="宋体" w:eastAsia="楷体_GB2312"/>
          <w:color w:val="000000" w:themeColor="text1"/>
          <w:kern w:val="3"/>
        </w:rPr>
        <w:t>5.1危险度评价</w:t>
      </w:r>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p>
    <w:p>
      <w:pPr>
        <w:spacing w:line="500" w:lineRule="exact"/>
        <w:ind w:firstLine="560" w:firstLineChars="200"/>
        <w:rPr>
          <w:rFonts w:eastAsiaTheme="minorEastAsia"/>
          <w:color w:val="000000" w:themeColor="text1"/>
          <w:sz w:val="28"/>
          <w:szCs w:val="28"/>
        </w:rPr>
      </w:pPr>
      <w:r>
        <w:rPr>
          <w:rFonts w:eastAsiaTheme="minorEastAsia"/>
          <w:color w:val="000000" w:themeColor="text1"/>
          <w:sz w:val="28"/>
          <w:szCs w:val="28"/>
        </w:rPr>
        <w:t>该项目运行过程中主要包括甲醇卸车、储存、分装、装车四个装置单元，本次利用危险度评价法对其进行评价，具体评价情况如下表5-1所示：</w:t>
      </w:r>
    </w:p>
    <w:p>
      <w:pPr>
        <w:spacing w:line="500" w:lineRule="exact"/>
        <w:ind w:firstLine="480" w:firstLineChars="200"/>
        <w:jc w:val="center"/>
        <w:rPr>
          <w:rFonts w:eastAsiaTheme="minorEastAsia"/>
          <w:color w:val="000000" w:themeColor="text1"/>
          <w:sz w:val="24"/>
        </w:rPr>
      </w:pPr>
      <w:r>
        <w:rPr>
          <w:rFonts w:eastAsiaTheme="minorEastAsia"/>
          <w:color w:val="000000" w:themeColor="text1"/>
          <w:sz w:val="24"/>
        </w:rPr>
        <w:t>表5-1项目经营储存过程危险度评价情况表</w:t>
      </w:r>
    </w:p>
    <w:tbl>
      <w:tblPr>
        <w:tblStyle w:val="52"/>
        <w:tblW w:w="82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6"/>
        <w:gridCol w:w="755"/>
        <w:gridCol w:w="1455"/>
        <w:gridCol w:w="645"/>
        <w:gridCol w:w="690"/>
        <w:gridCol w:w="705"/>
        <w:gridCol w:w="765"/>
        <w:gridCol w:w="735"/>
        <w:gridCol w:w="750"/>
        <w:gridCol w:w="11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06" w:type="dxa"/>
            <w:vAlign w:val="center"/>
          </w:tcPr>
          <w:p>
            <w:pPr>
              <w:spacing w:line="240" w:lineRule="exact"/>
              <w:jc w:val="center"/>
              <w:rPr>
                <w:rFonts w:eastAsiaTheme="minorEastAsia"/>
                <w:b/>
                <w:bCs/>
                <w:color w:val="000000" w:themeColor="text1"/>
                <w:szCs w:val="21"/>
              </w:rPr>
            </w:pPr>
            <w:r>
              <w:rPr>
                <w:rFonts w:eastAsiaTheme="minorEastAsia"/>
                <w:b/>
                <w:bCs/>
                <w:color w:val="000000" w:themeColor="text1"/>
                <w:szCs w:val="21"/>
              </w:rPr>
              <w:t>序号</w:t>
            </w:r>
          </w:p>
        </w:tc>
        <w:tc>
          <w:tcPr>
            <w:tcW w:w="755" w:type="dxa"/>
            <w:vAlign w:val="center"/>
          </w:tcPr>
          <w:p>
            <w:pPr>
              <w:spacing w:line="240" w:lineRule="exact"/>
              <w:jc w:val="center"/>
              <w:rPr>
                <w:rFonts w:eastAsiaTheme="minorEastAsia"/>
                <w:b/>
                <w:bCs/>
                <w:color w:val="000000" w:themeColor="text1"/>
                <w:szCs w:val="21"/>
              </w:rPr>
            </w:pPr>
            <w:r>
              <w:rPr>
                <w:rFonts w:eastAsiaTheme="minorEastAsia"/>
                <w:b/>
                <w:bCs/>
                <w:color w:val="000000" w:themeColor="text1"/>
                <w:szCs w:val="21"/>
              </w:rPr>
              <w:t>装置单元</w:t>
            </w:r>
          </w:p>
        </w:tc>
        <w:tc>
          <w:tcPr>
            <w:tcW w:w="1455" w:type="dxa"/>
            <w:vAlign w:val="center"/>
          </w:tcPr>
          <w:p>
            <w:pPr>
              <w:pStyle w:val="37"/>
              <w:pBdr>
                <w:bottom w:val="none" w:color="auto" w:sz="0" w:space="0"/>
              </w:pBdr>
              <w:tabs>
                <w:tab w:val="clear" w:pos="4153"/>
                <w:tab w:val="clear" w:pos="8306"/>
              </w:tabs>
              <w:snapToGrid/>
              <w:rPr>
                <w:rFonts w:eastAsiaTheme="minorEastAsia"/>
                <w:b/>
                <w:bCs/>
                <w:color w:val="000000" w:themeColor="text1"/>
                <w:position w:val="-30"/>
                <w:sz w:val="21"/>
                <w:szCs w:val="21"/>
              </w:rPr>
            </w:pPr>
            <w:r>
              <w:rPr>
                <w:rFonts w:eastAsiaTheme="minorEastAsia"/>
                <w:b/>
                <w:bCs/>
                <w:color w:val="000000" w:themeColor="text1"/>
                <w:position w:val="-30"/>
                <w:sz w:val="21"/>
                <w:szCs w:val="21"/>
              </w:rPr>
              <w:t>危险物质</w:t>
            </w:r>
          </w:p>
        </w:tc>
        <w:tc>
          <w:tcPr>
            <w:tcW w:w="645" w:type="dxa"/>
            <w:vAlign w:val="center"/>
          </w:tcPr>
          <w:p>
            <w:pPr>
              <w:jc w:val="center"/>
              <w:rPr>
                <w:rFonts w:eastAsiaTheme="minorEastAsia"/>
                <w:b/>
                <w:bCs/>
                <w:color w:val="000000" w:themeColor="text1"/>
                <w:szCs w:val="21"/>
              </w:rPr>
            </w:pPr>
            <w:r>
              <w:rPr>
                <w:rFonts w:eastAsiaTheme="minorEastAsia"/>
                <w:b/>
                <w:bCs/>
                <w:color w:val="000000" w:themeColor="text1"/>
                <w:szCs w:val="21"/>
              </w:rPr>
              <w:t>物质</w:t>
            </w:r>
          </w:p>
          <w:p>
            <w:pPr>
              <w:pStyle w:val="37"/>
              <w:pBdr>
                <w:bottom w:val="none" w:color="auto" w:sz="0" w:space="0"/>
              </w:pBdr>
              <w:tabs>
                <w:tab w:val="clear" w:pos="4153"/>
                <w:tab w:val="clear" w:pos="8306"/>
              </w:tabs>
              <w:snapToGrid/>
              <w:rPr>
                <w:rFonts w:eastAsiaTheme="minorEastAsia"/>
                <w:b/>
                <w:bCs/>
                <w:color w:val="000000" w:themeColor="text1"/>
                <w:sz w:val="21"/>
                <w:szCs w:val="21"/>
              </w:rPr>
            </w:pPr>
            <w:r>
              <w:rPr>
                <w:rFonts w:eastAsiaTheme="minorEastAsia"/>
                <w:b/>
                <w:bCs/>
                <w:color w:val="000000" w:themeColor="text1"/>
                <w:sz w:val="21"/>
                <w:szCs w:val="21"/>
              </w:rPr>
              <w:t>评分</w:t>
            </w:r>
          </w:p>
        </w:tc>
        <w:tc>
          <w:tcPr>
            <w:tcW w:w="690" w:type="dxa"/>
            <w:vAlign w:val="center"/>
          </w:tcPr>
          <w:p>
            <w:pPr>
              <w:jc w:val="center"/>
              <w:rPr>
                <w:rFonts w:eastAsiaTheme="minorEastAsia"/>
                <w:b/>
                <w:bCs/>
                <w:color w:val="000000" w:themeColor="text1"/>
                <w:szCs w:val="21"/>
              </w:rPr>
            </w:pPr>
            <w:r>
              <w:rPr>
                <w:rFonts w:eastAsiaTheme="minorEastAsia"/>
                <w:b/>
                <w:bCs/>
                <w:color w:val="000000" w:themeColor="text1"/>
                <w:szCs w:val="21"/>
              </w:rPr>
              <w:t>容量</w:t>
            </w:r>
          </w:p>
          <w:p>
            <w:pPr>
              <w:jc w:val="center"/>
              <w:rPr>
                <w:rFonts w:eastAsiaTheme="minorEastAsia"/>
                <w:b/>
                <w:bCs/>
                <w:color w:val="000000" w:themeColor="text1"/>
                <w:szCs w:val="21"/>
              </w:rPr>
            </w:pPr>
            <w:r>
              <w:rPr>
                <w:rFonts w:eastAsiaTheme="minorEastAsia"/>
                <w:b/>
                <w:bCs/>
                <w:color w:val="000000" w:themeColor="text1"/>
                <w:szCs w:val="21"/>
              </w:rPr>
              <w:t>评分</w:t>
            </w:r>
          </w:p>
        </w:tc>
        <w:tc>
          <w:tcPr>
            <w:tcW w:w="705" w:type="dxa"/>
            <w:vAlign w:val="center"/>
          </w:tcPr>
          <w:p>
            <w:pPr>
              <w:pStyle w:val="37"/>
              <w:pBdr>
                <w:bottom w:val="none" w:color="auto" w:sz="0" w:space="0"/>
              </w:pBdr>
              <w:tabs>
                <w:tab w:val="clear" w:pos="4153"/>
                <w:tab w:val="clear" w:pos="8306"/>
              </w:tabs>
              <w:snapToGrid/>
              <w:rPr>
                <w:rFonts w:eastAsiaTheme="minorEastAsia"/>
                <w:b/>
                <w:bCs/>
                <w:color w:val="000000" w:themeColor="text1"/>
                <w:sz w:val="21"/>
                <w:szCs w:val="21"/>
              </w:rPr>
            </w:pPr>
            <w:r>
              <w:rPr>
                <w:rFonts w:eastAsiaTheme="minorEastAsia"/>
                <w:b/>
                <w:bCs/>
                <w:color w:val="000000" w:themeColor="text1"/>
                <w:sz w:val="21"/>
                <w:szCs w:val="21"/>
              </w:rPr>
              <w:t>温度</w:t>
            </w:r>
          </w:p>
          <w:p>
            <w:pPr>
              <w:pStyle w:val="37"/>
              <w:pBdr>
                <w:bottom w:val="none" w:color="auto" w:sz="0" w:space="0"/>
              </w:pBdr>
              <w:tabs>
                <w:tab w:val="clear" w:pos="4153"/>
                <w:tab w:val="clear" w:pos="8306"/>
              </w:tabs>
              <w:snapToGrid/>
              <w:rPr>
                <w:rFonts w:eastAsiaTheme="minorEastAsia"/>
                <w:b/>
                <w:bCs/>
                <w:color w:val="000000" w:themeColor="text1"/>
                <w:sz w:val="21"/>
                <w:szCs w:val="21"/>
              </w:rPr>
            </w:pPr>
            <w:r>
              <w:rPr>
                <w:rFonts w:eastAsiaTheme="minorEastAsia"/>
                <w:b/>
                <w:bCs/>
                <w:color w:val="000000" w:themeColor="text1"/>
                <w:sz w:val="21"/>
                <w:szCs w:val="21"/>
              </w:rPr>
              <w:t>评分</w:t>
            </w:r>
          </w:p>
        </w:tc>
        <w:tc>
          <w:tcPr>
            <w:tcW w:w="765" w:type="dxa"/>
            <w:vAlign w:val="center"/>
          </w:tcPr>
          <w:p>
            <w:pPr>
              <w:jc w:val="center"/>
              <w:rPr>
                <w:rFonts w:eastAsiaTheme="minorEastAsia"/>
                <w:b/>
                <w:bCs/>
                <w:color w:val="000000" w:themeColor="text1"/>
                <w:szCs w:val="21"/>
              </w:rPr>
            </w:pPr>
            <w:r>
              <w:rPr>
                <w:rFonts w:eastAsiaTheme="minorEastAsia"/>
                <w:b/>
                <w:bCs/>
                <w:color w:val="000000" w:themeColor="text1"/>
                <w:szCs w:val="21"/>
              </w:rPr>
              <w:t>压力</w:t>
            </w:r>
          </w:p>
          <w:p>
            <w:pPr>
              <w:pStyle w:val="37"/>
              <w:pBdr>
                <w:bottom w:val="none" w:color="auto" w:sz="0" w:space="0"/>
              </w:pBdr>
              <w:tabs>
                <w:tab w:val="clear" w:pos="4153"/>
                <w:tab w:val="clear" w:pos="8306"/>
              </w:tabs>
              <w:snapToGrid/>
              <w:rPr>
                <w:rFonts w:eastAsiaTheme="minorEastAsia"/>
                <w:b/>
                <w:bCs/>
                <w:color w:val="000000" w:themeColor="text1"/>
                <w:sz w:val="21"/>
                <w:szCs w:val="21"/>
              </w:rPr>
            </w:pPr>
            <w:r>
              <w:rPr>
                <w:rFonts w:eastAsiaTheme="minorEastAsia"/>
                <w:b/>
                <w:bCs/>
                <w:color w:val="000000" w:themeColor="text1"/>
                <w:sz w:val="21"/>
                <w:szCs w:val="21"/>
              </w:rPr>
              <w:t>评分</w:t>
            </w:r>
          </w:p>
        </w:tc>
        <w:tc>
          <w:tcPr>
            <w:tcW w:w="735" w:type="dxa"/>
            <w:vAlign w:val="center"/>
          </w:tcPr>
          <w:p>
            <w:pPr>
              <w:jc w:val="center"/>
              <w:rPr>
                <w:rFonts w:eastAsiaTheme="minorEastAsia"/>
                <w:b/>
                <w:bCs/>
                <w:color w:val="000000" w:themeColor="text1"/>
                <w:szCs w:val="21"/>
              </w:rPr>
            </w:pPr>
            <w:r>
              <w:rPr>
                <w:rFonts w:eastAsiaTheme="minorEastAsia"/>
                <w:b/>
                <w:bCs/>
                <w:color w:val="000000" w:themeColor="text1"/>
                <w:szCs w:val="21"/>
              </w:rPr>
              <w:t>操作</w:t>
            </w:r>
          </w:p>
          <w:p>
            <w:pPr>
              <w:jc w:val="center"/>
              <w:rPr>
                <w:rFonts w:eastAsiaTheme="minorEastAsia"/>
                <w:b/>
                <w:bCs/>
                <w:color w:val="000000" w:themeColor="text1"/>
                <w:szCs w:val="21"/>
              </w:rPr>
            </w:pPr>
            <w:r>
              <w:rPr>
                <w:rFonts w:eastAsiaTheme="minorEastAsia"/>
                <w:b/>
                <w:bCs/>
                <w:color w:val="000000" w:themeColor="text1"/>
                <w:szCs w:val="21"/>
              </w:rPr>
              <w:t>评分</w:t>
            </w:r>
          </w:p>
        </w:tc>
        <w:tc>
          <w:tcPr>
            <w:tcW w:w="750" w:type="dxa"/>
            <w:vAlign w:val="center"/>
          </w:tcPr>
          <w:p>
            <w:pPr>
              <w:pStyle w:val="37"/>
              <w:pBdr>
                <w:bottom w:val="none" w:color="auto" w:sz="0" w:space="0"/>
              </w:pBdr>
              <w:tabs>
                <w:tab w:val="clear" w:pos="4153"/>
                <w:tab w:val="clear" w:pos="8306"/>
              </w:tabs>
              <w:snapToGrid/>
              <w:rPr>
                <w:rFonts w:eastAsiaTheme="minorEastAsia"/>
                <w:b/>
                <w:bCs/>
                <w:color w:val="000000" w:themeColor="text1"/>
                <w:position w:val="-30"/>
                <w:sz w:val="21"/>
                <w:szCs w:val="21"/>
              </w:rPr>
            </w:pPr>
            <w:r>
              <w:rPr>
                <w:rFonts w:eastAsiaTheme="minorEastAsia"/>
                <w:b/>
                <w:bCs/>
                <w:color w:val="000000" w:themeColor="text1"/>
                <w:position w:val="-30"/>
                <w:sz w:val="21"/>
                <w:szCs w:val="21"/>
              </w:rPr>
              <w:t>总分</w:t>
            </w:r>
          </w:p>
        </w:tc>
        <w:tc>
          <w:tcPr>
            <w:tcW w:w="1155" w:type="dxa"/>
            <w:vAlign w:val="center"/>
          </w:tcPr>
          <w:p>
            <w:pPr>
              <w:jc w:val="center"/>
              <w:rPr>
                <w:rFonts w:eastAsiaTheme="minorEastAsia"/>
                <w:b/>
                <w:bCs/>
                <w:color w:val="000000" w:themeColor="text1"/>
                <w:position w:val="-30"/>
                <w:szCs w:val="21"/>
              </w:rPr>
            </w:pPr>
            <w:r>
              <w:rPr>
                <w:rFonts w:eastAsiaTheme="minorEastAsia"/>
                <w:b/>
                <w:bCs/>
                <w:color w:val="000000" w:themeColor="text1"/>
                <w:position w:val="-30"/>
                <w:szCs w:val="21"/>
              </w:rPr>
              <w:t>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jc w:val="center"/>
        </w:trPr>
        <w:tc>
          <w:tcPr>
            <w:tcW w:w="606" w:type="dxa"/>
            <w:vAlign w:val="center"/>
          </w:tcPr>
          <w:p>
            <w:pPr>
              <w:spacing w:line="240" w:lineRule="exact"/>
              <w:jc w:val="center"/>
              <w:rPr>
                <w:rFonts w:eastAsiaTheme="minorEastAsia"/>
                <w:color w:val="000000" w:themeColor="text1"/>
                <w:szCs w:val="21"/>
              </w:rPr>
            </w:pPr>
            <w:r>
              <w:rPr>
                <w:rFonts w:eastAsiaTheme="minorEastAsia"/>
                <w:color w:val="000000" w:themeColor="text1"/>
                <w:szCs w:val="21"/>
              </w:rPr>
              <w:t>1</w:t>
            </w:r>
          </w:p>
        </w:tc>
        <w:tc>
          <w:tcPr>
            <w:tcW w:w="755" w:type="dxa"/>
            <w:vAlign w:val="center"/>
          </w:tcPr>
          <w:p>
            <w:pPr>
              <w:spacing w:line="240" w:lineRule="exact"/>
              <w:jc w:val="center"/>
              <w:rPr>
                <w:rFonts w:eastAsiaTheme="minorEastAsia"/>
                <w:color w:val="000000" w:themeColor="text1"/>
                <w:szCs w:val="21"/>
              </w:rPr>
            </w:pPr>
            <w:r>
              <w:rPr>
                <w:rFonts w:eastAsiaTheme="minorEastAsia"/>
                <w:color w:val="000000" w:themeColor="text1"/>
                <w:szCs w:val="21"/>
              </w:rPr>
              <w:t>卸车</w:t>
            </w:r>
          </w:p>
        </w:tc>
        <w:tc>
          <w:tcPr>
            <w:tcW w:w="1455" w:type="dxa"/>
            <w:vAlign w:val="center"/>
          </w:tcPr>
          <w:p>
            <w:pPr>
              <w:spacing w:line="240" w:lineRule="exact"/>
              <w:jc w:val="center"/>
              <w:rPr>
                <w:rFonts w:eastAsiaTheme="minorEastAsia"/>
                <w:color w:val="000000" w:themeColor="text1"/>
                <w:szCs w:val="21"/>
              </w:rPr>
            </w:pPr>
            <w:r>
              <w:rPr>
                <w:rFonts w:eastAsiaTheme="minorEastAsia"/>
                <w:color w:val="000000" w:themeColor="text1"/>
                <w:szCs w:val="21"/>
              </w:rPr>
              <w:t>甲醇</w:t>
            </w:r>
          </w:p>
        </w:tc>
        <w:tc>
          <w:tcPr>
            <w:tcW w:w="645" w:type="dxa"/>
            <w:vAlign w:val="center"/>
          </w:tcPr>
          <w:p>
            <w:pPr>
              <w:spacing w:line="240" w:lineRule="exact"/>
              <w:jc w:val="center"/>
              <w:rPr>
                <w:rFonts w:eastAsiaTheme="minorEastAsia"/>
                <w:color w:val="000000" w:themeColor="text1"/>
                <w:szCs w:val="21"/>
              </w:rPr>
            </w:pPr>
            <w:r>
              <w:rPr>
                <w:rFonts w:eastAsiaTheme="minorEastAsia"/>
                <w:color w:val="000000" w:themeColor="text1"/>
                <w:szCs w:val="21"/>
              </w:rPr>
              <w:t>10</w:t>
            </w:r>
          </w:p>
        </w:tc>
        <w:tc>
          <w:tcPr>
            <w:tcW w:w="690" w:type="dxa"/>
            <w:vAlign w:val="center"/>
          </w:tcPr>
          <w:p>
            <w:pPr>
              <w:spacing w:line="240" w:lineRule="exact"/>
              <w:jc w:val="center"/>
              <w:rPr>
                <w:rFonts w:eastAsiaTheme="minorEastAsia"/>
                <w:color w:val="000000" w:themeColor="text1"/>
                <w:szCs w:val="21"/>
              </w:rPr>
            </w:pPr>
            <w:r>
              <w:rPr>
                <w:rFonts w:eastAsiaTheme="minorEastAsia"/>
                <w:color w:val="000000" w:themeColor="text1"/>
                <w:szCs w:val="21"/>
              </w:rPr>
              <w:t>2</w:t>
            </w:r>
          </w:p>
        </w:tc>
        <w:tc>
          <w:tcPr>
            <w:tcW w:w="705" w:type="dxa"/>
            <w:vAlign w:val="center"/>
          </w:tcPr>
          <w:p>
            <w:pPr>
              <w:spacing w:line="240" w:lineRule="exact"/>
              <w:jc w:val="center"/>
              <w:rPr>
                <w:rFonts w:eastAsiaTheme="minorEastAsia"/>
                <w:color w:val="000000" w:themeColor="text1"/>
                <w:szCs w:val="21"/>
              </w:rPr>
            </w:pPr>
            <w:r>
              <w:rPr>
                <w:rFonts w:eastAsiaTheme="minorEastAsia"/>
                <w:color w:val="000000" w:themeColor="text1"/>
                <w:szCs w:val="21"/>
              </w:rPr>
              <w:t>0</w:t>
            </w:r>
          </w:p>
        </w:tc>
        <w:tc>
          <w:tcPr>
            <w:tcW w:w="765" w:type="dxa"/>
            <w:vAlign w:val="center"/>
          </w:tcPr>
          <w:p>
            <w:pPr>
              <w:spacing w:line="240" w:lineRule="exact"/>
              <w:jc w:val="center"/>
              <w:rPr>
                <w:rFonts w:eastAsiaTheme="minorEastAsia"/>
                <w:color w:val="000000" w:themeColor="text1"/>
                <w:szCs w:val="21"/>
              </w:rPr>
            </w:pPr>
            <w:r>
              <w:rPr>
                <w:rFonts w:eastAsiaTheme="minorEastAsia"/>
                <w:color w:val="000000" w:themeColor="text1"/>
                <w:szCs w:val="21"/>
              </w:rPr>
              <w:t>0</w:t>
            </w:r>
          </w:p>
        </w:tc>
        <w:tc>
          <w:tcPr>
            <w:tcW w:w="735" w:type="dxa"/>
            <w:vAlign w:val="center"/>
          </w:tcPr>
          <w:p>
            <w:pPr>
              <w:spacing w:line="240" w:lineRule="exact"/>
              <w:jc w:val="center"/>
              <w:rPr>
                <w:rFonts w:eastAsiaTheme="minorEastAsia"/>
                <w:color w:val="000000" w:themeColor="text1"/>
                <w:szCs w:val="21"/>
              </w:rPr>
            </w:pPr>
            <w:r>
              <w:rPr>
                <w:rFonts w:eastAsiaTheme="minorEastAsia"/>
                <w:color w:val="000000" w:themeColor="text1"/>
                <w:szCs w:val="21"/>
              </w:rPr>
              <w:t>2</w:t>
            </w:r>
          </w:p>
        </w:tc>
        <w:tc>
          <w:tcPr>
            <w:tcW w:w="750" w:type="dxa"/>
            <w:vAlign w:val="center"/>
          </w:tcPr>
          <w:p>
            <w:pPr>
              <w:spacing w:line="240" w:lineRule="exact"/>
              <w:jc w:val="center"/>
              <w:rPr>
                <w:rFonts w:eastAsiaTheme="minorEastAsia"/>
                <w:color w:val="000000" w:themeColor="text1"/>
                <w:szCs w:val="21"/>
              </w:rPr>
            </w:pPr>
            <w:r>
              <w:rPr>
                <w:rFonts w:eastAsiaTheme="minorEastAsia"/>
                <w:color w:val="000000" w:themeColor="text1"/>
                <w:szCs w:val="21"/>
              </w:rPr>
              <w:t>14</w:t>
            </w:r>
          </w:p>
        </w:tc>
        <w:tc>
          <w:tcPr>
            <w:tcW w:w="1155" w:type="dxa"/>
            <w:vAlign w:val="center"/>
          </w:tcPr>
          <w:p>
            <w:pPr>
              <w:spacing w:line="240" w:lineRule="exact"/>
              <w:jc w:val="center"/>
              <w:rPr>
                <w:rFonts w:eastAsiaTheme="minorEastAsia"/>
                <w:color w:val="000000" w:themeColor="text1"/>
                <w:szCs w:val="21"/>
              </w:rPr>
            </w:pPr>
            <w:r>
              <w:rPr>
                <w:rFonts w:eastAsiaTheme="minorEastAsia"/>
                <w:color w:val="000000" w:themeColor="text1"/>
                <w:szCs w:val="21"/>
              </w:rPr>
              <w:t>中度危险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jc w:val="center"/>
        </w:trPr>
        <w:tc>
          <w:tcPr>
            <w:tcW w:w="606" w:type="dxa"/>
            <w:vAlign w:val="center"/>
          </w:tcPr>
          <w:p>
            <w:pPr>
              <w:spacing w:line="240" w:lineRule="exact"/>
              <w:jc w:val="center"/>
              <w:rPr>
                <w:rFonts w:eastAsiaTheme="minorEastAsia"/>
                <w:color w:val="000000" w:themeColor="text1"/>
                <w:szCs w:val="21"/>
              </w:rPr>
            </w:pPr>
            <w:r>
              <w:rPr>
                <w:rFonts w:eastAsiaTheme="minorEastAsia"/>
                <w:color w:val="000000" w:themeColor="text1"/>
                <w:szCs w:val="21"/>
              </w:rPr>
              <w:t>2</w:t>
            </w:r>
          </w:p>
        </w:tc>
        <w:tc>
          <w:tcPr>
            <w:tcW w:w="755" w:type="dxa"/>
            <w:vAlign w:val="center"/>
          </w:tcPr>
          <w:p>
            <w:pPr>
              <w:spacing w:line="240" w:lineRule="exact"/>
              <w:jc w:val="center"/>
              <w:rPr>
                <w:rFonts w:eastAsiaTheme="minorEastAsia"/>
                <w:color w:val="000000" w:themeColor="text1"/>
                <w:szCs w:val="21"/>
              </w:rPr>
            </w:pPr>
            <w:r>
              <w:rPr>
                <w:rFonts w:eastAsiaTheme="minorEastAsia"/>
                <w:color w:val="000000" w:themeColor="text1"/>
                <w:szCs w:val="21"/>
              </w:rPr>
              <w:t>储存</w:t>
            </w:r>
          </w:p>
        </w:tc>
        <w:tc>
          <w:tcPr>
            <w:tcW w:w="1455" w:type="dxa"/>
            <w:vAlign w:val="center"/>
          </w:tcPr>
          <w:p>
            <w:pPr>
              <w:spacing w:line="240" w:lineRule="exact"/>
              <w:jc w:val="center"/>
              <w:rPr>
                <w:rFonts w:eastAsiaTheme="minorEastAsia"/>
                <w:color w:val="000000" w:themeColor="text1"/>
                <w:szCs w:val="21"/>
              </w:rPr>
            </w:pPr>
            <w:r>
              <w:rPr>
                <w:rFonts w:eastAsiaTheme="minorEastAsia"/>
                <w:color w:val="000000" w:themeColor="text1"/>
                <w:szCs w:val="21"/>
              </w:rPr>
              <w:t>甲醇</w:t>
            </w:r>
          </w:p>
        </w:tc>
        <w:tc>
          <w:tcPr>
            <w:tcW w:w="645" w:type="dxa"/>
            <w:vAlign w:val="center"/>
          </w:tcPr>
          <w:p>
            <w:pPr>
              <w:spacing w:line="240" w:lineRule="exact"/>
              <w:jc w:val="center"/>
              <w:rPr>
                <w:rFonts w:eastAsiaTheme="minorEastAsia"/>
                <w:color w:val="000000" w:themeColor="text1"/>
                <w:szCs w:val="21"/>
              </w:rPr>
            </w:pPr>
            <w:r>
              <w:rPr>
                <w:rFonts w:eastAsiaTheme="minorEastAsia"/>
                <w:color w:val="000000" w:themeColor="text1"/>
                <w:szCs w:val="21"/>
              </w:rPr>
              <w:t>10</w:t>
            </w:r>
          </w:p>
        </w:tc>
        <w:tc>
          <w:tcPr>
            <w:tcW w:w="690" w:type="dxa"/>
            <w:vAlign w:val="center"/>
          </w:tcPr>
          <w:p>
            <w:pPr>
              <w:spacing w:line="240" w:lineRule="exact"/>
              <w:jc w:val="center"/>
              <w:rPr>
                <w:rFonts w:eastAsiaTheme="minorEastAsia"/>
                <w:color w:val="000000" w:themeColor="text1"/>
                <w:szCs w:val="21"/>
              </w:rPr>
            </w:pPr>
            <w:r>
              <w:rPr>
                <w:rFonts w:eastAsiaTheme="minorEastAsia"/>
                <w:color w:val="000000" w:themeColor="text1"/>
                <w:szCs w:val="21"/>
              </w:rPr>
              <w:t>2</w:t>
            </w:r>
          </w:p>
        </w:tc>
        <w:tc>
          <w:tcPr>
            <w:tcW w:w="705" w:type="dxa"/>
            <w:vAlign w:val="center"/>
          </w:tcPr>
          <w:p>
            <w:pPr>
              <w:spacing w:line="240" w:lineRule="exact"/>
              <w:jc w:val="center"/>
              <w:rPr>
                <w:rFonts w:eastAsiaTheme="minorEastAsia"/>
                <w:color w:val="000000" w:themeColor="text1"/>
                <w:szCs w:val="21"/>
              </w:rPr>
            </w:pPr>
            <w:r>
              <w:rPr>
                <w:rFonts w:eastAsiaTheme="minorEastAsia"/>
                <w:color w:val="000000" w:themeColor="text1"/>
                <w:szCs w:val="21"/>
              </w:rPr>
              <w:t>0</w:t>
            </w:r>
          </w:p>
        </w:tc>
        <w:tc>
          <w:tcPr>
            <w:tcW w:w="765" w:type="dxa"/>
            <w:vAlign w:val="center"/>
          </w:tcPr>
          <w:p>
            <w:pPr>
              <w:spacing w:line="240" w:lineRule="exact"/>
              <w:jc w:val="center"/>
              <w:rPr>
                <w:rFonts w:eastAsiaTheme="minorEastAsia"/>
                <w:color w:val="000000" w:themeColor="text1"/>
                <w:szCs w:val="21"/>
              </w:rPr>
            </w:pPr>
            <w:r>
              <w:rPr>
                <w:rFonts w:eastAsiaTheme="minorEastAsia"/>
                <w:color w:val="000000" w:themeColor="text1"/>
                <w:szCs w:val="21"/>
              </w:rPr>
              <w:t>0</w:t>
            </w:r>
          </w:p>
        </w:tc>
        <w:tc>
          <w:tcPr>
            <w:tcW w:w="735" w:type="dxa"/>
            <w:vAlign w:val="center"/>
          </w:tcPr>
          <w:p>
            <w:pPr>
              <w:spacing w:line="240" w:lineRule="exact"/>
              <w:jc w:val="center"/>
              <w:rPr>
                <w:rFonts w:eastAsiaTheme="minorEastAsia"/>
                <w:color w:val="000000" w:themeColor="text1"/>
                <w:szCs w:val="21"/>
              </w:rPr>
            </w:pPr>
            <w:r>
              <w:rPr>
                <w:rFonts w:eastAsiaTheme="minorEastAsia"/>
                <w:color w:val="000000" w:themeColor="text1"/>
                <w:szCs w:val="21"/>
              </w:rPr>
              <w:t>2</w:t>
            </w:r>
          </w:p>
        </w:tc>
        <w:tc>
          <w:tcPr>
            <w:tcW w:w="750" w:type="dxa"/>
            <w:vAlign w:val="center"/>
          </w:tcPr>
          <w:p>
            <w:pPr>
              <w:spacing w:line="240" w:lineRule="exact"/>
              <w:jc w:val="center"/>
              <w:rPr>
                <w:rFonts w:eastAsiaTheme="minorEastAsia"/>
                <w:color w:val="000000" w:themeColor="text1"/>
                <w:szCs w:val="21"/>
              </w:rPr>
            </w:pPr>
            <w:r>
              <w:rPr>
                <w:rFonts w:eastAsiaTheme="minorEastAsia"/>
                <w:color w:val="000000" w:themeColor="text1"/>
                <w:szCs w:val="21"/>
              </w:rPr>
              <w:t>14</w:t>
            </w:r>
          </w:p>
        </w:tc>
        <w:tc>
          <w:tcPr>
            <w:tcW w:w="1155" w:type="dxa"/>
            <w:vAlign w:val="center"/>
          </w:tcPr>
          <w:p>
            <w:pPr>
              <w:spacing w:line="240" w:lineRule="exact"/>
              <w:jc w:val="center"/>
              <w:rPr>
                <w:rFonts w:eastAsiaTheme="minorEastAsia"/>
                <w:color w:val="000000" w:themeColor="text1"/>
                <w:szCs w:val="21"/>
              </w:rPr>
            </w:pPr>
            <w:r>
              <w:rPr>
                <w:rFonts w:eastAsiaTheme="minorEastAsia"/>
                <w:color w:val="000000" w:themeColor="text1"/>
                <w:szCs w:val="21"/>
              </w:rPr>
              <w:t>中度危险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jc w:val="center"/>
        </w:trPr>
        <w:tc>
          <w:tcPr>
            <w:tcW w:w="606" w:type="dxa"/>
            <w:vAlign w:val="center"/>
          </w:tcPr>
          <w:p>
            <w:pPr>
              <w:spacing w:line="240" w:lineRule="exact"/>
              <w:jc w:val="center"/>
              <w:rPr>
                <w:rFonts w:eastAsiaTheme="minorEastAsia"/>
                <w:color w:val="000000" w:themeColor="text1"/>
                <w:szCs w:val="21"/>
              </w:rPr>
            </w:pPr>
            <w:r>
              <w:rPr>
                <w:rFonts w:eastAsiaTheme="minorEastAsia"/>
                <w:color w:val="000000" w:themeColor="text1"/>
                <w:szCs w:val="21"/>
              </w:rPr>
              <w:t>3</w:t>
            </w:r>
          </w:p>
        </w:tc>
        <w:tc>
          <w:tcPr>
            <w:tcW w:w="755" w:type="dxa"/>
            <w:vAlign w:val="center"/>
          </w:tcPr>
          <w:p>
            <w:pPr>
              <w:spacing w:line="240" w:lineRule="exact"/>
              <w:jc w:val="center"/>
              <w:rPr>
                <w:rFonts w:eastAsiaTheme="minorEastAsia"/>
                <w:color w:val="000000" w:themeColor="text1"/>
                <w:szCs w:val="21"/>
              </w:rPr>
            </w:pPr>
            <w:r>
              <w:rPr>
                <w:rFonts w:eastAsiaTheme="minorEastAsia"/>
                <w:color w:val="000000" w:themeColor="text1"/>
                <w:szCs w:val="21"/>
              </w:rPr>
              <w:t>分装</w:t>
            </w:r>
          </w:p>
        </w:tc>
        <w:tc>
          <w:tcPr>
            <w:tcW w:w="1455" w:type="dxa"/>
            <w:vAlign w:val="center"/>
          </w:tcPr>
          <w:p>
            <w:pPr>
              <w:spacing w:line="240" w:lineRule="exact"/>
              <w:jc w:val="center"/>
              <w:rPr>
                <w:rFonts w:eastAsiaTheme="minorEastAsia"/>
                <w:color w:val="000000" w:themeColor="text1"/>
                <w:szCs w:val="21"/>
              </w:rPr>
            </w:pPr>
            <w:r>
              <w:rPr>
                <w:rFonts w:eastAsiaTheme="minorEastAsia"/>
                <w:color w:val="000000" w:themeColor="text1"/>
                <w:szCs w:val="21"/>
              </w:rPr>
              <w:t>甲醇</w:t>
            </w:r>
          </w:p>
        </w:tc>
        <w:tc>
          <w:tcPr>
            <w:tcW w:w="645" w:type="dxa"/>
            <w:vAlign w:val="center"/>
          </w:tcPr>
          <w:p>
            <w:pPr>
              <w:spacing w:line="240" w:lineRule="exact"/>
              <w:jc w:val="center"/>
              <w:rPr>
                <w:rFonts w:eastAsiaTheme="minorEastAsia"/>
                <w:color w:val="000000" w:themeColor="text1"/>
                <w:szCs w:val="21"/>
              </w:rPr>
            </w:pPr>
            <w:r>
              <w:rPr>
                <w:rFonts w:eastAsiaTheme="minorEastAsia"/>
                <w:color w:val="000000" w:themeColor="text1"/>
                <w:szCs w:val="21"/>
              </w:rPr>
              <w:t>10</w:t>
            </w:r>
          </w:p>
        </w:tc>
        <w:tc>
          <w:tcPr>
            <w:tcW w:w="690" w:type="dxa"/>
            <w:vAlign w:val="center"/>
          </w:tcPr>
          <w:p>
            <w:pPr>
              <w:spacing w:line="240" w:lineRule="exact"/>
              <w:jc w:val="center"/>
              <w:rPr>
                <w:rFonts w:eastAsiaTheme="minorEastAsia"/>
                <w:color w:val="000000" w:themeColor="text1"/>
                <w:szCs w:val="21"/>
              </w:rPr>
            </w:pPr>
            <w:r>
              <w:rPr>
                <w:rFonts w:eastAsiaTheme="minorEastAsia"/>
                <w:color w:val="000000" w:themeColor="text1"/>
                <w:szCs w:val="21"/>
              </w:rPr>
              <w:t>0</w:t>
            </w:r>
          </w:p>
        </w:tc>
        <w:tc>
          <w:tcPr>
            <w:tcW w:w="705" w:type="dxa"/>
            <w:vAlign w:val="center"/>
          </w:tcPr>
          <w:p>
            <w:pPr>
              <w:spacing w:line="240" w:lineRule="exact"/>
              <w:jc w:val="center"/>
              <w:rPr>
                <w:rFonts w:eastAsiaTheme="minorEastAsia"/>
                <w:color w:val="000000" w:themeColor="text1"/>
                <w:szCs w:val="21"/>
              </w:rPr>
            </w:pPr>
            <w:r>
              <w:rPr>
                <w:rFonts w:eastAsiaTheme="minorEastAsia"/>
                <w:color w:val="000000" w:themeColor="text1"/>
                <w:szCs w:val="21"/>
              </w:rPr>
              <w:t>0</w:t>
            </w:r>
          </w:p>
        </w:tc>
        <w:tc>
          <w:tcPr>
            <w:tcW w:w="765" w:type="dxa"/>
            <w:vAlign w:val="center"/>
          </w:tcPr>
          <w:p>
            <w:pPr>
              <w:spacing w:line="240" w:lineRule="exact"/>
              <w:jc w:val="center"/>
              <w:rPr>
                <w:rFonts w:eastAsiaTheme="minorEastAsia"/>
                <w:color w:val="000000" w:themeColor="text1"/>
                <w:szCs w:val="21"/>
              </w:rPr>
            </w:pPr>
            <w:r>
              <w:rPr>
                <w:rFonts w:eastAsiaTheme="minorEastAsia"/>
                <w:color w:val="000000" w:themeColor="text1"/>
                <w:szCs w:val="21"/>
              </w:rPr>
              <w:t>0</w:t>
            </w:r>
          </w:p>
        </w:tc>
        <w:tc>
          <w:tcPr>
            <w:tcW w:w="735" w:type="dxa"/>
            <w:vAlign w:val="center"/>
          </w:tcPr>
          <w:p>
            <w:pPr>
              <w:spacing w:line="240" w:lineRule="exact"/>
              <w:jc w:val="center"/>
              <w:rPr>
                <w:rFonts w:eastAsiaTheme="minorEastAsia"/>
                <w:color w:val="000000" w:themeColor="text1"/>
                <w:szCs w:val="21"/>
              </w:rPr>
            </w:pPr>
            <w:r>
              <w:rPr>
                <w:rFonts w:eastAsiaTheme="minorEastAsia"/>
                <w:color w:val="000000" w:themeColor="text1"/>
                <w:szCs w:val="21"/>
              </w:rPr>
              <w:t>2</w:t>
            </w:r>
          </w:p>
        </w:tc>
        <w:tc>
          <w:tcPr>
            <w:tcW w:w="750" w:type="dxa"/>
            <w:vAlign w:val="center"/>
          </w:tcPr>
          <w:p>
            <w:pPr>
              <w:spacing w:line="240" w:lineRule="exact"/>
              <w:jc w:val="center"/>
              <w:rPr>
                <w:rFonts w:eastAsiaTheme="minorEastAsia"/>
                <w:color w:val="000000" w:themeColor="text1"/>
                <w:szCs w:val="21"/>
              </w:rPr>
            </w:pPr>
            <w:r>
              <w:rPr>
                <w:rFonts w:eastAsiaTheme="minorEastAsia"/>
                <w:color w:val="000000" w:themeColor="text1"/>
                <w:szCs w:val="21"/>
              </w:rPr>
              <w:t>12</w:t>
            </w:r>
          </w:p>
        </w:tc>
        <w:tc>
          <w:tcPr>
            <w:tcW w:w="1155" w:type="dxa"/>
            <w:vAlign w:val="center"/>
          </w:tcPr>
          <w:p>
            <w:pPr>
              <w:spacing w:line="240" w:lineRule="exact"/>
              <w:jc w:val="center"/>
              <w:rPr>
                <w:rFonts w:eastAsiaTheme="minorEastAsia"/>
                <w:color w:val="000000" w:themeColor="text1"/>
                <w:szCs w:val="21"/>
              </w:rPr>
            </w:pPr>
            <w:r>
              <w:rPr>
                <w:rFonts w:eastAsiaTheme="minorEastAsia"/>
                <w:color w:val="000000" w:themeColor="text1"/>
                <w:szCs w:val="21"/>
              </w:rPr>
              <w:t>中度危险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2" w:hRule="atLeast"/>
          <w:jc w:val="center"/>
        </w:trPr>
        <w:tc>
          <w:tcPr>
            <w:tcW w:w="606" w:type="dxa"/>
            <w:vAlign w:val="center"/>
          </w:tcPr>
          <w:p>
            <w:pPr>
              <w:spacing w:line="240" w:lineRule="exact"/>
              <w:jc w:val="center"/>
              <w:rPr>
                <w:rFonts w:eastAsiaTheme="minorEastAsia"/>
                <w:color w:val="000000" w:themeColor="text1"/>
                <w:szCs w:val="21"/>
              </w:rPr>
            </w:pPr>
            <w:r>
              <w:rPr>
                <w:rFonts w:eastAsiaTheme="minorEastAsia"/>
                <w:color w:val="000000" w:themeColor="text1"/>
                <w:szCs w:val="21"/>
              </w:rPr>
              <w:t>4</w:t>
            </w:r>
          </w:p>
        </w:tc>
        <w:tc>
          <w:tcPr>
            <w:tcW w:w="755" w:type="dxa"/>
            <w:vAlign w:val="center"/>
          </w:tcPr>
          <w:p>
            <w:pPr>
              <w:spacing w:line="240" w:lineRule="exact"/>
              <w:jc w:val="center"/>
              <w:rPr>
                <w:rFonts w:eastAsiaTheme="minorEastAsia"/>
                <w:color w:val="000000" w:themeColor="text1"/>
                <w:szCs w:val="21"/>
              </w:rPr>
            </w:pPr>
            <w:r>
              <w:rPr>
                <w:rFonts w:eastAsiaTheme="minorEastAsia"/>
                <w:color w:val="000000" w:themeColor="text1"/>
                <w:szCs w:val="21"/>
              </w:rPr>
              <w:t>装车</w:t>
            </w:r>
          </w:p>
        </w:tc>
        <w:tc>
          <w:tcPr>
            <w:tcW w:w="1455" w:type="dxa"/>
            <w:vAlign w:val="center"/>
          </w:tcPr>
          <w:p>
            <w:pPr>
              <w:spacing w:line="240" w:lineRule="exact"/>
              <w:jc w:val="center"/>
              <w:rPr>
                <w:rFonts w:eastAsiaTheme="minorEastAsia"/>
                <w:color w:val="000000" w:themeColor="text1"/>
                <w:szCs w:val="21"/>
              </w:rPr>
            </w:pPr>
            <w:r>
              <w:rPr>
                <w:rFonts w:eastAsiaTheme="minorEastAsia"/>
                <w:color w:val="000000" w:themeColor="text1"/>
                <w:szCs w:val="21"/>
              </w:rPr>
              <w:t>甲醇</w:t>
            </w:r>
          </w:p>
        </w:tc>
        <w:tc>
          <w:tcPr>
            <w:tcW w:w="645" w:type="dxa"/>
            <w:vAlign w:val="center"/>
          </w:tcPr>
          <w:p>
            <w:pPr>
              <w:spacing w:line="240" w:lineRule="exact"/>
              <w:jc w:val="center"/>
              <w:rPr>
                <w:rFonts w:eastAsiaTheme="minorEastAsia"/>
                <w:color w:val="000000" w:themeColor="text1"/>
                <w:szCs w:val="21"/>
              </w:rPr>
            </w:pPr>
            <w:r>
              <w:rPr>
                <w:rFonts w:eastAsiaTheme="minorEastAsia"/>
                <w:color w:val="000000" w:themeColor="text1"/>
                <w:szCs w:val="21"/>
              </w:rPr>
              <w:t>10</w:t>
            </w:r>
          </w:p>
        </w:tc>
        <w:tc>
          <w:tcPr>
            <w:tcW w:w="690" w:type="dxa"/>
            <w:vAlign w:val="center"/>
          </w:tcPr>
          <w:p>
            <w:pPr>
              <w:spacing w:line="240" w:lineRule="exact"/>
              <w:jc w:val="center"/>
              <w:rPr>
                <w:rFonts w:eastAsiaTheme="minorEastAsia"/>
                <w:color w:val="000000" w:themeColor="text1"/>
                <w:szCs w:val="21"/>
              </w:rPr>
            </w:pPr>
            <w:r>
              <w:rPr>
                <w:rFonts w:eastAsiaTheme="minorEastAsia"/>
                <w:color w:val="000000" w:themeColor="text1"/>
                <w:szCs w:val="21"/>
              </w:rPr>
              <w:t>2</w:t>
            </w:r>
          </w:p>
        </w:tc>
        <w:tc>
          <w:tcPr>
            <w:tcW w:w="705" w:type="dxa"/>
            <w:vAlign w:val="center"/>
          </w:tcPr>
          <w:p>
            <w:pPr>
              <w:spacing w:line="240" w:lineRule="exact"/>
              <w:jc w:val="center"/>
              <w:rPr>
                <w:rFonts w:eastAsiaTheme="minorEastAsia"/>
                <w:color w:val="000000" w:themeColor="text1"/>
                <w:szCs w:val="21"/>
              </w:rPr>
            </w:pPr>
            <w:r>
              <w:rPr>
                <w:rFonts w:eastAsiaTheme="minorEastAsia"/>
                <w:color w:val="000000" w:themeColor="text1"/>
                <w:szCs w:val="21"/>
              </w:rPr>
              <w:t>0</w:t>
            </w:r>
          </w:p>
        </w:tc>
        <w:tc>
          <w:tcPr>
            <w:tcW w:w="765" w:type="dxa"/>
            <w:vAlign w:val="center"/>
          </w:tcPr>
          <w:p>
            <w:pPr>
              <w:spacing w:line="240" w:lineRule="exact"/>
              <w:jc w:val="center"/>
              <w:rPr>
                <w:rFonts w:eastAsiaTheme="minorEastAsia"/>
                <w:color w:val="000000" w:themeColor="text1"/>
                <w:szCs w:val="21"/>
              </w:rPr>
            </w:pPr>
            <w:r>
              <w:rPr>
                <w:rFonts w:eastAsiaTheme="minorEastAsia"/>
                <w:color w:val="000000" w:themeColor="text1"/>
                <w:szCs w:val="21"/>
              </w:rPr>
              <w:t>0</w:t>
            </w:r>
          </w:p>
        </w:tc>
        <w:tc>
          <w:tcPr>
            <w:tcW w:w="735" w:type="dxa"/>
            <w:vAlign w:val="center"/>
          </w:tcPr>
          <w:p>
            <w:pPr>
              <w:spacing w:line="240" w:lineRule="exact"/>
              <w:jc w:val="center"/>
              <w:rPr>
                <w:rFonts w:eastAsiaTheme="minorEastAsia"/>
                <w:color w:val="000000" w:themeColor="text1"/>
                <w:szCs w:val="21"/>
              </w:rPr>
            </w:pPr>
            <w:r>
              <w:rPr>
                <w:rFonts w:eastAsiaTheme="minorEastAsia"/>
                <w:color w:val="000000" w:themeColor="text1"/>
                <w:szCs w:val="21"/>
              </w:rPr>
              <w:t>2</w:t>
            </w:r>
          </w:p>
        </w:tc>
        <w:tc>
          <w:tcPr>
            <w:tcW w:w="750" w:type="dxa"/>
            <w:vAlign w:val="center"/>
          </w:tcPr>
          <w:p>
            <w:pPr>
              <w:spacing w:line="240" w:lineRule="exact"/>
              <w:jc w:val="center"/>
              <w:rPr>
                <w:rFonts w:eastAsiaTheme="minorEastAsia"/>
                <w:color w:val="000000" w:themeColor="text1"/>
                <w:szCs w:val="21"/>
              </w:rPr>
            </w:pPr>
            <w:r>
              <w:rPr>
                <w:rFonts w:eastAsiaTheme="minorEastAsia"/>
                <w:color w:val="000000" w:themeColor="text1"/>
                <w:szCs w:val="21"/>
              </w:rPr>
              <w:t>14</w:t>
            </w:r>
          </w:p>
        </w:tc>
        <w:tc>
          <w:tcPr>
            <w:tcW w:w="1155" w:type="dxa"/>
            <w:vAlign w:val="center"/>
          </w:tcPr>
          <w:p>
            <w:pPr>
              <w:spacing w:line="240" w:lineRule="exact"/>
              <w:jc w:val="center"/>
              <w:rPr>
                <w:rFonts w:eastAsiaTheme="minorEastAsia"/>
                <w:color w:val="000000" w:themeColor="text1"/>
                <w:szCs w:val="21"/>
              </w:rPr>
            </w:pPr>
            <w:r>
              <w:rPr>
                <w:rFonts w:eastAsiaTheme="minorEastAsia"/>
                <w:color w:val="000000" w:themeColor="text1"/>
                <w:szCs w:val="21"/>
              </w:rPr>
              <w:t>中度危险</w:t>
            </w:r>
          </w:p>
        </w:tc>
      </w:tr>
    </w:tbl>
    <w:p>
      <w:pPr>
        <w:spacing w:line="500" w:lineRule="exact"/>
        <w:ind w:firstLine="560" w:firstLineChars="200"/>
        <w:rPr>
          <w:color w:val="000000" w:themeColor="text1"/>
          <w:sz w:val="30"/>
          <w:szCs w:val="30"/>
        </w:rPr>
      </w:pPr>
      <w:r>
        <w:rPr>
          <w:rFonts w:eastAsiaTheme="minorEastAsia"/>
          <w:color w:val="000000" w:themeColor="text1"/>
          <w:sz w:val="28"/>
          <w:szCs w:val="28"/>
        </w:rPr>
        <w:t>由上表可知，采用危险度评价法对该项目甲醇装卸、储存、分装、装车单元的危险度进行分析评价可知，该项目卸车、分装、储存及装车单元均为</w:t>
      </w:r>
      <w:r>
        <w:rPr>
          <w:rFonts w:eastAsiaTheme="minorEastAsia"/>
          <w:color w:val="000000" w:themeColor="text1"/>
          <w:sz w:val="30"/>
          <w:szCs w:val="30"/>
        </w:rPr>
        <w:t>中度危险。</w:t>
      </w:r>
    </w:p>
    <w:p>
      <w:pPr>
        <w:pStyle w:val="19"/>
        <w:spacing w:afterLines="100" w:line="500" w:lineRule="exact"/>
        <w:jc w:val="center"/>
        <w:rPr>
          <w:rFonts w:ascii="楷体_GB2312" w:hAnsi="宋体" w:eastAsia="楷体_GB2312"/>
          <w:color w:val="000000" w:themeColor="text1"/>
          <w:kern w:val="3"/>
        </w:rPr>
      </w:pPr>
      <w:bookmarkStart w:id="1668" w:name="_Toc29425"/>
      <w:bookmarkStart w:id="1669" w:name="_Toc22887"/>
      <w:bookmarkStart w:id="1670" w:name="_Toc3455"/>
      <w:bookmarkStart w:id="1671" w:name="_Toc29681"/>
      <w:bookmarkStart w:id="1672" w:name="_Toc13777"/>
      <w:bookmarkStart w:id="1673" w:name="_Toc6513"/>
      <w:bookmarkStart w:id="1674" w:name="_Toc18148_WPSOffice_Level2"/>
      <w:bookmarkStart w:id="1675" w:name="_Toc23000"/>
      <w:bookmarkStart w:id="1676" w:name="_Toc7573"/>
      <w:bookmarkStart w:id="1677" w:name="_Toc1075"/>
      <w:bookmarkStart w:id="1678" w:name="_Toc26683"/>
      <w:bookmarkStart w:id="1679" w:name="_Toc14112"/>
      <w:bookmarkStart w:id="1680" w:name="_Toc26148"/>
      <w:bookmarkStart w:id="1681" w:name="_Toc5011"/>
      <w:bookmarkStart w:id="1682" w:name="_Toc17907"/>
      <w:bookmarkStart w:id="1683" w:name="_Toc28775"/>
      <w:r>
        <w:rPr>
          <w:rFonts w:hint="eastAsia" w:ascii="楷体_GB2312" w:hAnsi="宋体" w:eastAsia="楷体_GB2312"/>
          <w:color w:val="000000" w:themeColor="text1"/>
          <w:kern w:val="3"/>
        </w:rPr>
        <w:t>5.2 LEC改进法危险性分析</w:t>
      </w:r>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p>
    <w:p>
      <w:pPr>
        <w:pStyle w:val="34"/>
        <w:adjustRightInd w:val="0"/>
        <w:snapToGrid w:val="0"/>
        <w:spacing w:after="0" w:line="500" w:lineRule="exact"/>
        <w:ind w:left="0" w:leftChars="0" w:firstLine="560" w:firstLineChars="200"/>
        <w:rPr>
          <w:rFonts w:eastAsiaTheme="minorEastAsia"/>
          <w:snapToGrid w:val="0"/>
          <w:color w:val="000000" w:themeColor="text1"/>
          <w:kern w:val="0"/>
          <w:sz w:val="28"/>
          <w:szCs w:val="28"/>
        </w:rPr>
      </w:pPr>
      <w:r>
        <w:rPr>
          <w:rFonts w:eastAsiaTheme="minorEastAsia"/>
          <w:snapToGrid w:val="0"/>
          <w:color w:val="000000" w:themeColor="text1"/>
          <w:kern w:val="0"/>
          <w:sz w:val="28"/>
          <w:szCs w:val="28"/>
        </w:rPr>
        <w:t>本次根据该项目运行中的操作条件及作业人员进入危险环境的频次，分别对该项目甲醇卸车、分装、储存、装车环节以及供配电、给排水、检修过程涉及的各参数进行取值计算。以储存为例。通过对储存环节的工艺操作条件及危险性分析，可知该环节危险事件发生的可能性L，由于是相当可能的，因此L值取3；操作过程中逐日在工作时间内暴露，因此E值取6；根据该作业环境中产生的危害对人体的可能伤害程度，危险严重度C值取7；根据该项目实际运行情况，安全管理补偿系数M取0.32。按照以上取值计算：</w:t>
      </w:r>
      <w:r>
        <w:rPr>
          <w:rFonts w:eastAsiaTheme="minorEastAsia"/>
          <w:color w:val="000000" w:themeColor="text1"/>
          <w:sz w:val="28"/>
          <w:szCs w:val="28"/>
        </w:rPr>
        <w:t>危险性（D）＝L×E×C×M＝3×6×7×0.32＝40.32</w:t>
      </w:r>
    </w:p>
    <w:p>
      <w:pPr>
        <w:adjustRightInd w:val="0"/>
        <w:snapToGrid w:val="0"/>
        <w:spacing w:line="500" w:lineRule="atLeast"/>
        <w:ind w:firstLine="560" w:firstLineChars="200"/>
        <w:rPr>
          <w:rFonts w:eastAsiaTheme="minorEastAsia"/>
          <w:snapToGrid w:val="0"/>
          <w:color w:val="000000" w:themeColor="text1"/>
          <w:kern w:val="0"/>
          <w:sz w:val="28"/>
          <w:szCs w:val="28"/>
        </w:rPr>
      </w:pPr>
      <w:r>
        <w:rPr>
          <w:rFonts w:eastAsiaTheme="minorEastAsia"/>
          <w:snapToGrid w:val="0"/>
          <w:color w:val="000000" w:themeColor="text1"/>
          <w:kern w:val="0"/>
          <w:sz w:val="28"/>
          <w:szCs w:val="28"/>
        </w:rPr>
        <w:t>对照危险性程度分级的分数值可以得出，在储存过程中的危险性程度为高度危险。按照以上方法取值，并计算D值，列入下表5-2中所示。另根据该项目实际运行情况，考虑安全管理补偿系数，将考虑M值后的危险等级，对照相应的取值方法得到下表中的实际等级。</w:t>
      </w:r>
    </w:p>
    <w:p>
      <w:pPr>
        <w:adjustRightInd w:val="0"/>
        <w:snapToGrid w:val="0"/>
        <w:spacing w:line="500" w:lineRule="atLeast"/>
        <w:ind w:firstLine="480" w:firstLineChars="200"/>
        <w:jc w:val="center"/>
        <w:rPr>
          <w:rFonts w:eastAsiaTheme="minorEastAsia"/>
          <w:bCs/>
          <w:color w:val="000000" w:themeColor="text1"/>
          <w:sz w:val="24"/>
        </w:rPr>
      </w:pPr>
      <w:r>
        <w:rPr>
          <w:rFonts w:eastAsiaTheme="minorEastAsia"/>
          <w:bCs/>
          <w:color w:val="000000" w:themeColor="text1"/>
          <w:sz w:val="24"/>
        </w:rPr>
        <w:t>表5-2 LEC改进法评价结果表</w:t>
      </w:r>
    </w:p>
    <w:tbl>
      <w:tblPr>
        <w:tblStyle w:val="52"/>
        <w:tblW w:w="88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1"/>
        <w:gridCol w:w="387"/>
        <w:gridCol w:w="477"/>
        <w:gridCol w:w="384"/>
        <w:gridCol w:w="561"/>
        <w:gridCol w:w="1517"/>
        <w:gridCol w:w="691"/>
        <w:gridCol w:w="400"/>
        <w:gridCol w:w="369"/>
        <w:gridCol w:w="416"/>
        <w:gridCol w:w="757"/>
        <w:gridCol w:w="1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exact"/>
          <w:jc w:val="center"/>
        </w:trPr>
        <w:tc>
          <w:tcPr>
            <w:tcW w:w="1411" w:type="dxa"/>
            <w:vMerge w:val="restart"/>
            <w:tcBorders>
              <w:tl2br w:val="single" w:color="auto" w:sz="4" w:space="0"/>
            </w:tcBorders>
            <w:vAlign w:val="center"/>
          </w:tcPr>
          <w:p>
            <w:pPr>
              <w:adjustRightInd w:val="0"/>
              <w:snapToGrid w:val="0"/>
              <w:spacing w:line="240" w:lineRule="exact"/>
              <w:jc w:val="center"/>
              <w:rPr>
                <w:rFonts w:eastAsiaTheme="minorEastAsia"/>
                <w:bCs/>
                <w:color w:val="000000" w:themeColor="text1"/>
                <w:szCs w:val="21"/>
              </w:rPr>
            </w:pPr>
            <w:r>
              <w:rPr>
                <w:rFonts w:eastAsiaTheme="minorEastAsia"/>
                <w:bCs/>
                <w:color w:val="000000" w:themeColor="text1"/>
                <w:szCs w:val="21"/>
              </w:rPr>
              <w:t xml:space="preserve">    项目</w:t>
            </w:r>
          </w:p>
          <w:p>
            <w:pPr>
              <w:adjustRightInd w:val="0"/>
              <w:snapToGrid w:val="0"/>
              <w:spacing w:line="240" w:lineRule="exact"/>
              <w:jc w:val="center"/>
              <w:rPr>
                <w:rFonts w:eastAsiaTheme="minorEastAsia"/>
                <w:bCs/>
                <w:color w:val="000000" w:themeColor="text1"/>
                <w:szCs w:val="21"/>
              </w:rPr>
            </w:pPr>
          </w:p>
          <w:p>
            <w:pPr>
              <w:adjustRightInd w:val="0"/>
              <w:snapToGrid w:val="0"/>
              <w:spacing w:line="240" w:lineRule="exact"/>
              <w:rPr>
                <w:rFonts w:eastAsiaTheme="minorEastAsia"/>
                <w:bCs/>
                <w:color w:val="000000" w:themeColor="text1"/>
                <w:szCs w:val="21"/>
              </w:rPr>
            </w:pPr>
            <w:r>
              <w:rPr>
                <w:rFonts w:eastAsiaTheme="minorEastAsia"/>
                <w:bCs/>
                <w:color w:val="000000" w:themeColor="text1"/>
                <w:szCs w:val="21"/>
              </w:rPr>
              <w:t>单元</w:t>
            </w:r>
          </w:p>
        </w:tc>
        <w:tc>
          <w:tcPr>
            <w:tcW w:w="3326" w:type="dxa"/>
            <w:gridSpan w:val="5"/>
            <w:vAlign w:val="center"/>
          </w:tcPr>
          <w:p>
            <w:pPr>
              <w:adjustRightInd w:val="0"/>
              <w:snapToGrid w:val="0"/>
              <w:spacing w:line="240" w:lineRule="exact"/>
              <w:jc w:val="center"/>
              <w:rPr>
                <w:rFonts w:eastAsiaTheme="minorEastAsia"/>
                <w:bCs/>
                <w:color w:val="000000" w:themeColor="text1"/>
                <w:szCs w:val="21"/>
              </w:rPr>
            </w:pPr>
            <w:r>
              <w:rPr>
                <w:rFonts w:eastAsiaTheme="minorEastAsia"/>
                <w:bCs/>
                <w:color w:val="000000" w:themeColor="text1"/>
                <w:szCs w:val="21"/>
              </w:rPr>
              <w:t>LEC法</w:t>
            </w:r>
          </w:p>
        </w:tc>
        <w:tc>
          <w:tcPr>
            <w:tcW w:w="4123" w:type="dxa"/>
            <w:gridSpan w:val="6"/>
            <w:vAlign w:val="center"/>
          </w:tcPr>
          <w:p>
            <w:pPr>
              <w:adjustRightInd w:val="0"/>
              <w:snapToGrid w:val="0"/>
              <w:spacing w:line="240" w:lineRule="exact"/>
              <w:jc w:val="center"/>
              <w:rPr>
                <w:rFonts w:eastAsiaTheme="minorEastAsia"/>
                <w:bCs/>
                <w:color w:val="000000" w:themeColor="text1"/>
                <w:spacing w:val="-20"/>
                <w:szCs w:val="21"/>
              </w:rPr>
            </w:pPr>
            <w:r>
              <w:rPr>
                <w:rFonts w:eastAsiaTheme="minorEastAsia"/>
                <w:bCs/>
                <w:color w:val="000000" w:themeColor="text1"/>
                <w:szCs w:val="21"/>
              </w:rPr>
              <w:t>改进后的LEC法（考虑安全管理系数M后）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exact"/>
          <w:jc w:val="center"/>
        </w:trPr>
        <w:tc>
          <w:tcPr>
            <w:tcW w:w="1411" w:type="dxa"/>
            <w:vMerge w:val="continue"/>
            <w:tcBorders>
              <w:tl2br w:val="single" w:color="auto" w:sz="4" w:space="0"/>
            </w:tcBorders>
            <w:vAlign w:val="center"/>
          </w:tcPr>
          <w:p>
            <w:pPr>
              <w:adjustRightInd w:val="0"/>
              <w:snapToGrid w:val="0"/>
              <w:spacing w:line="240" w:lineRule="exact"/>
              <w:jc w:val="center"/>
              <w:rPr>
                <w:rFonts w:eastAsiaTheme="minorEastAsia"/>
                <w:bCs/>
                <w:color w:val="000000" w:themeColor="text1"/>
                <w:szCs w:val="21"/>
              </w:rPr>
            </w:pPr>
          </w:p>
        </w:tc>
        <w:tc>
          <w:tcPr>
            <w:tcW w:w="387" w:type="dxa"/>
            <w:vAlign w:val="center"/>
          </w:tcPr>
          <w:p>
            <w:pPr>
              <w:adjustRightInd w:val="0"/>
              <w:snapToGrid w:val="0"/>
              <w:spacing w:line="240" w:lineRule="exact"/>
              <w:jc w:val="center"/>
              <w:rPr>
                <w:rFonts w:eastAsiaTheme="minorEastAsia"/>
                <w:bCs/>
                <w:color w:val="000000" w:themeColor="text1"/>
                <w:szCs w:val="21"/>
              </w:rPr>
            </w:pPr>
            <w:r>
              <w:rPr>
                <w:rFonts w:eastAsiaTheme="minorEastAsia"/>
                <w:bCs/>
                <w:color w:val="000000" w:themeColor="text1"/>
                <w:szCs w:val="21"/>
              </w:rPr>
              <w:t>L</w:t>
            </w:r>
          </w:p>
        </w:tc>
        <w:tc>
          <w:tcPr>
            <w:tcW w:w="477" w:type="dxa"/>
            <w:vAlign w:val="center"/>
          </w:tcPr>
          <w:p>
            <w:pPr>
              <w:adjustRightInd w:val="0"/>
              <w:snapToGrid w:val="0"/>
              <w:spacing w:line="240" w:lineRule="exact"/>
              <w:jc w:val="center"/>
              <w:rPr>
                <w:rFonts w:eastAsiaTheme="minorEastAsia"/>
                <w:bCs/>
                <w:color w:val="000000" w:themeColor="text1"/>
                <w:szCs w:val="21"/>
              </w:rPr>
            </w:pPr>
            <w:r>
              <w:rPr>
                <w:rFonts w:eastAsiaTheme="minorEastAsia"/>
                <w:bCs/>
                <w:color w:val="000000" w:themeColor="text1"/>
                <w:szCs w:val="21"/>
              </w:rPr>
              <w:t>E</w:t>
            </w:r>
          </w:p>
        </w:tc>
        <w:tc>
          <w:tcPr>
            <w:tcW w:w="384" w:type="dxa"/>
            <w:vAlign w:val="center"/>
          </w:tcPr>
          <w:p>
            <w:pPr>
              <w:adjustRightInd w:val="0"/>
              <w:snapToGrid w:val="0"/>
              <w:spacing w:line="240" w:lineRule="exact"/>
              <w:jc w:val="center"/>
              <w:rPr>
                <w:rFonts w:eastAsiaTheme="minorEastAsia"/>
                <w:bCs/>
                <w:color w:val="000000" w:themeColor="text1"/>
                <w:szCs w:val="21"/>
              </w:rPr>
            </w:pPr>
            <w:r>
              <w:rPr>
                <w:rFonts w:eastAsiaTheme="minorEastAsia"/>
                <w:bCs/>
                <w:color w:val="000000" w:themeColor="text1"/>
                <w:szCs w:val="21"/>
              </w:rPr>
              <w:t>C</w:t>
            </w:r>
          </w:p>
        </w:tc>
        <w:tc>
          <w:tcPr>
            <w:tcW w:w="561" w:type="dxa"/>
            <w:vAlign w:val="center"/>
          </w:tcPr>
          <w:p>
            <w:pPr>
              <w:adjustRightInd w:val="0"/>
              <w:snapToGrid w:val="0"/>
              <w:spacing w:line="240" w:lineRule="exact"/>
              <w:jc w:val="center"/>
              <w:rPr>
                <w:rFonts w:eastAsiaTheme="minorEastAsia"/>
                <w:b/>
                <w:color w:val="000000" w:themeColor="text1"/>
                <w:szCs w:val="21"/>
              </w:rPr>
            </w:pPr>
            <w:r>
              <w:rPr>
                <w:rFonts w:eastAsiaTheme="minorEastAsia"/>
                <w:b/>
                <w:color w:val="000000" w:themeColor="text1"/>
                <w:szCs w:val="21"/>
              </w:rPr>
              <w:t>D</w:t>
            </w:r>
          </w:p>
        </w:tc>
        <w:tc>
          <w:tcPr>
            <w:tcW w:w="1517" w:type="dxa"/>
            <w:vAlign w:val="center"/>
          </w:tcPr>
          <w:p>
            <w:pPr>
              <w:adjustRightInd w:val="0"/>
              <w:snapToGrid w:val="0"/>
              <w:spacing w:line="240" w:lineRule="exact"/>
              <w:jc w:val="center"/>
              <w:rPr>
                <w:rFonts w:eastAsiaTheme="minorEastAsia"/>
                <w:bCs/>
                <w:color w:val="000000" w:themeColor="text1"/>
                <w:spacing w:val="-20"/>
                <w:szCs w:val="21"/>
              </w:rPr>
            </w:pPr>
            <w:r>
              <w:rPr>
                <w:rFonts w:eastAsiaTheme="minorEastAsia"/>
                <w:bCs/>
                <w:color w:val="000000" w:themeColor="text1"/>
                <w:szCs w:val="21"/>
              </w:rPr>
              <w:t>危险程度分级</w:t>
            </w:r>
          </w:p>
        </w:tc>
        <w:tc>
          <w:tcPr>
            <w:tcW w:w="691" w:type="dxa"/>
            <w:vAlign w:val="center"/>
          </w:tcPr>
          <w:p>
            <w:pPr>
              <w:adjustRightInd w:val="0"/>
              <w:snapToGrid w:val="0"/>
              <w:spacing w:line="240" w:lineRule="exact"/>
              <w:jc w:val="center"/>
              <w:rPr>
                <w:rFonts w:eastAsiaTheme="minorEastAsia"/>
                <w:b/>
                <w:color w:val="000000" w:themeColor="text1"/>
                <w:szCs w:val="21"/>
              </w:rPr>
            </w:pPr>
            <w:r>
              <w:rPr>
                <w:rFonts w:eastAsiaTheme="minorEastAsia"/>
                <w:b/>
                <w:color w:val="000000" w:themeColor="text1"/>
                <w:szCs w:val="21"/>
              </w:rPr>
              <w:t>M</w:t>
            </w:r>
          </w:p>
        </w:tc>
        <w:tc>
          <w:tcPr>
            <w:tcW w:w="400" w:type="dxa"/>
            <w:vAlign w:val="center"/>
          </w:tcPr>
          <w:p>
            <w:pPr>
              <w:adjustRightInd w:val="0"/>
              <w:snapToGrid w:val="0"/>
              <w:spacing w:line="240" w:lineRule="exact"/>
              <w:jc w:val="center"/>
              <w:rPr>
                <w:rFonts w:eastAsiaTheme="minorEastAsia"/>
                <w:bCs/>
                <w:color w:val="000000" w:themeColor="text1"/>
                <w:szCs w:val="21"/>
              </w:rPr>
            </w:pPr>
            <w:r>
              <w:rPr>
                <w:rFonts w:eastAsiaTheme="minorEastAsia"/>
                <w:bCs/>
                <w:color w:val="000000" w:themeColor="text1"/>
                <w:szCs w:val="21"/>
              </w:rPr>
              <w:t>L</w:t>
            </w:r>
          </w:p>
        </w:tc>
        <w:tc>
          <w:tcPr>
            <w:tcW w:w="369" w:type="dxa"/>
            <w:vAlign w:val="center"/>
          </w:tcPr>
          <w:p>
            <w:pPr>
              <w:adjustRightInd w:val="0"/>
              <w:snapToGrid w:val="0"/>
              <w:spacing w:line="240" w:lineRule="exact"/>
              <w:jc w:val="center"/>
              <w:rPr>
                <w:rFonts w:eastAsiaTheme="minorEastAsia"/>
                <w:bCs/>
                <w:color w:val="000000" w:themeColor="text1"/>
                <w:szCs w:val="21"/>
              </w:rPr>
            </w:pPr>
            <w:r>
              <w:rPr>
                <w:rFonts w:eastAsiaTheme="minorEastAsia"/>
                <w:bCs/>
                <w:color w:val="000000" w:themeColor="text1"/>
                <w:szCs w:val="21"/>
              </w:rPr>
              <w:t>E</w:t>
            </w:r>
          </w:p>
        </w:tc>
        <w:tc>
          <w:tcPr>
            <w:tcW w:w="416" w:type="dxa"/>
            <w:vAlign w:val="center"/>
          </w:tcPr>
          <w:p>
            <w:pPr>
              <w:adjustRightInd w:val="0"/>
              <w:snapToGrid w:val="0"/>
              <w:spacing w:line="240" w:lineRule="exact"/>
              <w:jc w:val="center"/>
              <w:rPr>
                <w:rFonts w:eastAsiaTheme="minorEastAsia"/>
                <w:bCs/>
                <w:color w:val="000000" w:themeColor="text1"/>
                <w:szCs w:val="21"/>
              </w:rPr>
            </w:pPr>
            <w:r>
              <w:rPr>
                <w:rFonts w:eastAsiaTheme="minorEastAsia"/>
                <w:bCs/>
                <w:color w:val="000000" w:themeColor="text1"/>
                <w:szCs w:val="21"/>
              </w:rPr>
              <w:t>C</w:t>
            </w:r>
          </w:p>
        </w:tc>
        <w:tc>
          <w:tcPr>
            <w:tcW w:w="757" w:type="dxa"/>
            <w:vAlign w:val="center"/>
          </w:tcPr>
          <w:p>
            <w:pPr>
              <w:adjustRightInd w:val="0"/>
              <w:snapToGrid w:val="0"/>
              <w:spacing w:line="240" w:lineRule="exact"/>
              <w:jc w:val="center"/>
              <w:rPr>
                <w:rFonts w:eastAsiaTheme="minorEastAsia"/>
                <w:b/>
                <w:color w:val="000000" w:themeColor="text1"/>
                <w:szCs w:val="21"/>
              </w:rPr>
            </w:pPr>
            <w:r>
              <w:rPr>
                <w:rFonts w:eastAsiaTheme="minorEastAsia"/>
                <w:b/>
                <w:color w:val="000000" w:themeColor="text1"/>
                <w:szCs w:val="21"/>
              </w:rPr>
              <w:t>D</w:t>
            </w:r>
          </w:p>
        </w:tc>
        <w:tc>
          <w:tcPr>
            <w:tcW w:w="1490" w:type="dxa"/>
            <w:vAlign w:val="center"/>
          </w:tcPr>
          <w:p>
            <w:pPr>
              <w:adjustRightInd w:val="0"/>
              <w:snapToGrid w:val="0"/>
              <w:spacing w:line="240" w:lineRule="exact"/>
              <w:jc w:val="center"/>
              <w:rPr>
                <w:rFonts w:eastAsiaTheme="minorEastAsia"/>
                <w:bCs/>
                <w:color w:val="000000" w:themeColor="text1"/>
                <w:szCs w:val="21"/>
              </w:rPr>
            </w:pPr>
            <w:r>
              <w:rPr>
                <w:rFonts w:eastAsiaTheme="minorEastAsia"/>
                <w:bCs/>
                <w:color w:val="000000" w:themeColor="text1"/>
                <w:szCs w:val="21"/>
              </w:rPr>
              <w:t>危险程度分级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exact"/>
          <w:jc w:val="center"/>
        </w:trPr>
        <w:tc>
          <w:tcPr>
            <w:tcW w:w="1411" w:type="dxa"/>
            <w:vAlign w:val="center"/>
          </w:tcPr>
          <w:p>
            <w:pPr>
              <w:adjustRightInd w:val="0"/>
              <w:snapToGrid w:val="0"/>
              <w:spacing w:line="240" w:lineRule="exact"/>
              <w:jc w:val="center"/>
              <w:rPr>
                <w:rFonts w:eastAsiaTheme="minorEastAsia"/>
                <w:color w:val="000000" w:themeColor="text1"/>
                <w:szCs w:val="21"/>
              </w:rPr>
            </w:pPr>
            <w:r>
              <w:rPr>
                <w:rFonts w:eastAsiaTheme="minorEastAsia"/>
                <w:color w:val="000000" w:themeColor="text1"/>
                <w:szCs w:val="21"/>
              </w:rPr>
              <w:t>卸车</w:t>
            </w:r>
          </w:p>
        </w:tc>
        <w:tc>
          <w:tcPr>
            <w:tcW w:w="387" w:type="dxa"/>
            <w:vAlign w:val="center"/>
          </w:tcPr>
          <w:p>
            <w:pPr>
              <w:adjustRightInd w:val="0"/>
              <w:snapToGrid w:val="0"/>
              <w:spacing w:line="240" w:lineRule="exact"/>
              <w:jc w:val="center"/>
              <w:rPr>
                <w:rFonts w:eastAsiaTheme="minorEastAsia"/>
                <w:color w:val="000000" w:themeColor="text1"/>
                <w:szCs w:val="21"/>
              </w:rPr>
            </w:pPr>
            <w:r>
              <w:rPr>
                <w:rFonts w:eastAsiaTheme="minorEastAsia"/>
                <w:color w:val="000000" w:themeColor="text1"/>
                <w:szCs w:val="21"/>
              </w:rPr>
              <w:t>3</w:t>
            </w:r>
          </w:p>
        </w:tc>
        <w:tc>
          <w:tcPr>
            <w:tcW w:w="477" w:type="dxa"/>
            <w:vAlign w:val="center"/>
          </w:tcPr>
          <w:p>
            <w:pPr>
              <w:adjustRightInd w:val="0"/>
              <w:snapToGrid w:val="0"/>
              <w:spacing w:line="240" w:lineRule="exact"/>
              <w:jc w:val="center"/>
              <w:rPr>
                <w:rFonts w:eastAsiaTheme="minorEastAsia"/>
                <w:color w:val="000000" w:themeColor="text1"/>
                <w:szCs w:val="21"/>
              </w:rPr>
            </w:pPr>
            <w:r>
              <w:rPr>
                <w:rFonts w:eastAsiaTheme="minorEastAsia"/>
                <w:color w:val="000000" w:themeColor="text1"/>
                <w:szCs w:val="21"/>
              </w:rPr>
              <w:t>3</w:t>
            </w:r>
          </w:p>
        </w:tc>
        <w:tc>
          <w:tcPr>
            <w:tcW w:w="384" w:type="dxa"/>
            <w:vAlign w:val="center"/>
          </w:tcPr>
          <w:p>
            <w:pPr>
              <w:adjustRightInd w:val="0"/>
              <w:snapToGrid w:val="0"/>
              <w:spacing w:line="240" w:lineRule="exact"/>
              <w:jc w:val="center"/>
              <w:rPr>
                <w:rFonts w:eastAsiaTheme="minorEastAsia"/>
                <w:color w:val="000000" w:themeColor="text1"/>
                <w:szCs w:val="21"/>
              </w:rPr>
            </w:pPr>
            <w:r>
              <w:rPr>
                <w:rFonts w:eastAsiaTheme="minorEastAsia"/>
                <w:color w:val="000000" w:themeColor="text1"/>
                <w:szCs w:val="21"/>
              </w:rPr>
              <w:t>3</w:t>
            </w:r>
          </w:p>
        </w:tc>
        <w:tc>
          <w:tcPr>
            <w:tcW w:w="561" w:type="dxa"/>
            <w:vAlign w:val="center"/>
          </w:tcPr>
          <w:p>
            <w:pPr>
              <w:adjustRightInd w:val="0"/>
              <w:snapToGrid w:val="0"/>
              <w:spacing w:line="240" w:lineRule="exact"/>
              <w:jc w:val="center"/>
              <w:rPr>
                <w:rFonts w:eastAsiaTheme="minorEastAsia"/>
                <w:b/>
                <w:bCs/>
                <w:color w:val="000000" w:themeColor="text1"/>
                <w:szCs w:val="21"/>
              </w:rPr>
            </w:pPr>
            <w:r>
              <w:rPr>
                <w:rFonts w:eastAsiaTheme="minorEastAsia"/>
                <w:b/>
                <w:bCs/>
                <w:color w:val="000000" w:themeColor="text1"/>
                <w:szCs w:val="21"/>
              </w:rPr>
              <w:t>27</w:t>
            </w:r>
          </w:p>
        </w:tc>
        <w:tc>
          <w:tcPr>
            <w:tcW w:w="1517" w:type="dxa"/>
            <w:vAlign w:val="center"/>
          </w:tcPr>
          <w:p>
            <w:pPr>
              <w:adjustRightInd w:val="0"/>
              <w:snapToGrid w:val="0"/>
              <w:spacing w:line="240" w:lineRule="exact"/>
              <w:jc w:val="center"/>
              <w:rPr>
                <w:rFonts w:eastAsiaTheme="minorEastAsia"/>
                <w:color w:val="000000" w:themeColor="text1"/>
                <w:szCs w:val="21"/>
              </w:rPr>
            </w:pPr>
            <w:r>
              <w:rPr>
                <w:rFonts w:eastAsiaTheme="minorEastAsia"/>
                <w:color w:val="000000" w:themeColor="text1"/>
                <w:szCs w:val="21"/>
              </w:rPr>
              <w:t>可能危险</w:t>
            </w:r>
          </w:p>
        </w:tc>
        <w:tc>
          <w:tcPr>
            <w:tcW w:w="691" w:type="dxa"/>
            <w:vAlign w:val="center"/>
          </w:tcPr>
          <w:p>
            <w:pPr>
              <w:adjustRightInd w:val="0"/>
              <w:snapToGrid w:val="0"/>
              <w:spacing w:line="240" w:lineRule="exact"/>
              <w:jc w:val="center"/>
              <w:rPr>
                <w:rFonts w:eastAsiaTheme="minorEastAsia"/>
                <w:b/>
                <w:color w:val="000000" w:themeColor="text1"/>
                <w:szCs w:val="21"/>
              </w:rPr>
            </w:pPr>
            <w:r>
              <w:rPr>
                <w:rFonts w:eastAsiaTheme="minorEastAsia"/>
                <w:b/>
                <w:color w:val="000000" w:themeColor="text1"/>
                <w:szCs w:val="21"/>
              </w:rPr>
              <w:t>0.30</w:t>
            </w:r>
          </w:p>
        </w:tc>
        <w:tc>
          <w:tcPr>
            <w:tcW w:w="400" w:type="dxa"/>
            <w:vAlign w:val="center"/>
          </w:tcPr>
          <w:p>
            <w:pPr>
              <w:adjustRightInd w:val="0"/>
              <w:snapToGrid w:val="0"/>
              <w:spacing w:line="240" w:lineRule="exact"/>
              <w:jc w:val="center"/>
              <w:rPr>
                <w:rFonts w:eastAsiaTheme="minorEastAsia"/>
                <w:color w:val="000000" w:themeColor="text1"/>
                <w:szCs w:val="21"/>
              </w:rPr>
            </w:pPr>
            <w:r>
              <w:rPr>
                <w:rFonts w:eastAsiaTheme="minorEastAsia"/>
                <w:color w:val="000000" w:themeColor="text1"/>
                <w:szCs w:val="21"/>
              </w:rPr>
              <w:t>3</w:t>
            </w:r>
          </w:p>
        </w:tc>
        <w:tc>
          <w:tcPr>
            <w:tcW w:w="369" w:type="dxa"/>
            <w:vAlign w:val="center"/>
          </w:tcPr>
          <w:p>
            <w:pPr>
              <w:adjustRightInd w:val="0"/>
              <w:snapToGrid w:val="0"/>
              <w:spacing w:line="240" w:lineRule="exact"/>
              <w:jc w:val="center"/>
              <w:rPr>
                <w:rFonts w:eastAsiaTheme="minorEastAsia"/>
                <w:color w:val="000000" w:themeColor="text1"/>
                <w:szCs w:val="21"/>
              </w:rPr>
            </w:pPr>
            <w:r>
              <w:rPr>
                <w:rFonts w:eastAsiaTheme="minorEastAsia"/>
                <w:color w:val="000000" w:themeColor="text1"/>
                <w:szCs w:val="21"/>
              </w:rPr>
              <w:t>3</w:t>
            </w:r>
          </w:p>
        </w:tc>
        <w:tc>
          <w:tcPr>
            <w:tcW w:w="416" w:type="dxa"/>
            <w:vAlign w:val="center"/>
          </w:tcPr>
          <w:p>
            <w:pPr>
              <w:adjustRightInd w:val="0"/>
              <w:snapToGrid w:val="0"/>
              <w:spacing w:line="240" w:lineRule="exact"/>
              <w:jc w:val="center"/>
              <w:rPr>
                <w:rFonts w:eastAsiaTheme="minorEastAsia"/>
                <w:color w:val="000000" w:themeColor="text1"/>
                <w:szCs w:val="21"/>
              </w:rPr>
            </w:pPr>
            <w:r>
              <w:rPr>
                <w:rFonts w:eastAsiaTheme="minorEastAsia"/>
                <w:color w:val="000000" w:themeColor="text1"/>
                <w:szCs w:val="21"/>
              </w:rPr>
              <w:t>3</w:t>
            </w:r>
          </w:p>
        </w:tc>
        <w:tc>
          <w:tcPr>
            <w:tcW w:w="757" w:type="dxa"/>
            <w:vAlign w:val="center"/>
          </w:tcPr>
          <w:p>
            <w:pPr>
              <w:adjustRightInd w:val="0"/>
              <w:snapToGrid w:val="0"/>
              <w:spacing w:line="240" w:lineRule="exact"/>
              <w:jc w:val="center"/>
              <w:rPr>
                <w:rFonts w:eastAsiaTheme="minorEastAsia"/>
                <w:b/>
                <w:color w:val="000000" w:themeColor="text1"/>
                <w:szCs w:val="21"/>
              </w:rPr>
            </w:pPr>
            <w:r>
              <w:rPr>
                <w:rFonts w:eastAsiaTheme="minorEastAsia"/>
                <w:b/>
                <w:color w:val="000000" w:themeColor="text1"/>
                <w:szCs w:val="21"/>
              </w:rPr>
              <w:t>8.10</w:t>
            </w:r>
          </w:p>
        </w:tc>
        <w:tc>
          <w:tcPr>
            <w:tcW w:w="1490" w:type="dxa"/>
            <w:vAlign w:val="center"/>
          </w:tcPr>
          <w:p>
            <w:pPr>
              <w:adjustRightInd w:val="0"/>
              <w:snapToGrid w:val="0"/>
              <w:spacing w:line="240" w:lineRule="exact"/>
              <w:jc w:val="center"/>
              <w:rPr>
                <w:rFonts w:eastAsiaTheme="minorEastAsia"/>
                <w:color w:val="000000" w:themeColor="text1"/>
                <w:szCs w:val="21"/>
              </w:rPr>
            </w:pPr>
            <w:r>
              <w:rPr>
                <w:rFonts w:eastAsiaTheme="minorEastAsia"/>
                <w:color w:val="000000" w:themeColor="text1"/>
                <w:szCs w:val="21"/>
              </w:rPr>
              <w:t>稍有危险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exact"/>
          <w:jc w:val="center"/>
        </w:trPr>
        <w:tc>
          <w:tcPr>
            <w:tcW w:w="1411" w:type="dxa"/>
            <w:vAlign w:val="center"/>
          </w:tcPr>
          <w:p>
            <w:pPr>
              <w:adjustRightInd w:val="0"/>
              <w:snapToGrid w:val="0"/>
              <w:spacing w:line="240" w:lineRule="exact"/>
              <w:jc w:val="center"/>
              <w:rPr>
                <w:rFonts w:eastAsiaTheme="minorEastAsia"/>
                <w:color w:val="000000" w:themeColor="text1"/>
                <w:szCs w:val="21"/>
              </w:rPr>
            </w:pPr>
            <w:r>
              <w:rPr>
                <w:rFonts w:eastAsiaTheme="minorEastAsia"/>
                <w:color w:val="000000" w:themeColor="text1"/>
                <w:szCs w:val="21"/>
              </w:rPr>
              <w:t>分装</w:t>
            </w:r>
          </w:p>
        </w:tc>
        <w:tc>
          <w:tcPr>
            <w:tcW w:w="387" w:type="dxa"/>
            <w:vAlign w:val="center"/>
          </w:tcPr>
          <w:p>
            <w:pPr>
              <w:adjustRightInd w:val="0"/>
              <w:snapToGrid w:val="0"/>
              <w:spacing w:line="240" w:lineRule="exact"/>
              <w:jc w:val="center"/>
              <w:rPr>
                <w:rFonts w:eastAsiaTheme="minorEastAsia"/>
                <w:color w:val="000000" w:themeColor="text1"/>
                <w:szCs w:val="21"/>
              </w:rPr>
            </w:pPr>
            <w:r>
              <w:rPr>
                <w:rFonts w:eastAsiaTheme="minorEastAsia"/>
                <w:color w:val="000000" w:themeColor="text1"/>
                <w:szCs w:val="21"/>
              </w:rPr>
              <w:t>3</w:t>
            </w:r>
          </w:p>
        </w:tc>
        <w:tc>
          <w:tcPr>
            <w:tcW w:w="477" w:type="dxa"/>
            <w:vAlign w:val="center"/>
          </w:tcPr>
          <w:p>
            <w:pPr>
              <w:adjustRightInd w:val="0"/>
              <w:snapToGrid w:val="0"/>
              <w:spacing w:line="240" w:lineRule="exact"/>
              <w:jc w:val="center"/>
              <w:rPr>
                <w:rFonts w:eastAsiaTheme="minorEastAsia"/>
                <w:color w:val="000000" w:themeColor="text1"/>
                <w:szCs w:val="21"/>
              </w:rPr>
            </w:pPr>
            <w:r>
              <w:rPr>
                <w:rFonts w:eastAsiaTheme="minorEastAsia"/>
                <w:color w:val="000000" w:themeColor="text1"/>
                <w:szCs w:val="21"/>
              </w:rPr>
              <w:t>6</w:t>
            </w:r>
          </w:p>
        </w:tc>
        <w:tc>
          <w:tcPr>
            <w:tcW w:w="384" w:type="dxa"/>
            <w:vAlign w:val="center"/>
          </w:tcPr>
          <w:p>
            <w:pPr>
              <w:adjustRightInd w:val="0"/>
              <w:snapToGrid w:val="0"/>
              <w:spacing w:line="240" w:lineRule="exact"/>
              <w:jc w:val="center"/>
              <w:rPr>
                <w:rFonts w:eastAsiaTheme="minorEastAsia"/>
                <w:color w:val="000000" w:themeColor="text1"/>
                <w:szCs w:val="21"/>
              </w:rPr>
            </w:pPr>
            <w:r>
              <w:rPr>
                <w:rFonts w:eastAsiaTheme="minorEastAsia"/>
                <w:color w:val="000000" w:themeColor="text1"/>
                <w:szCs w:val="21"/>
              </w:rPr>
              <w:t>7</w:t>
            </w:r>
          </w:p>
        </w:tc>
        <w:tc>
          <w:tcPr>
            <w:tcW w:w="561" w:type="dxa"/>
            <w:vAlign w:val="center"/>
          </w:tcPr>
          <w:p>
            <w:pPr>
              <w:adjustRightInd w:val="0"/>
              <w:snapToGrid w:val="0"/>
              <w:spacing w:line="240" w:lineRule="exact"/>
              <w:jc w:val="center"/>
              <w:rPr>
                <w:rFonts w:eastAsiaTheme="minorEastAsia"/>
                <w:b/>
                <w:bCs/>
                <w:color w:val="000000" w:themeColor="text1"/>
                <w:szCs w:val="21"/>
              </w:rPr>
            </w:pPr>
            <w:r>
              <w:rPr>
                <w:rFonts w:eastAsiaTheme="minorEastAsia"/>
                <w:b/>
                <w:bCs/>
                <w:color w:val="000000" w:themeColor="text1"/>
                <w:szCs w:val="21"/>
              </w:rPr>
              <w:t>126</w:t>
            </w:r>
          </w:p>
        </w:tc>
        <w:tc>
          <w:tcPr>
            <w:tcW w:w="1517" w:type="dxa"/>
            <w:vAlign w:val="center"/>
          </w:tcPr>
          <w:p>
            <w:pPr>
              <w:spacing w:line="240" w:lineRule="exact"/>
              <w:jc w:val="center"/>
              <w:rPr>
                <w:rFonts w:eastAsiaTheme="minorEastAsia"/>
                <w:color w:val="000000" w:themeColor="text1"/>
                <w:szCs w:val="21"/>
              </w:rPr>
            </w:pPr>
            <w:r>
              <w:rPr>
                <w:rFonts w:eastAsiaTheme="minorEastAsia"/>
                <w:color w:val="000000" w:themeColor="text1"/>
                <w:szCs w:val="21"/>
              </w:rPr>
              <w:t>显著危险</w:t>
            </w:r>
          </w:p>
        </w:tc>
        <w:tc>
          <w:tcPr>
            <w:tcW w:w="691" w:type="dxa"/>
            <w:vAlign w:val="center"/>
          </w:tcPr>
          <w:p>
            <w:pPr>
              <w:adjustRightInd w:val="0"/>
              <w:snapToGrid w:val="0"/>
              <w:spacing w:line="240" w:lineRule="exact"/>
              <w:jc w:val="center"/>
              <w:rPr>
                <w:rFonts w:eastAsiaTheme="minorEastAsia"/>
                <w:b/>
                <w:color w:val="000000" w:themeColor="text1"/>
                <w:szCs w:val="21"/>
              </w:rPr>
            </w:pPr>
            <w:r>
              <w:rPr>
                <w:rFonts w:eastAsiaTheme="minorEastAsia"/>
                <w:b/>
                <w:color w:val="000000" w:themeColor="text1"/>
                <w:szCs w:val="21"/>
              </w:rPr>
              <w:t>0.32</w:t>
            </w:r>
          </w:p>
        </w:tc>
        <w:tc>
          <w:tcPr>
            <w:tcW w:w="400" w:type="dxa"/>
            <w:vAlign w:val="center"/>
          </w:tcPr>
          <w:p>
            <w:pPr>
              <w:adjustRightInd w:val="0"/>
              <w:snapToGrid w:val="0"/>
              <w:spacing w:line="240" w:lineRule="exact"/>
              <w:jc w:val="center"/>
              <w:rPr>
                <w:rFonts w:eastAsiaTheme="minorEastAsia"/>
                <w:color w:val="000000" w:themeColor="text1"/>
                <w:szCs w:val="21"/>
              </w:rPr>
            </w:pPr>
            <w:r>
              <w:rPr>
                <w:rFonts w:eastAsiaTheme="minorEastAsia"/>
                <w:color w:val="000000" w:themeColor="text1"/>
                <w:szCs w:val="21"/>
              </w:rPr>
              <w:t>3</w:t>
            </w:r>
          </w:p>
        </w:tc>
        <w:tc>
          <w:tcPr>
            <w:tcW w:w="369" w:type="dxa"/>
            <w:vAlign w:val="center"/>
          </w:tcPr>
          <w:p>
            <w:pPr>
              <w:adjustRightInd w:val="0"/>
              <w:snapToGrid w:val="0"/>
              <w:spacing w:line="240" w:lineRule="exact"/>
              <w:jc w:val="center"/>
              <w:rPr>
                <w:rFonts w:eastAsiaTheme="minorEastAsia"/>
                <w:color w:val="000000" w:themeColor="text1"/>
                <w:szCs w:val="21"/>
              </w:rPr>
            </w:pPr>
            <w:r>
              <w:rPr>
                <w:rFonts w:eastAsiaTheme="minorEastAsia"/>
                <w:color w:val="000000" w:themeColor="text1"/>
                <w:szCs w:val="21"/>
              </w:rPr>
              <w:t>6</w:t>
            </w:r>
          </w:p>
        </w:tc>
        <w:tc>
          <w:tcPr>
            <w:tcW w:w="416" w:type="dxa"/>
            <w:vAlign w:val="center"/>
          </w:tcPr>
          <w:p>
            <w:pPr>
              <w:adjustRightInd w:val="0"/>
              <w:snapToGrid w:val="0"/>
              <w:spacing w:line="240" w:lineRule="exact"/>
              <w:jc w:val="center"/>
              <w:rPr>
                <w:rFonts w:eastAsiaTheme="minorEastAsia"/>
                <w:color w:val="000000" w:themeColor="text1"/>
                <w:szCs w:val="21"/>
              </w:rPr>
            </w:pPr>
            <w:r>
              <w:rPr>
                <w:rFonts w:eastAsiaTheme="minorEastAsia"/>
                <w:color w:val="000000" w:themeColor="text1"/>
                <w:szCs w:val="21"/>
              </w:rPr>
              <w:t>7</w:t>
            </w:r>
          </w:p>
        </w:tc>
        <w:tc>
          <w:tcPr>
            <w:tcW w:w="757" w:type="dxa"/>
            <w:vAlign w:val="center"/>
          </w:tcPr>
          <w:p>
            <w:pPr>
              <w:adjustRightInd w:val="0"/>
              <w:snapToGrid w:val="0"/>
              <w:spacing w:line="240" w:lineRule="exact"/>
              <w:jc w:val="center"/>
              <w:rPr>
                <w:rFonts w:eastAsiaTheme="minorEastAsia"/>
                <w:b/>
                <w:color w:val="000000" w:themeColor="text1"/>
                <w:szCs w:val="21"/>
              </w:rPr>
            </w:pPr>
            <w:r>
              <w:rPr>
                <w:rFonts w:eastAsiaTheme="minorEastAsia"/>
                <w:b/>
                <w:color w:val="000000" w:themeColor="text1"/>
                <w:szCs w:val="21"/>
              </w:rPr>
              <w:t>40.32</w:t>
            </w:r>
          </w:p>
        </w:tc>
        <w:tc>
          <w:tcPr>
            <w:tcW w:w="1490" w:type="dxa"/>
            <w:vAlign w:val="center"/>
          </w:tcPr>
          <w:p>
            <w:pPr>
              <w:adjustRightInd w:val="0"/>
              <w:snapToGrid w:val="0"/>
              <w:spacing w:line="240" w:lineRule="exact"/>
              <w:jc w:val="center"/>
              <w:rPr>
                <w:rFonts w:eastAsiaTheme="minorEastAsia"/>
                <w:color w:val="000000" w:themeColor="text1"/>
                <w:szCs w:val="21"/>
              </w:rPr>
            </w:pPr>
            <w:r>
              <w:rPr>
                <w:rFonts w:eastAsiaTheme="minorEastAsia"/>
                <w:color w:val="000000" w:themeColor="text1"/>
                <w:szCs w:val="21"/>
              </w:rPr>
              <w:t>可能危险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exact"/>
          <w:jc w:val="center"/>
        </w:trPr>
        <w:tc>
          <w:tcPr>
            <w:tcW w:w="1411" w:type="dxa"/>
            <w:vAlign w:val="center"/>
          </w:tcPr>
          <w:p>
            <w:pPr>
              <w:spacing w:line="240" w:lineRule="exact"/>
              <w:jc w:val="center"/>
              <w:rPr>
                <w:rFonts w:eastAsiaTheme="minorEastAsia"/>
                <w:color w:val="000000" w:themeColor="text1"/>
                <w:szCs w:val="21"/>
              </w:rPr>
            </w:pPr>
            <w:r>
              <w:rPr>
                <w:rFonts w:eastAsiaTheme="minorEastAsia"/>
                <w:color w:val="000000" w:themeColor="text1"/>
                <w:szCs w:val="21"/>
              </w:rPr>
              <w:t>储存</w:t>
            </w:r>
          </w:p>
        </w:tc>
        <w:tc>
          <w:tcPr>
            <w:tcW w:w="387" w:type="dxa"/>
            <w:vAlign w:val="center"/>
          </w:tcPr>
          <w:p>
            <w:pPr>
              <w:adjustRightInd w:val="0"/>
              <w:snapToGrid w:val="0"/>
              <w:spacing w:line="240" w:lineRule="exact"/>
              <w:jc w:val="center"/>
              <w:rPr>
                <w:rFonts w:eastAsiaTheme="minorEastAsia"/>
                <w:color w:val="000000" w:themeColor="text1"/>
                <w:szCs w:val="21"/>
              </w:rPr>
            </w:pPr>
            <w:r>
              <w:rPr>
                <w:rFonts w:eastAsiaTheme="minorEastAsia"/>
                <w:color w:val="000000" w:themeColor="text1"/>
                <w:szCs w:val="21"/>
              </w:rPr>
              <w:t>3</w:t>
            </w:r>
          </w:p>
        </w:tc>
        <w:tc>
          <w:tcPr>
            <w:tcW w:w="477" w:type="dxa"/>
            <w:vAlign w:val="center"/>
          </w:tcPr>
          <w:p>
            <w:pPr>
              <w:adjustRightInd w:val="0"/>
              <w:snapToGrid w:val="0"/>
              <w:spacing w:line="240" w:lineRule="exact"/>
              <w:jc w:val="center"/>
              <w:rPr>
                <w:rFonts w:eastAsiaTheme="minorEastAsia"/>
                <w:color w:val="000000" w:themeColor="text1"/>
                <w:szCs w:val="21"/>
              </w:rPr>
            </w:pPr>
            <w:r>
              <w:rPr>
                <w:rFonts w:eastAsiaTheme="minorEastAsia"/>
                <w:color w:val="000000" w:themeColor="text1"/>
                <w:szCs w:val="21"/>
              </w:rPr>
              <w:t>6</w:t>
            </w:r>
          </w:p>
        </w:tc>
        <w:tc>
          <w:tcPr>
            <w:tcW w:w="384" w:type="dxa"/>
            <w:vAlign w:val="center"/>
          </w:tcPr>
          <w:p>
            <w:pPr>
              <w:adjustRightInd w:val="0"/>
              <w:snapToGrid w:val="0"/>
              <w:spacing w:line="240" w:lineRule="exact"/>
              <w:jc w:val="center"/>
              <w:rPr>
                <w:rFonts w:eastAsiaTheme="minorEastAsia"/>
                <w:color w:val="000000" w:themeColor="text1"/>
                <w:szCs w:val="21"/>
              </w:rPr>
            </w:pPr>
            <w:r>
              <w:rPr>
                <w:rFonts w:eastAsiaTheme="minorEastAsia"/>
                <w:color w:val="000000" w:themeColor="text1"/>
                <w:szCs w:val="21"/>
              </w:rPr>
              <w:t>7</w:t>
            </w:r>
          </w:p>
        </w:tc>
        <w:tc>
          <w:tcPr>
            <w:tcW w:w="561" w:type="dxa"/>
            <w:vAlign w:val="center"/>
          </w:tcPr>
          <w:p>
            <w:pPr>
              <w:adjustRightInd w:val="0"/>
              <w:snapToGrid w:val="0"/>
              <w:spacing w:line="240" w:lineRule="exact"/>
              <w:jc w:val="center"/>
              <w:rPr>
                <w:rFonts w:eastAsiaTheme="minorEastAsia"/>
                <w:b/>
                <w:bCs/>
                <w:color w:val="000000" w:themeColor="text1"/>
                <w:szCs w:val="21"/>
              </w:rPr>
            </w:pPr>
            <w:r>
              <w:rPr>
                <w:rFonts w:eastAsiaTheme="minorEastAsia"/>
                <w:b/>
                <w:bCs/>
                <w:color w:val="000000" w:themeColor="text1"/>
                <w:szCs w:val="21"/>
              </w:rPr>
              <w:t>126</w:t>
            </w:r>
          </w:p>
        </w:tc>
        <w:tc>
          <w:tcPr>
            <w:tcW w:w="1517" w:type="dxa"/>
            <w:vAlign w:val="center"/>
          </w:tcPr>
          <w:p>
            <w:pPr>
              <w:spacing w:line="240" w:lineRule="exact"/>
              <w:jc w:val="center"/>
              <w:rPr>
                <w:rFonts w:eastAsiaTheme="minorEastAsia"/>
                <w:color w:val="000000" w:themeColor="text1"/>
                <w:szCs w:val="21"/>
              </w:rPr>
            </w:pPr>
            <w:r>
              <w:rPr>
                <w:rFonts w:eastAsiaTheme="minorEastAsia"/>
                <w:color w:val="000000" w:themeColor="text1"/>
                <w:szCs w:val="21"/>
              </w:rPr>
              <w:t>显著危险</w:t>
            </w:r>
          </w:p>
        </w:tc>
        <w:tc>
          <w:tcPr>
            <w:tcW w:w="691" w:type="dxa"/>
            <w:vAlign w:val="center"/>
          </w:tcPr>
          <w:p>
            <w:pPr>
              <w:adjustRightInd w:val="0"/>
              <w:snapToGrid w:val="0"/>
              <w:spacing w:line="240" w:lineRule="exact"/>
              <w:jc w:val="center"/>
              <w:rPr>
                <w:rFonts w:eastAsiaTheme="minorEastAsia"/>
                <w:b/>
                <w:color w:val="000000" w:themeColor="text1"/>
                <w:szCs w:val="21"/>
              </w:rPr>
            </w:pPr>
            <w:r>
              <w:rPr>
                <w:rFonts w:eastAsiaTheme="minorEastAsia"/>
                <w:b/>
                <w:color w:val="000000" w:themeColor="text1"/>
                <w:szCs w:val="21"/>
              </w:rPr>
              <w:t>0.32</w:t>
            </w:r>
          </w:p>
        </w:tc>
        <w:tc>
          <w:tcPr>
            <w:tcW w:w="400" w:type="dxa"/>
            <w:vAlign w:val="center"/>
          </w:tcPr>
          <w:p>
            <w:pPr>
              <w:adjustRightInd w:val="0"/>
              <w:snapToGrid w:val="0"/>
              <w:spacing w:line="240" w:lineRule="exact"/>
              <w:jc w:val="center"/>
              <w:rPr>
                <w:rFonts w:eastAsiaTheme="minorEastAsia"/>
                <w:color w:val="000000" w:themeColor="text1"/>
                <w:szCs w:val="21"/>
              </w:rPr>
            </w:pPr>
            <w:r>
              <w:rPr>
                <w:rFonts w:eastAsiaTheme="minorEastAsia"/>
                <w:color w:val="000000" w:themeColor="text1"/>
                <w:szCs w:val="21"/>
              </w:rPr>
              <w:t>3</w:t>
            </w:r>
          </w:p>
        </w:tc>
        <w:tc>
          <w:tcPr>
            <w:tcW w:w="369" w:type="dxa"/>
            <w:vAlign w:val="center"/>
          </w:tcPr>
          <w:p>
            <w:pPr>
              <w:adjustRightInd w:val="0"/>
              <w:snapToGrid w:val="0"/>
              <w:spacing w:line="240" w:lineRule="exact"/>
              <w:jc w:val="center"/>
              <w:rPr>
                <w:rFonts w:eastAsiaTheme="minorEastAsia"/>
                <w:color w:val="000000" w:themeColor="text1"/>
                <w:szCs w:val="21"/>
              </w:rPr>
            </w:pPr>
            <w:r>
              <w:rPr>
                <w:rFonts w:eastAsiaTheme="minorEastAsia"/>
                <w:color w:val="000000" w:themeColor="text1"/>
                <w:szCs w:val="21"/>
              </w:rPr>
              <w:t>6</w:t>
            </w:r>
          </w:p>
        </w:tc>
        <w:tc>
          <w:tcPr>
            <w:tcW w:w="416" w:type="dxa"/>
            <w:vAlign w:val="center"/>
          </w:tcPr>
          <w:p>
            <w:pPr>
              <w:adjustRightInd w:val="0"/>
              <w:snapToGrid w:val="0"/>
              <w:spacing w:line="240" w:lineRule="exact"/>
              <w:jc w:val="center"/>
              <w:rPr>
                <w:rFonts w:eastAsiaTheme="minorEastAsia"/>
                <w:color w:val="000000" w:themeColor="text1"/>
                <w:szCs w:val="21"/>
              </w:rPr>
            </w:pPr>
            <w:r>
              <w:rPr>
                <w:rFonts w:eastAsiaTheme="minorEastAsia"/>
                <w:color w:val="000000" w:themeColor="text1"/>
                <w:szCs w:val="21"/>
              </w:rPr>
              <w:t>7</w:t>
            </w:r>
          </w:p>
        </w:tc>
        <w:tc>
          <w:tcPr>
            <w:tcW w:w="757" w:type="dxa"/>
            <w:vAlign w:val="center"/>
          </w:tcPr>
          <w:p>
            <w:pPr>
              <w:adjustRightInd w:val="0"/>
              <w:snapToGrid w:val="0"/>
              <w:spacing w:line="240" w:lineRule="exact"/>
              <w:jc w:val="center"/>
              <w:rPr>
                <w:rFonts w:eastAsiaTheme="minorEastAsia"/>
                <w:b/>
                <w:color w:val="000000" w:themeColor="text1"/>
                <w:szCs w:val="21"/>
              </w:rPr>
            </w:pPr>
            <w:r>
              <w:rPr>
                <w:rFonts w:eastAsiaTheme="minorEastAsia"/>
                <w:b/>
                <w:color w:val="000000" w:themeColor="text1"/>
                <w:szCs w:val="21"/>
              </w:rPr>
              <w:t>40.32</w:t>
            </w:r>
          </w:p>
        </w:tc>
        <w:tc>
          <w:tcPr>
            <w:tcW w:w="1490" w:type="dxa"/>
            <w:vAlign w:val="center"/>
          </w:tcPr>
          <w:p>
            <w:pPr>
              <w:adjustRightInd w:val="0"/>
              <w:snapToGrid w:val="0"/>
              <w:spacing w:line="240" w:lineRule="exact"/>
              <w:jc w:val="center"/>
              <w:rPr>
                <w:rFonts w:eastAsiaTheme="minorEastAsia"/>
                <w:color w:val="000000" w:themeColor="text1"/>
                <w:szCs w:val="21"/>
              </w:rPr>
            </w:pPr>
            <w:r>
              <w:rPr>
                <w:rFonts w:eastAsiaTheme="minorEastAsia"/>
                <w:color w:val="000000" w:themeColor="text1"/>
                <w:szCs w:val="21"/>
              </w:rPr>
              <w:t>可能危险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exact"/>
          <w:jc w:val="center"/>
        </w:trPr>
        <w:tc>
          <w:tcPr>
            <w:tcW w:w="1411" w:type="dxa"/>
            <w:vAlign w:val="center"/>
          </w:tcPr>
          <w:p>
            <w:pPr>
              <w:spacing w:line="240" w:lineRule="exact"/>
              <w:jc w:val="center"/>
              <w:rPr>
                <w:rFonts w:eastAsiaTheme="minorEastAsia"/>
                <w:color w:val="000000" w:themeColor="text1"/>
                <w:szCs w:val="21"/>
              </w:rPr>
            </w:pPr>
            <w:r>
              <w:rPr>
                <w:rFonts w:eastAsiaTheme="minorEastAsia"/>
                <w:color w:val="000000" w:themeColor="text1"/>
                <w:szCs w:val="21"/>
              </w:rPr>
              <w:t>装车</w:t>
            </w:r>
          </w:p>
        </w:tc>
        <w:tc>
          <w:tcPr>
            <w:tcW w:w="387" w:type="dxa"/>
            <w:vAlign w:val="center"/>
          </w:tcPr>
          <w:p>
            <w:pPr>
              <w:adjustRightInd w:val="0"/>
              <w:snapToGrid w:val="0"/>
              <w:spacing w:line="240" w:lineRule="exact"/>
              <w:jc w:val="center"/>
              <w:rPr>
                <w:rFonts w:eastAsiaTheme="minorEastAsia"/>
                <w:color w:val="000000" w:themeColor="text1"/>
                <w:szCs w:val="21"/>
              </w:rPr>
            </w:pPr>
            <w:r>
              <w:rPr>
                <w:rFonts w:eastAsiaTheme="minorEastAsia"/>
                <w:color w:val="000000" w:themeColor="text1"/>
                <w:szCs w:val="21"/>
              </w:rPr>
              <w:t>3</w:t>
            </w:r>
          </w:p>
        </w:tc>
        <w:tc>
          <w:tcPr>
            <w:tcW w:w="477" w:type="dxa"/>
            <w:vAlign w:val="center"/>
          </w:tcPr>
          <w:p>
            <w:pPr>
              <w:adjustRightInd w:val="0"/>
              <w:snapToGrid w:val="0"/>
              <w:spacing w:line="240" w:lineRule="exact"/>
              <w:jc w:val="center"/>
              <w:rPr>
                <w:rFonts w:eastAsiaTheme="minorEastAsia"/>
                <w:color w:val="000000" w:themeColor="text1"/>
                <w:szCs w:val="21"/>
              </w:rPr>
            </w:pPr>
            <w:r>
              <w:rPr>
                <w:rFonts w:eastAsiaTheme="minorEastAsia"/>
                <w:color w:val="000000" w:themeColor="text1"/>
                <w:szCs w:val="21"/>
              </w:rPr>
              <w:t>6</w:t>
            </w:r>
          </w:p>
        </w:tc>
        <w:tc>
          <w:tcPr>
            <w:tcW w:w="384" w:type="dxa"/>
            <w:vAlign w:val="center"/>
          </w:tcPr>
          <w:p>
            <w:pPr>
              <w:adjustRightInd w:val="0"/>
              <w:snapToGrid w:val="0"/>
              <w:spacing w:line="240" w:lineRule="exact"/>
              <w:jc w:val="center"/>
              <w:rPr>
                <w:rFonts w:eastAsiaTheme="minorEastAsia"/>
                <w:color w:val="000000" w:themeColor="text1"/>
                <w:szCs w:val="21"/>
              </w:rPr>
            </w:pPr>
            <w:r>
              <w:rPr>
                <w:rFonts w:eastAsiaTheme="minorEastAsia"/>
                <w:color w:val="000000" w:themeColor="text1"/>
                <w:szCs w:val="21"/>
              </w:rPr>
              <w:t>7</w:t>
            </w:r>
          </w:p>
        </w:tc>
        <w:tc>
          <w:tcPr>
            <w:tcW w:w="561" w:type="dxa"/>
            <w:vAlign w:val="center"/>
          </w:tcPr>
          <w:p>
            <w:pPr>
              <w:adjustRightInd w:val="0"/>
              <w:snapToGrid w:val="0"/>
              <w:spacing w:line="240" w:lineRule="exact"/>
              <w:jc w:val="center"/>
              <w:rPr>
                <w:rFonts w:eastAsiaTheme="minorEastAsia"/>
                <w:b/>
                <w:bCs/>
                <w:color w:val="000000" w:themeColor="text1"/>
                <w:szCs w:val="21"/>
              </w:rPr>
            </w:pPr>
            <w:r>
              <w:rPr>
                <w:rFonts w:eastAsiaTheme="minorEastAsia"/>
                <w:b/>
                <w:bCs/>
                <w:color w:val="000000" w:themeColor="text1"/>
                <w:szCs w:val="21"/>
              </w:rPr>
              <w:t>126</w:t>
            </w:r>
          </w:p>
        </w:tc>
        <w:tc>
          <w:tcPr>
            <w:tcW w:w="1517" w:type="dxa"/>
            <w:vAlign w:val="center"/>
          </w:tcPr>
          <w:p>
            <w:pPr>
              <w:spacing w:line="240" w:lineRule="exact"/>
              <w:jc w:val="center"/>
              <w:rPr>
                <w:rFonts w:eastAsiaTheme="minorEastAsia"/>
                <w:color w:val="000000" w:themeColor="text1"/>
                <w:szCs w:val="21"/>
              </w:rPr>
            </w:pPr>
            <w:r>
              <w:rPr>
                <w:rFonts w:eastAsiaTheme="minorEastAsia"/>
                <w:color w:val="000000" w:themeColor="text1"/>
                <w:szCs w:val="21"/>
              </w:rPr>
              <w:t>显著危险</w:t>
            </w:r>
          </w:p>
        </w:tc>
        <w:tc>
          <w:tcPr>
            <w:tcW w:w="691" w:type="dxa"/>
            <w:vAlign w:val="center"/>
          </w:tcPr>
          <w:p>
            <w:pPr>
              <w:adjustRightInd w:val="0"/>
              <w:snapToGrid w:val="0"/>
              <w:spacing w:line="240" w:lineRule="exact"/>
              <w:jc w:val="center"/>
              <w:rPr>
                <w:rFonts w:eastAsiaTheme="minorEastAsia"/>
                <w:b/>
                <w:color w:val="000000" w:themeColor="text1"/>
                <w:szCs w:val="21"/>
              </w:rPr>
            </w:pPr>
            <w:r>
              <w:rPr>
                <w:rFonts w:eastAsiaTheme="minorEastAsia"/>
                <w:b/>
                <w:color w:val="000000" w:themeColor="text1"/>
                <w:szCs w:val="21"/>
              </w:rPr>
              <w:t>0.27</w:t>
            </w:r>
          </w:p>
        </w:tc>
        <w:tc>
          <w:tcPr>
            <w:tcW w:w="400" w:type="dxa"/>
            <w:vAlign w:val="center"/>
          </w:tcPr>
          <w:p>
            <w:pPr>
              <w:adjustRightInd w:val="0"/>
              <w:snapToGrid w:val="0"/>
              <w:spacing w:line="240" w:lineRule="exact"/>
              <w:jc w:val="center"/>
              <w:rPr>
                <w:rFonts w:eastAsiaTheme="minorEastAsia"/>
                <w:color w:val="000000" w:themeColor="text1"/>
                <w:szCs w:val="21"/>
              </w:rPr>
            </w:pPr>
            <w:r>
              <w:rPr>
                <w:rFonts w:eastAsiaTheme="minorEastAsia"/>
                <w:color w:val="000000" w:themeColor="text1"/>
                <w:szCs w:val="21"/>
              </w:rPr>
              <w:t>3</w:t>
            </w:r>
          </w:p>
        </w:tc>
        <w:tc>
          <w:tcPr>
            <w:tcW w:w="369" w:type="dxa"/>
            <w:vAlign w:val="center"/>
          </w:tcPr>
          <w:p>
            <w:pPr>
              <w:adjustRightInd w:val="0"/>
              <w:snapToGrid w:val="0"/>
              <w:spacing w:line="240" w:lineRule="exact"/>
              <w:jc w:val="center"/>
              <w:rPr>
                <w:rFonts w:eastAsiaTheme="minorEastAsia"/>
                <w:color w:val="000000" w:themeColor="text1"/>
                <w:szCs w:val="21"/>
              </w:rPr>
            </w:pPr>
            <w:r>
              <w:rPr>
                <w:rFonts w:eastAsiaTheme="minorEastAsia"/>
                <w:color w:val="000000" w:themeColor="text1"/>
                <w:szCs w:val="21"/>
              </w:rPr>
              <w:t>6</w:t>
            </w:r>
          </w:p>
        </w:tc>
        <w:tc>
          <w:tcPr>
            <w:tcW w:w="416" w:type="dxa"/>
            <w:vAlign w:val="center"/>
          </w:tcPr>
          <w:p>
            <w:pPr>
              <w:adjustRightInd w:val="0"/>
              <w:snapToGrid w:val="0"/>
              <w:spacing w:line="240" w:lineRule="exact"/>
              <w:jc w:val="center"/>
              <w:rPr>
                <w:rFonts w:eastAsiaTheme="minorEastAsia"/>
                <w:color w:val="000000" w:themeColor="text1"/>
                <w:szCs w:val="21"/>
              </w:rPr>
            </w:pPr>
            <w:r>
              <w:rPr>
                <w:rFonts w:eastAsiaTheme="minorEastAsia"/>
                <w:color w:val="000000" w:themeColor="text1"/>
                <w:szCs w:val="21"/>
              </w:rPr>
              <w:t>7</w:t>
            </w:r>
          </w:p>
        </w:tc>
        <w:tc>
          <w:tcPr>
            <w:tcW w:w="757" w:type="dxa"/>
            <w:vAlign w:val="center"/>
          </w:tcPr>
          <w:p>
            <w:pPr>
              <w:adjustRightInd w:val="0"/>
              <w:snapToGrid w:val="0"/>
              <w:spacing w:line="240" w:lineRule="exact"/>
              <w:jc w:val="center"/>
              <w:rPr>
                <w:rFonts w:eastAsiaTheme="minorEastAsia"/>
                <w:b/>
                <w:color w:val="000000" w:themeColor="text1"/>
                <w:szCs w:val="21"/>
              </w:rPr>
            </w:pPr>
            <w:r>
              <w:rPr>
                <w:rFonts w:eastAsiaTheme="minorEastAsia"/>
                <w:b/>
                <w:color w:val="000000" w:themeColor="text1"/>
                <w:szCs w:val="21"/>
              </w:rPr>
              <w:t>34.02</w:t>
            </w:r>
          </w:p>
        </w:tc>
        <w:tc>
          <w:tcPr>
            <w:tcW w:w="1490" w:type="dxa"/>
            <w:vAlign w:val="center"/>
          </w:tcPr>
          <w:p>
            <w:pPr>
              <w:adjustRightInd w:val="0"/>
              <w:snapToGrid w:val="0"/>
              <w:spacing w:line="240" w:lineRule="exact"/>
              <w:jc w:val="center"/>
              <w:rPr>
                <w:rFonts w:eastAsiaTheme="minorEastAsia"/>
                <w:color w:val="000000" w:themeColor="text1"/>
                <w:szCs w:val="21"/>
              </w:rPr>
            </w:pPr>
            <w:r>
              <w:rPr>
                <w:rFonts w:eastAsiaTheme="minorEastAsia"/>
                <w:color w:val="000000" w:themeColor="text1"/>
                <w:szCs w:val="21"/>
              </w:rPr>
              <w:t>可能危险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exact"/>
          <w:jc w:val="center"/>
        </w:trPr>
        <w:tc>
          <w:tcPr>
            <w:tcW w:w="1411" w:type="dxa"/>
            <w:vAlign w:val="center"/>
          </w:tcPr>
          <w:p>
            <w:pPr>
              <w:spacing w:line="240" w:lineRule="exact"/>
              <w:jc w:val="center"/>
              <w:rPr>
                <w:rFonts w:eastAsiaTheme="minorEastAsia"/>
                <w:color w:val="000000" w:themeColor="text1"/>
                <w:szCs w:val="21"/>
              </w:rPr>
            </w:pPr>
            <w:r>
              <w:rPr>
                <w:rFonts w:eastAsiaTheme="minorEastAsia"/>
                <w:color w:val="000000" w:themeColor="text1"/>
                <w:szCs w:val="21"/>
              </w:rPr>
              <w:t>供配电</w:t>
            </w:r>
          </w:p>
        </w:tc>
        <w:tc>
          <w:tcPr>
            <w:tcW w:w="387" w:type="dxa"/>
            <w:vAlign w:val="center"/>
          </w:tcPr>
          <w:p>
            <w:pPr>
              <w:adjustRightInd w:val="0"/>
              <w:snapToGrid w:val="0"/>
              <w:spacing w:line="240" w:lineRule="exact"/>
              <w:jc w:val="center"/>
              <w:rPr>
                <w:rFonts w:eastAsiaTheme="minorEastAsia"/>
                <w:color w:val="000000" w:themeColor="text1"/>
                <w:szCs w:val="21"/>
              </w:rPr>
            </w:pPr>
            <w:r>
              <w:rPr>
                <w:rFonts w:eastAsiaTheme="minorEastAsia"/>
                <w:color w:val="000000" w:themeColor="text1"/>
                <w:szCs w:val="21"/>
              </w:rPr>
              <w:t>3</w:t>
            </w:r>
          </w:p>
        </w:tc>
        <w:tc>
          <w:tcPr>
            <w:tcW w:w="477" w:type="dxa"/>
            <w:vAlign w:val="center"/>
          </w:tcPr>
          <w:p>
            <w:pPr>
              <w:adjustRightInd w:val="0"/>
              <w:snapToGrid w:val="0"/>
              <w:spacing w:line="240" w:lineRule="exact"/>
              <w:jc w:val="center"/>
              <w:rPr>
                <w:rFonts w:eastAsiaTheme="minorEastAsia"/>
                <w:color w:val="000000" w:themeColor="text1"/>
                <w:szCs w:val="21"/>
              </w:rPr>
            </w:pPr>
            <w:r>
              <w:rPr>
                <w:rFonts w:eastAsiaTheme="minorEastAsia"/>
                <w:color w:val="000000" w:themeColor="text1"/>
                <w:szCs w:val="21"/>
              </w:rPr>
              <w:t>3</w:t>
            </w:r>
          </w:p>
        </w:tc>
        <w:tc>
          <w:tcPr>
            <w:tcW w:w="384" w:type="dxa"/>
            <w:vAlign w:val="center"/>
          </w:tcPr>
          <w:p>
            <w:pPr>
              <w:adjustRightInd w:val="0"/>
              <w:snapToGrid w:val="0"/>
              <w:spacing w:line="240" w:lineRule="exact"/>
              <w:jc w:val="center"/>
              <w:rPr>
                <w:rFonts w:eastAsiaTheme="minorEastAsia"/>
                <w:color w:val="000000" w:themeColor="text1"/>
                <w:szCs w:val="21"/>
              </w:rPr>
            </w:pPr>
            <w:r>
              <w:rPr>
                <w:rFonts w:eastAsiaTheme="minorEastAsia"/>
                <w:color w:val="000000" w:themeColor="text1"/>
                <w:szCs w:val="21"/>
              </w:rPr>
              <w:t>3</w:t>
            </w:r>
          </w:p>
        </w:tc>
        <w:tc>
          <w:tcPr>
            <w:tcW w:w="561" w:type="dxa"/>
            <w:vAlign w:val="center"/>
          </w:tcPr>
          <w:p>
            <w:pPr>
              <w:adjustRightInd w:val="0"/>
              <w:snapToGrid w:val="0"/>
              <w:spacing w:line="240" w:lineRule="exact"/>
              <w:jc w:val="center"/>
              <w:rPr>
                <w:rFonts w:eastAsiaTheme="minorEastAsia"/>
                <w:b/>
                <w:bCs/>
                <w:color w:val="000000" w:themeColor="text1"/>
                <w:szCs w:val="21"/>
              </w:rPr>
            </w:pPr>
            <w:r>
              <w:rPr>
                <w:rFonts w:eastAsiaTheme="minorEastAsia"/>
                <w:b/>
                <w:bCs/>
                <w:color w:val="000000" w:themeColor="text1"/>
                <w:szCs w:val="21"/>
              </w:rPr>
              <w:t>27</w:t>
            </w:r>
          </w:p>
        </w:tc>
        <w:tc>
          <w:tcPr>
            <w:tcW w:w="1517" w:type="dxa"/>
            <w:vAlign w:val="center"/>
          </w:tcPr>
          <w:p>
            <w:pPr>
              <w:spacing w:line="240" w:lineRule="exact"/>
              <w:jc w:val="center"/>
              <w:rPr>
                <w:rFonts w:eastAsiaTheme="minorEastAsia"/>
                <w:color w:val="000000" w:themeColor="text1"/>
                <w:szCs w:val="21"/>
              </w:rPr>
            </w:pPr>
            <w:r>
              <w:rPr>
                <w:rFonts w:eastAsiaTheme="minorEastAsia"/>
                <w:color w:val="000000" w:themeColor="text1"/>
                <w:szCs w:val="21"/>
              </w:rPr>
              <w:t>可能危险</w:t>
            </w:r>
          </w:p>
        </w:tc>
        <w:tc>
          <w:tcPr>
            <w:tcW w:w="691" w:type="dxa"/>
            <w:vAlign w:val="center"/>
          </w:tcPr>
          <w:p>
            <w:pPr>
              <w:adjustRightInd w:val="0"/>
              <w:snapToGrid w:val="0"/>
              <w:spacing w:line="240" w:lineRule="exact"/>
              <w:jc w:val="center"/>
              <w:rPr>
                <w:rFonts w:eastAsiaTheme="minorEastAsia"/>
                <w:b/>
                <w:color w:val="000000" w:themeColor="text1"/>
                <w:szCs w:val="21"/>
              </w:rPr>
            </w:pPr>
            <w:r>
              <w:rPr>
                <w:rFonts w:eastAsiaTheme="minorEastAsia"/>
                <w:b/>
                <w:color w:val="000000" w:themeColor="text1"/>
                <w:szCs w:val="21"/>
              </w:rPr>
              <w:t>0.35</w:t>
            </w:r>
          </w:p>
        </w:tc>
        <w:tc>
          <w:tcPr>
            <w:tcW w:w="400" w:type="dxa"/>
            <w:vAlign w:val="center"/>
          </w:tcPr>
          <w:p>
            <w:pPr>
              <w:adjustRightInd w:val="0"/>
              <w:snapToGrid w:val="0"/>
              <w:spacing w:line="240" w:lineRule="exact"/>
              <w:jc w:val="center"/>
              <w:rPr>
                <w:rFonts w:eastAsiaTheme="minorEastAsia"/>
                <w:color w:val="000000" w:themeColor="text1"/>
                <w:szCs w:val="21"/>
              </w:rPr>
            </w:pPr>
            <w:r>
              <w:rPr>
                <w:rFonts w:eastAsiaTheme="minorEastAsia"/>
                <w:color w:val="000000" w:themeColor="text1"/>
                <w:szCs w:val="21"/>
              </w:rPr>
              <w:t>3</w:t>
            </w:r>
          </w:p>
        </w:tc>
        <w:tc>
          <w:tcPr>
            <w:tcW w:w="369" w:type="dxa"/>
            <w:vAlign w:val="center"/>
          </w:tcPr>
          <w:p>
            <w:pPr>
              <w:adjustRightInd w:val="0"/>
              <w:snapToGrid w:val="0"/>
              <w:spacing w:line="240" w:lineRule="exact"/>
              <w:jc w:val="center"/>
              <w:rPr>
                <w:rFonts w:eastAsiaTheme="minorEastAsia"/>
                <w:color w:val="000000" w:themeColor="text1"/>
                <w:szCs w:val="21"/>
              </w:rPr>
            </w:pPr>
            <w:r>
              <w:rPr>
                <w:rFonts w:eastAsiaTheme="minorEastAsia"/>
                <w:color w:val="000000" w:themeColor="text1"/>
                <w:szCs w:val="21"/>
              </w:rPr>
              <w:t>3</w:t>
            </w:r>
          </w:p>
        </w:tc>
        <w:tc>
          <w:tcPr>
            <w:tcW w:w="416" w:type="dxa"/>
            <w:vAlign w:val="center"/>
          </w:tcPr>
          <w:p>
            <w:pPr>
              <w:adjustRightInd w:val="0"/>
              <w:snapToGrid w:val="0"/>
              <w:spacing w:line="240" w:lineRule="exact"/>
              <w:jc w:val="center"/>
              <w:rPr>
                <w:rFonts w:eastAsiaTheme="minorEastAsia"/>
                <w:color w:val="000000" w:themeColor="text1"/>
                <w:szCs w:val="21"/>
              </w:rPr>
            </w:pPr>
            <w:r>
              <w:rPr>
                <w:rFonts w:eastAsiaTheme="minorEastAsia"/>
                <w:color w:val="000000" w:themeColor="text1"/>
                <w:szCs w:val="21"/>
              </w:rPr>
              <w:t>3</w:t>
            </w:r>
          </w:p>
        </w:tc>
        <w:tc>
          <w:tcPr>
            <w:tcW w:w="757" w:type="dxa"/>
            <w:vAlign w:val="center"/>
          </w:tcPr>
          <w:p>
            <w:pPr>
              <w:adjustRightInd w:val="0"/>
              <w:snapToGrid w:val="0"/>
              <w:spacing w:line="240" w:lineRule="exact"/>
              <w:jc w:val="center"/>
              <w:rPr>
                <w:rFonts w:eastAsiaTheme="minorEastAsia"/>
                <w:b/>
                <w:color w:val="000000" w:themeColor="text1"/>
                <w:szCs w:val="21"/>
              </w:rPr>
            </w:pPr>
            <w:r>
              <w:rPr>
                <w:rFonts w:eastAsiaTheme="minorEastAsia"/>
                <w:b/>
                <w:color w:val="000000" w:themeColor="text1"/>
                <w:szCs w:val="21"/>
              </w:rPr>
              <w:t>9.45</w:t>
            </w:r>
          </w:p>
        </w:tc>
        <w:tc>
          <w:tcPr>
            <w:tcW w:w="1490" w:type="dxa"/>
            <w:vAlign w:val="center"/>
          </w:tcPr>
          <w:p>
            <w:pPr>
              <w:adjustRightInd w:val="0"/>
              <w:snapToGrid w:val="0"/>
              <w:spacing w:line="240" w:lineRule="exact"/>
              <w:jc w:val="center"/>
              <w:rPr>
                <w:rFonts w:eastAsiaTheme="minorEastAsia"/>
                <w:color w:val="000000" w:themeColor="text1"/>
                <w:szCs w:val="21"/>
              </w:rPr>
            </w:pPr>
            <w:r>
              <w:rPr>
                <w:rFonts w:eastAsiaTheme="minorEastAsia"/>
                <w:color w:val="000000" w:themeColor="text1"/>
                <w:szCs w:val="21"/>
              </w:rPr>
              <w:t>稍有危险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exact"/>
          <w:jc w:val="center"/>
        </w:trPr>
        <w:tc>
          <w:tcPr>
            <w:tcW w:w="1411" w:type="dxa"/>
            <w:vAlign w:val="center"/>
          </w:tcPr>
          <w:p>
            <w:pPr>
              <w:spacing w:line="240" w:lineRule="exact"/>
              <w:jc w:val="center"/>
              <w:rPr>
                <w:rFonts w:eastAsiaTheme="minorEastAsia"/>
                <w:color w:val="000000" w:themeColor="text1"/>
                <w:szCs w:val="21"/>
              </w:rPr>
            </w:pPr>
            <w:r>
              <w:rPr>
                <w:rFonts w:eastAsiaTheme="minorEastAsia"/>
                <w:color w:val="000000" w:themeColor="text1"/>
                <w:szCs w:val="21"/>
              </w:rPr>
              <w:t>给排水</w:t>
            </w:r>
          </w:p>
        </w:tc>
        <w:tc>
          <w:tcPr>
            <w:tcW w:w="387" w:type="dxa"/>
            <w:vAlign w:val="center"/>
          </w:tcPr>
          <w:p>
            <w:pPr>
              <w:adjustRightInd w:val="0"/>
              <w:snapToGrid w:val="0"/>
              <w:spacing w:line="240" w:lineRule="exact"/>
              <w:jc w:val="center"/>
              <w:rPr>
                <w:rFonts w:eastAsiaTheme="minorEastAsia"/>
                <w:color w:val="000000" w:themeColor="text1"/>
                <w:szCs w:val="21"/>
              </w:rPr>
            </w:pPr>
            <w:r>
              <w:rPr>
                <w:rFonts w:eastAsiaTheme="minorEastAsia"/>
                <w:color w:val="000000" w:themeColor="text1"/>
                <w:szCs w:val="21"/>
              </w:rPr>
              <w:t>3</w:t>
            </w:r>
          </w:p>
        </w:tc>
        <w:tc>
          <w:tcPr>
            <w:tcW w:w="477" w:type="dxa"/>
            <w:vAlign w:val="center"/>
          </w:tcPr>
          <w:p>
            <w:pPr>
              <w:adjustRightInd w:val="0"/>
              <w:snapToGrid w:val="0"/>
              <w:spacing w:line="240" w:lineRule="exact"/>
              <w:jc w:val="center"/>
              <w:rPr>
                <w:rFonts w:eastAsiaTheme="minorEastAsia"/>
                <w:color w:val="000000" w:themeColor="text1"/>
                <w:szCs w:val="21"/>
              </w:rPr>
            </w:pPr>
            <w:r>
              <w:rPr>
                <w:rFonts w:eastAsiaTheme="minorEastAsia"/>
                <w:color w:val="000000" w:themeColor="text1"/>
                <w:szCs w:val="21"/>
              </w:rPr>
              <w:t>3</w:t>
            </w:r>
          </w:p>
        </w:tc>
        <w:tc>
          <w:tcPr>
            <w:tcW w:w="384" w:type="dxa"/>
            <w:vAlign w:val="center"/>
          </w:tcPr>
          <w:p>
            <w:pPr>
              <w:adjustRightInd w:val="0"/>
              <w:snapToGrid w:val="0"/>
              <w:spacing w:line="240" w:lineRule="exact"/>
              <w:jc w:val="center"/>
              <w:rPr>
                <w:rFonts w:eastAsiaTheme="minorEastAsia"/>
                <w:color w:val="000000" w:themeColor="text1"/>
                <w:szCs w:val="21"/>
              </w:rPr>
            </w:pPr>
            <w:r>
              <w:rPr>
                <w:rFonts w:eastAsiaTheme="minorEastAsia"/>
                <w:color w:val="000000" w:themeColor="text1"/>
                <w:szCs w:val="21"/>
              </w:rPr>
              <w:t>3</w:t>
            </w:r>
          </w:p>
        </w:tc>
        <w:tc>
          <w:tcPr>
            <w:tcW w:w="561" w:type="dxa"/>
            <w:vAlign w:val="center"/>
          </w:tcPr>
          <w:p>
            <w:pPr>
              <w:adjustRightInd w:val="0"/>
              <w:snapToGrid w:val="0"/>
              <w:spacing w:line="240" w:lineRule="exact"/>
              <w:jc w:val="center"/>
              <w:rPr>
                <w:rFonts w:eastAsiaTheme="minorEastAsia"/>
                <w:b/>
                <w:bCs/>
                <w:color w:val="000000" w:themeColor="text1"/>
                <w:szCs w:val="21"/>
              </w:rPr>
            </w:pPr>
            <w:r>
              <w:rPr>
                <w:rFonts w:eastAsiaTheme="minorEastAsia"/>
                <w:b/>
                <w:bCs/>
                <w:color w:val="000000" w:themeColor="text1"/>
                <w:szCs w:val="21"/>
              </w:rPr>
              <w:t>27</w:t>
            </w:r>
          </w:p>
        </w:tc>
        <w:tc>
          <w:tcPr>
            <w:tcW w:w="1517" w:type="dxa"/>
            <w:vAlign w:val="center"/>
          </w:tcPr>
          <w:p>
            <w:pPr>
              <w:adjustRightInd w:val="0"/>
              <w:snapToGrid w:val="0"/>
              <w:spacing w:line="240" w:lineRule="exact"/>
              <w:jc w:val="center"/>
              <w:rPr>
                <w:rFonts w:eastAsiaTheme="minorEastAsia"/>
                <w:color w:val="000000" w:themeColor="text1"/>
                <w:szCs w:val="21"/>
              </w:rPr>
            </w:pPr>
            <w:r>
              <w:rPr>
                <w:rFonts w:eastAsiaTheme="minorEastAsia"/>
                <w:color w:val="000000" w:themeColor="text1"/>
                <w:szCs w:val="21"/>
              </w:rPr>
              <w:t>可能危险</w:t>
            </w:r>
          </w:p>
        </w:tc>
        <w:tc>
          <w:tcPr>
            <w:tcW w:w="691" w:type="dxa"/>
            <w:vAlign w:val="center"/>
          </w:tcPr>
          <w:p>
            <w:pPr>
              <w:adjustRightInd w:val="0"/>
              <w:snapToGrid w:val="0"/>
              <w:spacing w:line="240" w:lineRule="exact"/>
              <w:jc w:val="center"/>
              <w:rPr>
                <w:rFonts w:eastAsiaTheme="minorEastAsia"/>
                <w:b/>
                <w:color w:val="000000" w:themeColor="text1"/>
                <w:szCs w:val="21"/>
              </w:rPr>
            </w:pPr>
            <w:r>
              <w:rPr>
                <w:rFonts w:eastAsiaTheme="minorEastAsia"/>
                <w:b/>
                <w:color w:val="000000" w:themeColor="text1"/>
                <w:szCs w:val="21"/>
              </w:rPr>
              <w:t>0.32</w:t>
            </w:r>
          </w:p>
        </w:tc>
        <w:tc>
          <w:tcPr>
            <w:tcW w:w="400" w:type="dxa"/>
            <w:vAlign w:val="center"/>
          </w:tcPr>
          <w:p>
            <w:pPr>
              <w:adjustRightInd w:val="0"/>
              <w:snapToGrid w:val="0"/>
              <w:spacing w:line="240" w:lineRule="exact"/>
              <w:jc w:val="center"/>
              <w:rPr>
                <w:rFonts w:eastAsiaTheme="minorEastAsia"/>
                <w:color w:val="000000" w:themeColor="text1"/>
                <w:szCs w:val="21"/>
              </w:rPr>
            </w:pPr>
            <w:r>
              <w:rPr>
                <w:rFonts w:eastAsiaTheme="minorEastAsia"/>
                <w:color w:val="000000" w:themeColor="text1"/>
                <w:szCs w:val="21"/>
              </w:rPr>
              <w:t>3</w:t>
            </w:r>
          </w:p>
        </w:tc>
        <w:tc>
          <w:tcPr>
            <w:tcW w:w="369" w:type="dxa"/>
            <w:vAlign w:val="center"/>
          </w:tcPr>
          <w:p>
            <w:pPr>
              <w:adjustRightInd w:val="0"/>
              <w:snapToGrid w:val="0"/>
              <w:spacing w:line="240" w:lineRule="exact"/>
              <w:jc w:val="center"/>
              <w:rPr>
                <w:rFonts w:eastAsiaTheme="minorEastAsia"/>
                <w:color w:val="000000" w:themeColor="text1"/>
                <w:szCs w:val="21"/>
              </w:rPr>
            </w:pPr>
            <w:r>
              <w:rPr>
                <w:rFonts w:eastAsiaTheme="minorEastAsia"/>
                <w:color w:val="000000" w:themeColor="text1"/>
                <w:szCs w:val="21"/>
              </w:rPr>
              <w:t>3</w:t>
            </w:r>
          </w:p>
        </w:tc>
        <w:tc>
          <w:tcPr>
            <w:tcW w:w="416" w:type="dxa"/>
            <w:vAlign w:val="center"/>
          </w:tcPr>
          <w:p>
            <w:pPr>
              <w:adjustRightInd w:val="0"/>
              <w:snapToGrid w:val="0"/>
              <w:spacing w:line="240" w:lineRule="exact"/>
              <w:jc w:val="center"/>
              <w:rPr>
                <w:rFonts w:eastAsiaTheme="minorEastAsia"/>
                <w:color w:val="000000" w:themeColor="text1"/>
                <w:szCs w:val="21"/>
              </w:rPr>
            </w:pPr>
            <w:r>
              <w:rPr>
                <w:rFonts w:eastAsiaTheme="minorEastAsia"/>
                <w:color w:val="000000" w:themeColor="text1"/>
                <w:szCs w:val="21"/>
              </w:rPr>
              <w:t>3</w:t>
            </w:r>
          </w:p>
        </w:tc>
        <w:tc>
          <w:tcPr>
            <w:tcW w:w="757" w:type="dxa"/>
            <w:vAlign w:val="center"/>
          </w:tcPr>
          <w:p>
            <w:pPr>
              <w:adjustRightInd w:val="0"/>
              <w:snapToGrid w:val="0"/>
              <w:spacing w:line="240" w:lineRule="exact"/>
              <w:jc w:val="center"/>
              <w:rPr>
                <w:rFonts w:eastAsiaTheme="minorEastAsia"/>
                <w:b/>
                <w:color w:val="000000" w:themeColor="text1"/>
                <w:szCs w:val="21"/>
              </w:rPr>
            </w:pPr>
            <w:r>
              <w:rPr>
                <w:rFonts w:eastAsiaTheme="minorEastAsia"/>
                <w:b/>
                <w:color w:val="000000" w:themeColor="text1"/>
                <w:szCs w:val="21"/>
              </w:rPr>
              <w:t>8.64</w:t>
            </w:r>
          </w:p>
        </w:tc>
        <w:tc>
          <w:tcPr>
            <w:tcW w:w="1490" w:type="dxa"/>
            <w:vAlign w:val="center"/>
          </w:tcPr>
          <w:p>
            <w:pPr>
              <w:adjustRightInd w:val="0"/>
              <w:snapToGrid w:val="0"/>
              <w:spacing w:line="240" w:lineRule="exact"/>
              <w:jc w:val="center"/>
              <w:rPr>
                <w:rFonts w:eastAsiaTheme="minorEastAsia"/>
                <w:color w:val="000000" w:themeColor="text1"/>
                <w:szCs w:val="21"/>
              </w:rPr>
            </w:pPr>
            <w:r>
              <w:rPr>
                <w:rFonts w:eastAsiaTheme="minorEastAsia"/>
                <w:color w:val="000000" w:themeColor="text1"/>
                <w:szCs w:val="21"/>
              </w:rPr>
              <w:t>稍有危险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exact"/>
          <w:jc w:val="center"/>
        </w:trPr>
        <w:tc>
          <w:tcPr>
            <w:tcW w:w="1411" w:type="dxa"/>
            <w:vAlign w:val="center"/>
          </w:tcPr>
          <w:p>
            <w:pPr>
              <w:spacing w:line="240" w:lineRule="exact"/>
              <w:jc w:val="center"/>
              <w:rPr>
                <w:rFonts w:eastAsiaTheme="minorEastAsia"/>
                <w:color w:val="000000" w:themeColor="text1"/>
                <w:szCs w:val="21"/>
              </w:rPr>
            </w:pPr>
            <w:r>
              <w:rPr>
                <w:rFonts w:eastAsiaTheme="minorEastAsia"/>
                <w:color w:val="000000" w:themeColor="text1"/>
                <w:szCs w:val="21"/>
              </w:rPr>
              <w:t>检维修过程</w:t>
            </w:r>
          </w:p>
        </w:tc>
        <w:tc>
          <w:tcPr>
            <w:tcW w:w="387" w:type="dxa"/>
            <w:vAlign w:val="center"/>
          </w:tcPr>
          <w:p>
            <w:pPr>
              <w:adjustRightInd w:val="0"/>
              <w:snapToGrid w:val="0"/>
              <w:spacing w:line="240" w:lineRule="exact"/>
              <w:jc w:val="center"/>
              <w:rPr>
                <w:rFonts w:eastAsiaTheme="minorEastAsia"/>
                <w:color w:val="000000" w:themeColor="text1"/>
                <w:szCs w:val="21"/>
              </w:rPr>
            </w:pPr>
            <w:r>
              <w:rPr>
                <w:rFonts w:eastAsiaTheme="minorEastAsia"/>
                <w:color w:val="000000" w:themeColor="text1"/>
                <w:szCs w:val="21"/>
              </w:rPr>
              <w:t>3</w:t>
            </w:r>
          </w:p>
        </w:tc>
        <w:tc>
          <w:tcPr>
            <w:tcW w:w="477" w:type="dxa"/>
            <w:vAlign w:val="center"/>
          </w:tcPr>
          <w:p>
            <w:pPr>
              <w:adjustRightInd w:val="0"/>
              <w:snapToGrid w:val="0"/>
              <w:spacing w:line="240" w:lineRule="exact"/>
              <w:jc w:val="center"/>
              <w:rPr>
                <w:rFonts w:eastAsiaTheme="minorEastAsia"/>
                <w:color w:val="000000" w:themeColor="text1"/>
                <w:szCs w:val="21"/>
              </w:rPr>
            </w:pPr>
            <w:r>
              <w:rPr>
                <w:rFonts w:eastAsiaTheme="minorEastAsia"/>
                <w:color w:val="000000" w:themeColor="text1"/>
                <w:szCs w:val="21"/>
              </w:rPr>
              <w:t>6</w:t>
            </w:r>
          </w:p>
        </w:tc>
        <w:tc>
          <w:tcPr>
            <w:tcW w:w="384" w:type="dxa"/>
            <w:vAlign w:val="center"/>
          </w:tcPr>
          <w:p>
            <w:pPr>
              <w:adjustRightInd w:val="0"/>
              <w:snapToGrid w:val="0"/>
              <w:spacing w:line="240" w:lineRule="exact"/>
              <w:jc w:val="center"/>
              <w:rPr>
                <w:rFonts w:eastAsiaTheme="minorEastAsia"/>
                <w:color w:val="000000" w:themeColor="text1"/>
                <w:szCs w:val="21"/>
              </w:rPr>
            </w:pPr>
            <w:r>
              <w:rPr>
                <w:rFonts w:eastAsiaTheme="minorEastAsia"/>
                <w:color w:val="000000" w:themeColor="text1"/>
                <w:szCs w:val="21"/>
              </w:rPr>
              <w:t>7</w:t>
            </w:r>
          </w:p>
        </w:tc>
        <w:tc>
          <w:tcPr>
            <w:tcW w:w="561" w:type="dxa"/>
            <w:vAlign w:val="center"/>
          </w:tcPr>
          <w:p>
            <w:pPr>
              <w:adjustRightInd w:val="0"/>
              <w:snapToGrid w:val="0"/>
              <w:spacing w:line="240" w:lineRule="exact"/>
              <w:jc w:val="center"/>
              <w:rPr>
                <w:rFonts w:eastAsiaTheme="minorEastAsia"/>
                <w:b/>
                <w:bCs/>
                <w:color w:val="000000" w:themeColor="text1"/>
                <w:szCs w:val="21"/>
              </w:rPr>
            </w:pPr>
            <w:r>
              <w:rPr>
                <w:rFonts w:eastAsiaTheme="minorEastAsia"/>
                <w:b/>
                <w:bCs/>
                <w:color w:val="000000" w:themeColor="text1"/>
                <w:szCs w:val="21"/>
              </w:rPr>
              <w:t>126</w:t>
            </w:r>
          </w:p>
        </w:tc>
        <w:tc>
          <w:tcPr>
            <w:tcW w:w="1517" w:type="dxa"/>
            <w:vAlign w:val="center"/>
          </w:tcPr>
          <w:p>
            <w:pPr>
              <w:spacing w:line="240" w:lineRule="exact"/>
              <w:jc w:val="center"/>
              <w:rPr>
                <w:rFonts w:eastAsiaTheme="minorEastAsia"/>
                <w:color w:val="000000" w:themeColor="text1"/>
                <w:szCs w:val="21"/>
              </w:rPr>
            </w:pPr>
            <w:r>
              <w:rPr>
                <w:rFonts w:eastAsiaTheme="minorEastAsia"/>
                <w:color w:val="000000" w:themeColor="text1"/>
                <w:szCs w:val="21"/>
              </w:rPr>
              <w:t>显著危险</w:t>
            </w:r>
          </w:p>
        </w:tc>
        <w:tc>
          <w:tcPr>
            <w:tcW w:w="691" w:type="dxa"/>
            <w:vAlign w:val="center"/>
          </w:tcPr>
          <w:p>
            <w:pPr>
              <w:adjustRightInd w:val="0"/>
              <w:snapToGrid w:val="0"/>
              <w:spacing w:line="240" w:lineRule="exact"/>
              <w:jc w:val="center"/>
              <w:rPr>
                <w:rFonts w:eastAsiaTheme="minorEastAsia"/>
                <w:b/>
                <w:color w:val="000000" w:themeColor="text1"/>
                <w:szCs w:val="21"/>
              </w:rPr>
            </w:pPr>
            <w:r>
              <w:rPr>
                <w:rFonts w:eastAsiaTheme="minorEastAsia"/>
                <w:b/>
                <w:color w:val="000000" w:themeColor="text1"/>
                <w:szCs w:val="21"/>
              </w:rPr>
              <w:t>0.37</w:t>
            </w:r>
          </w:p>
        </w:tc>
        <w:tc>
          <w:tcPr>
            <w:tcW w:w="400" w:type="dxa"/>
            <w:vAlign w:val="center"/>
          </w:tcPr>
          <w:p>
            <w:pPr>
              <w:adjustRightInd w:val="0"/>
              <w:snapToGrid w:val="0"/>
              <w:spacing w:line="240" w:lineRule="exact"/>
              <w:jc w:val="center"/>
              <w:rPr>
                <w:rFonts w:eastAsiaTheme="minorEastAsia"/>
                <w:color w:val="000000" w:themeColor="text1"/>
                <w:szCs w:val="21"/>
              </w:rPr>
            </w:pPr>
            <w:r>
              <w:rPr>
                <w:rFonts w:eastAsiaTheme="minorEastAsia"/>
                <w:color w:val="000000" w:themeColor="text1"/>
                <w:szCs w:val="21"/>
              </w:rPr>
              <w:t>3</w:t>
            </w:r>
          </w:p>
        </w:tc>
        <w:tc>
          <w:tcPr>
            <w:tcW w:w="369" w:type="dxa"/>
            <w:vAlign w:val="center"/>
          </w:tcPr>
          <w:p>
            <w:pPr>
              <w:adjustRightInd w:val="0"/>
              <w:snapToGrid w:val="0"/>
              <w:spacing w:line="240" w:lineRule="exact"/>
              <w:jc w:val="center"/>
              <w:rPr>
                <w:rFonts w:eastAsiaTheme="minorEastAsia"/>
                <w:color w:val="000000" w:themeColor="text1"/>
                <w:szCs w:val="21"/>
              </w:rPr>
            </w:pPr>
            <w:r>
              <w:rPr>
                <w:rFonts w:eastAsiaTheme="minorEastAsia"/>
                <w:color w:val="000000" w:themeColor="text1"/>
                <w:szCs w:val="21"/>
              </w:rPr>
              <w:t>6</w:t>
            </w:r>
          </w:p>
        </w:tc>
        <w:tc>
          <w:tcPr>
            <w:tcW w:w="416" w:type="dxa"/>
            <w:vAlign w:val="center"/>
          </w:tcPr>
          <w:p>
            <w:pPr>
              <w:adjustRightInd w:val="0"/>
              <w:snapToGrid w:val="0"/>
              <w:spacing w:line="240" w:lineRule="exact"/>
              <w:jc w:val="center"/>
              <w:rPr>
                <w:rFonts w:eastAsiaTheme="minorEastAsia"/>
                <w:color w:val="000000" w:themeColor="text1"/>
                <w:szCs w:val="21"/>
              </w:rPr>
            </w:pPr>
            <w:r>
              <w:rPr>
                <w:rFonts w:eastAsiaTheme="minorEastAsia"/>
                <w:color w:val="000000" w:themeColor="text1"/>
                <w:szCs w:val="21"/>
              </w:rPr>
              <w:t>7</w:t>
            </w:r>
          </w:p>
        </w:tc>
        <w:tc>
          <w:tcPr>
            <w:tcW w:w="757" w:type="dxa"/>
            <w:vAlign w:val="center"/>
          </w:tcPr>
          <w:p>
            <w:pPr>
              <w:adjustRightInd w:val="0"/>
              <w:snapToGrid w:val="0"/>
              <w:spacing w:line="240" w:lineRule="exact"/>
              <w:jc w:val="center"/>
              <w:rPr>
                <w:rFonts w:eastAsiaTheme="minorEastAsia"/>
                <w:b/>
                <w:color w:val="000000" w:themeColor="text1"/>
                <w:szCs w:val="21"/>
              </w:rPr>
            </w:pPr>
            <w:r>
              <w:rPr>
                <w:rFonts w:eastAsiaTheme="minorEastAsia"/>
                <w:b/>
                <w:color w:val="000000" w:themeColor="text1"/>
                <w:szCs w:val="21"/>
              </w:rPr>
              <w:t>46.62</w:t>
            </w:r>
          </w:p>
        </w:tc>
        <w:tc>
          <w:tcPr>
            <w:tcW w:w="1490" w:type="dxa"/>
            <w:vAlign w:val="center"/>
          </w:tcPr>
          <w:p>
            <w:pPr>
              <w:adjustRightInd w:val="0"/>
              <w:snapToGrid w:val="0"/>
              <w:spacing w:line="240" w:lineRule="exact"/>
              <w:jc w:val="center"/>
              <w:rPr>
                <w:rFonts w:eastAsiaTheme="minorEastAsia"/>
                <w:color w:val="000000" w:themeColor="text1"/>
                <w:szCs w:val="21"/>
              </w:rPr>
            </w:pPr>
            <w:r>
              <w:rPr>
                <w:rFonts w:eastAsiaTheme="minorEastAsia"/>
                <w:color w:val="000000" w:themeColor="text1"/>
                <w:szCs w:val="21"/>
              </w:rPr>
              <w:t>可能危险</w:t>
            </w:r>
          </w:p>
        </w:tc>
      </w:tr>
    </w:tbl>
    <w:p>
      <w:pPr>
        <w:pStyle w:val="34"/>
        <w:adjustRightInd w:val="0"/>
        <w:snapToGrid w:val="0"/>
        <w:spacing w:after="0" w:line="500" w:lineRule="exact"/>
        <w:ind w:left="0" w:leftChars="0" w:firstLine="560" w:firstLineChars="200"/>
        <w:rPr>
          <w:rFonts w:eastAsiaTheme="minorEastAsia"/>
          <w:snapToGrid w:val="0"/>
          <w:color w:val="000000" w:themeColor="text1"/>
          <w:kern w:val="0"/>
          <w:sz w:val="28"/>
          <w:szCs w:val="28"/>
        </w:rPr>
      </w:pPr>
      <w:r>
        <w:rPr>
          <w:rFonts w:eastAsiaTheme="minorEastAsia"/>
          <w:snapToGrid w:val="0"/>
          <w:color w:val="000000" w:themeColor="text1"/>
          <w:kern w:val="0"/>
          <w:sz w:val="28"/>
          <w:szCs w:val="28"/>
        </w:rPr>
        <w:t>从上表中可以看出，分装、储存、装车、检维修过程等单元是显著危险，其他单元是可能危险。但是考虑安全管理补偿系数之后，分装、储存、装车、检维修过程等单元是可能危险，其他单元是稍有危险。因此该项目在运行过程中应给予高度重视，加强防范及管理力度，确保系统安全运行，保障运营正常。</w:t>
      </w:r>
    </w:p>
    <w:p>
      <w:pPr>
        <w:pStyle w:val="19"/>
        <w:spacing w:afterLines="100" w:line="500" w:lineRule="exact"/>
        <w:jc w:val="center"/>
        <w:rPr>
          <w:rFonts w:ascii="楷体_GB2312" w:hAnsi="宋体" w:eastAsia="楷体_GB2312"/>
          <w:color w:val="000000" w:themeColor="text1"/>
          <w:kern w:val="3"/>
        </w:rPr>
      </w:pPr>
      <w:bookmarkStart w:id="1684" w:name="_Toc29510"/>
      <w:bookmarkStart w:id="1685" w:name="_Toc2655"/>
      <w:bookmarkStart w:id="1686" w:name="_Toc21464"/>
      <w:bookmarkStart w:id="1687" w:name="_Toc25767"/>
      <w:bookmarkStart w:id="1688" w:name="_Toc18308"/>
      <w:bookmarkStart w:id="1689" w:name="_Toc1579"/>
      <w:bookmarkStart w:id="1690" w:name="_Toc17335"/>
      <w:bookmarkStart w:id="1691" w:name="_Toc23400"/>
      <w:bookmarkStart w:id="1692" w:name="_Toc4099"/>
      <w:bookmarkStart w:id="1693" w:name="_Toc7301"/>
      <w:bookmarkStart w:id="1694" w:name="_Toc14405"/>
      <w:bookmarkStart w:id="1695" w:name="_Toc25066"/>
      <w:bookmarkStart w:id="1696" w:name="_Toc11885"/>
      <w:bookmarkStart w:id="1697" w:name="_Toc17043"/>
      <w:bookmarkStart w:id="1698" w:name="_Toc4414_WPSOffice_Level2"/>
      <w:bookmarkStart w:id="1699" w:name="_Toc7011"/>
      <w:r>
        <w:rPr>
          <w:rFonts w:hint="eastAsia" w:ascii="楷体_GB2312" w:hAnsi="宋体" w:eastAsia="楷体_GB2312"/>
          <w:color w:val="000000" w:themeColor="text1"/>
          <w:kern w:val="3"/>
        </w:rPr>
        <w:t>5.3厂址及总平面布置评价单元</w:t>
      </w:r>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p>
    <w:p>
      <w:pPr>
        <w:pStyle w:val="19"/>
        <w:spacing w:afterLines="100" w:line="500" w:lineRule="exact"/>
        <w:rPr>
          <w:rFonts w:ascii="黑体" w:hAnsi="宋体" w:eastAsia="黑体"/>
          <w:color w:val="000000" w:themeColor="text1"/>
          <w:kern w:val="3"/>
          <w:sz w:val="28"/>
          <w:szCs w:val="28"/>
        </w:rPr>
      </w:pPr>
      <w:bookmarkStart w:id="1700" w:name="_Toc5640"/>
      <w:bookmarkStart w:id="1701" w:name="_Toc10630"/>
      <w:bookmarkStart w:id="1702" w:name="_Toc10750"/>
      <w:bookmarkStart w:id="1703" w:name="_Toc9944"/>
      <w:bookmarkStart w:id="1704" w:name="_Toc28910"/>
      <w:bookmarkStart w:id="1705" w:name="_Toc30330"/>
      <w:bookmarkStart w:id="1706" w:name="_Toc21507"/>
      <w:bookmarkStart w:id="1707" w:name="_Toc19066"/>
      <w:bookmarkStart w:id="1708" w:name="_Toc6311"/>
      <w:bookmarkStart w:id="1709" w:name="_Toc5206"/>
      <w:r>
        <w:rPr>
          <w:rFonts w:hint="eastAsia" w:ascii="黑体" w:hAnsi="宋体" w:eastAsia="黑体"/>
          <w:color w:val="000000" w:themeColor="text1"/>
          <w:kern w:val="3"/>
          <w:sz w:val="28"/>
          <w:szCs w:val="28"/>
        </w:rPr>
        <w:t>5.3.1厂址安全评价子单元</w:t>
      </w:r>
      <w:bookmarkEnd w:id="1700"/>
      <w:bookmarkEnd w:id="1701"/>
      <w:bookmarkEnd w:id="1702"/>
      <w:bookmarkEnd w:id="1703"/>
      <w:bookmarkEnd w:id="1704"/>
      <w:bookmarkEnd w:id="1705"/>
      <w:bookmarkEnd w:id="1706"/>
      <w:bookmarkEnd w:id="1707"/>
      <w:bookmarkEnd w:id="1708"/>
      <w:bookmarkEnd w:id="1709"/>
    </w:p>
    <w:p>
      <w:pPr>
        <w:spacing w:line="500" w:lineRule="exact"/>
        <w:ind w:firstLine="562" w:firstLineChars="200"/>
        <w:rPr>
          <w:rFonts w:eastAsiaTheme="minorEastAsia"/>
          <w:b/>
          <w:snapToGrid w:val="0"/>
          <w:color w:val="000000" w:themeColor="text1"/>
          <w:kern w:val="0"/>
          <w:sz w:val="28"/>
          <w:szCs w:val="28"/>
        </w:rPr>
      </w:pPr>
      <w:bookmarkStart w:id="1710" w:name="_Toc28743"/>
      <w:r>
        <w:rPr>
          <w:rFonts w:eastAsiaTheme="minorEastAsia"/>
          <w:b/>
          <w:snapToGrid w:val="0"/>
          <w:color w:val="000000" w:themeColor="text1"/>
          <w:kern w:val="0"/>
          <w:sz w:val="28"/>
          <w:szCs w:val="28"/>
        </w:rPr>
        <w:t>1</w:t>
      </w:r>
      <w:r>
        <w:rPr>
          <w:rFonts w:hint="eastAsia" w:eastAsiaTheme="minorEastAsia"/>
          <w:b/>
          <w:snapToGrid w:val="0"/>
          <w:color w:val="000000" w:themeColor="text1"/>
          <w:kern w:val="0"/>
          <w:sz w:val="28"/>
          <w:szCs w:val="28"/>
        </w:rPr>
        <w:t>.</w:t>
      </w:r>
      <w:r>
        <w:rPr>
          <w:rFonts w:eastAsiaTheme="minorEastAsia"/>
          <w:b/>
          <w:snapToGrid w:val="0"/>
          <w:color w:val="000000" w:themeColor="text1"/>
          <w:kern w:val="0"/>
          <w:sz w:val="28"/>
          <w:szCs w:val="28"/>
        </w:rPr>
        <w:t>厂址安全检查表</w:t>
      </w:r>
      <w:bookmarkEnd w:id="1710"/>
    </w:p>
    <w:p>
      <w:pPr>
        <w:adjustRightInd w:val="0"/>
        <w:snapToGrid w:val="0"/>
        <w:spacing w:line="500" w:lineRule="exact"/>
        <w:ind w:firstLine="560" w:firstLineChars="200"/>
        <w:rPr>
          <w:rFonts w:eastAsiaTheme="minorEastAsia"/>
          <w:color w:val="000000" w:themeColor="text1"/>
          <w:sz w:val="28"/>
          <w:szCs w:val="20"/>
        </w:rPr>
      </w:pPr>
      <w:r>
        <w:rPr>
          <w:rFonts w:eastAsiaTheme="minorEastAsia"/>
          <w:color w:val="000000" w:themeColor="text1"/>
          <w:sz w:val="28"/>
          <w:szCs w:val="20"/>
        </w:rPr>
        <w:t>根据《危险化学品安全管理条例》（中华人民共和国国务院令第591号，2015年修订）、《化工企业安全卫生设计规范》（HG20571-2014）、《工业企业设计卫生标准》（GBZ1-2010）、《工业企业总平面设计规范》（GB50187-2012）</w:t>
      </w:r>
      <w:r>
        <w:rPr>
          <w:rFonts w:eastAsiaTheme="minorEastAsia"/>
          <w:color w:val="000000" w:themeColor="text1"/>
          <w:sz w:val="28"/>
          <w:szCs w:val="21"/>
        </w:rPr>
        <w:t>、《汽车加油加气加氢站技术标准》（GB50156-2021）</w:t>
      </w:r>
      <w:r>
        <w:rPr>
          <w:rFonts w:eastAsiaTheme="minorEastAsia"/>
          <w:color w:val="000000" w:themeColor="text1"/>
          <w:sz w:val="28"/>
          <w:szCs w:val="20"/>
        </w:rPr>
        <w:t>等标准、规范要求，对该项目厂址进行安全分析评价，具体情况如下表所示：</w:t>
      </w:r>
    </w:p>
    <w:p>
      <w:pPr>
        <w:rPr>
          <w:rFonts w:eastAsiaTheme="minorEastAsia"/>
          <w:color w:val="000000" w:themeColor="text1"/>
          <w:sz w:val="24"/>
        </w:rPr>
      </w:pPr>
      <w:r>
        <w:rPr>
          <w:rFonts w:eastAsiaTheme="minorEastAsia"/>
          <w:color w:val="000000" w:themeColor="text1"/>
          <w:sz w:val="24"/>
        </w:rPr>
        <w:br w:type="page"/>
      </w:r>
    </w:p>
    <w:p>
      <w:pPr>
        <w:spacing w:beforeLines="50"/>
        <w:jc w:val="center"/>
        <w:rPr>
          <w:rFonts w:eastAsiaTheme="minorEastAsia"/>
          <w:color w:val="000000" w:themeColor="text1"/>
          <w:sz w:val="24"/>
        </w:rPr>
      </w:pPr>
      <w:r>
        <w:rPr>
          <w:rFonts w:eastAsiaTheme="minorEastAsia"/>
          <w:color w:val="000000" w:themeColor="text1"/>
          <w:sz w:val="24"/>
        </w:rPr>
        <w:t>表5-3厂址安全检查表</w:t>
      </w:r>
    </w:p>
    <w:tbl>
      <w:tblPr>
        <w:tblStyle w:val="52"/>
        <w:tblW w:w="893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91"/>
        <w:gridCol w:w="3195"/>
        <w:gridCol w:w="2310"/>
        <w:gridCol w:w="2190"/>
        <w:gridCol w:w="65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591"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eastAsiaTheme="minorEastAsia"/>
                <w:b/>
                <w:bCs/>
                <w:color w:val="000000" w:themeColor="text1"/>
                <w:szCs w:val="21"/>
              </w:rPr>
            </w:pPr>
            <w:r>
              <w:rPr>
                <w:rFonts w:eastAsiaTheme="minorEastAsia"/>
                <w:b/>
                <w:bCs/>
                <w:color w:val="000000" w:themeColor="text1"/>
                <w:szCs w:val="21"/>
              </w:rPr>
              <w:t>序号</w:t>
            </w:r>
          </w:p>
        </w:tc>
        <w:tc>
          <w:tcPr>
            <w:tcW w:w="3195"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eastAsiaTheme="minorEastAsia"/>
                <w:b/>
                <w:bCs/>
                <w:color w:val="000000" w:themeColor="text1"/>
                <w:szCs w:val="21"/>
              </w:rPr>
            </w:pPr>
            <w:r>
              <w:rPr>
                <w:rFonts w:eastAsiaTheme="minorEastAsia"/>
                <w:b/>
                <w:bCs/>
                <w:color w:val="000000" w:themeColor="text1"/>
                <w:szCs w:val="21"/>
              </w:rPr>
              <w:t>检查内容</w:t>
            </w:r>
          </w:p>
        </w:tc>
        <w:tc>
          <w:tcPr>
            <w:tcW w:w="2310"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eastAsiaTheme="minorEastAsia"/>
                <w:b/>
                <w:bCs/>
                <w:color w:val="000000" w:themeColor="text1"/>
                <w:szCs w:val="21"/>
              </w:rPr>
            </w:pPr>
            <w:r>
              <w:rPr>
                <w:rFonts w:eastAsiaTheme="minorEastAsia"/>
                <w:b/>
                <w:bCs/>
                <w:color w:val="000000" w:themeColor="text1"/>
                <w:szCs w:val="21"/>
              </w:rPr>
              <w:t>检查依据</w:t>
            </w:r>
          </w:p>
        </w:tc>
        <w:tc>
          <w:tcPr>
            <w:tcW w:w="2190"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eastAsiaTheme="minorEastAsia"/>
                <w:b/>
                <w:bCs/>
                <w:color w:val="000000" w:themeColor="text1"/>
                <w:szCs w:val="21"/>
              </w:rPr>
            </w:pPr>
            <w:r>
              <w:rPr>
                <w:rFonts w:eastAsiaTheme="minorEastAsia"/>
                <w:b/>
                <w:bCs/>
                <w:color w:val="000000" w:themeColor="text1"/>
                <w:szCs w:val="21"/>
              </w:rPr>
              <w:t>检查记录</w:t>
            </w:r>
          </w:p>
        </w:tc>
        <w:tc>
          <w:tcPr>
            <w:tcW w:w="653"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eastAsiaTheme="minorEastAsia"/>
                <w:b/>
                <w:bCs/>
                <w:color w:val="000000" w:themeColor="text1"/>
                <w:szCs w:val="21"/>
              </w:rPr>
            </w:pPr>
            <w:r>
              <w:rPr>
                <w:rFonts w:eastAsiaTheme="minorEastAsia"/>
                <w:b/>
                <w:bCs/>
                <w:color w:val="000000" w:themeColor="text1"/>
                <w:szCs w:val="21"/>
              </w:rPr>
              <w:t>检查结果</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686" w:hRule="atLeast"/>
          <w:jc w:val="center"/>
        </w:trPr>
        <w:tc>
          <w:tcPr>
            <w:tcW w:w="591"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eastAsiaTheme="minorEastAsia"/>
                <w:color w:val="000000" w:themeColor="text1"/>
                <w:szCs w:val="21"/>
              </w:rPr>
            </w:pPr>
            <w:r>
              <w:rPr>
                <w:rFonts w:eastAsiaTheme="minorEastAsia"/>
                <w:color w:val="000000" w:themeColor="text1"/>
                <w:szCs w:val="21"/>
              </w:rPr>
              <w:t>1</w:t>
            </w:r>
          </w:p>
        </w:tc>
        <w:tc>
          <w:tcPr>
            <w:tcW w:w="3195" w:type="dxa"/>
            <w:tcBorders>
              <w:top w:val="single" w:color="auto" w:sz="4" w:space="0"/>
              <w:left w:val="single" w:color="auto" w:sz="4" w:space="0"/>
              <w:bottom w:val="single" w:color="auto" w:sz="4" w:space="0"/>
              <w:right w:val="single" w:color="auto" w:sz="4" w:space="0"/>
            </w:tcBorders>
            <w:vAlign w:val="center"/>
          </w:tcPr>
          <w:p>
            <w:pPr>
              <w:spacing w:line="260" w:lineRule="exact"/>
              <w:rPr>
                <w:rFonts w:eastAsiaTheme="minorEastAsia"/>
                <w:color w:val="000000" w:themeColor="text1"/>
                <w:szCs w:val="21"/>
              </w:rPr>
            </w:pPr>
            <w:r>
              <w:rPr>
                <w:rFonts w:eastAsiaTheme="minorEastAsia"/>
                <w:color w:val="000000" w:themeColor="text1"/>
                <w:szCs w:val="21"/>
              </w:rPr>
              <w:t>危险化学品生产装置或者储存数量构成重大危险源的危险化学品储存设施（运输工具加油站、加气站除外），与下列场所、设施、区域的距离应当符合国家有关规定：</w:t>
            </w:r>
          </w:p>
          <w:p>
            <w:pPr>
              <w:spacing w:line="260" w:lineRule="exact"/>
              <w:rPr>
                <w:rFonts w:eastAsiaTheme="minorEastAsia"/>
                <w:color w:val="000000" w:themeColor="text1"/>
                <w:szCs w:val="21"/>
              </w:rPr>
            </w:pPr>
            <w:r>
              <w:rPr>
                <w:rFonts w:eastAsiaTheme="minorEastAsia"/>
                <w:color w:val="000000" w:themeColor="text1"/>
                <w:szCs w:val="21"/>
              </w:rPr>
              <w:t>（一）居住区以及商业中心、公园等人员密集场所；</w:t>
            </w:r>
          </w:p>
          <w:p>
            <w:pPr>
              <w:spacing w:line="260" w:lineRule="exact"/>
              <w:rPr>
                <w:rFonts w:eastAsiaTheme="minorEastAsia"/>
                <w:color w:val="000000" w:themeColor="text1"/>
                <w:szCs w:val="21"/>
              </w:rPr>
            </w:pPr>
            <w:r>
              <w:rPr>
                <w:rFonts w:eastAsiaTheme="minorEastAsia"/>
                <w:color w:val="000000" w:themeColor="text1"/>
                <w:szCs w:val="21"/>
              </w:rPr>
              <w:t>（二）学校、医院、影剧院、体育场（馆）等公共设施；</w:t>
            </w:r>
          </w:p>
          <w:p>
            <w:pPr>
              <w:spacing w:line="260" w:lineRule="exact"/>
              <w:rPr>
                <w:rFonts w:eastAsiaTheme="minorEastAsia"/>
                <w:color w:val="000000" w:themeColor="text1"/>
                <w:szCs w:val="21"/>
              </w:rPr>
            </w:pPr>
            <w:r>
              <w:rPr>
                <w:rFonts w:eastAsiaTheme="minorEastAsia"/>
                <w:color w:val="000000" w:themeColor="text1"/>
                <w:szCs w:val="21"/>
              </w:rPr>
              <w:t>（三）饮用水源、水厂以及水源保护区；</w:t>
            </w:r>
          </w:p>
          <w:p>
            <w:pPr>
              <w:spacing w:line="260" w:lineRule="exact"/>
              <w:rPr>
                <w:rFonts w:eastAsiaTheme="minorEastAsia"/>
                <w:color w:val="000000" w:themeColor="text1"/>
                <w:szCs w:val="21"/>
              </w:rPr>
            </w:pPr>
            <w:r>
              <w:rPr>
                <w:rFonts w:eastAsiaTheme="minorEastAsia"/>
                <w:color w:val="000000" w:themeColor="text1"/>
                <w:szCs w:val="21"/>
              </w:rPr>
              <w:t>（四）车站、码头（依法经许可从事危险化学品装卸作业的除外）、机场以及通信干线、通信枢纽、铁路线路、道路交通干线、水路交通干线、地铁风亭以及地铁站出入口；</w:t>
            </w:r>
          </w:p>
          <w:p>
            <w:pPr>
              <w:spacing w:line="260" w:lineRule="exact"/>
              <w:rPr>
                <w:rFonts w:eastAsiaTheme="minorEastAsia"/>
                <w:color w:val="000000" w:themeColor="text1"/>
                <w:szCs w:val="21"/>
              </w:rPr>
            </w:pPr>
            <w:r>
              <w:rPr>
                <w:rFonts w:eastAsiaTheme="minorEastAsia"/>
                <w:color w:val="000000" w:themeColor="text1"/>
                <w:szCs w:val="21"/>
              </w:rPr>
              <w:t>（五）基本农田保护区、基本草原、畜禽遗传资源保护区、畜禽规模化养殖场（养殖小区）、渔业水域以及种子、种畜禽、水产苗种生产基地；</w:t>
            </w:r>
          </w:p>
          <w:p>
            <w:pPr>
              <w:spacing w:line="260" w:lineRule="exact"/>
              <w:rPr>
                <w:rFonts w:eastAsiaTheme="minorEastAsia"/>
                <w:color w:val="000000" w:themeColor="text1"/>
                <w:szCs w:val="21"/>
              </w:rPr>
            </w:pPr>
            <w:r>
              <w:rPr>
                <w:rFonts w:eastAsiaTheme="minorEastAsia"/>
                <w:color w:val="000000" w:themeColor="text1"/>
                <w:szCs w:val="21"/>
              </w:rPr>
              <w:t>（六）河流、湖泊、风景名胜区、自然保护区；</w:t>
            </w:r>
          </w:p>
          <w:p>
            <w:pPr>
              <w:spacing w:line="260" w:lineRule="exact"/>
              <w:rPr>
                <w:rFonts w:eastAsiaTheme="minorEastAsia"/>
                <w:color w:val="000000" w:themeColor="text1"/>
                <w:szCs w:val="21"/>
              </w:rPr>
            </w:pPr>
            <w:r>
              <w:rPr>
                <w:rFonts w:eastAsiaTheme="minorEastAsia"/>
                <w:color w:val="000000" w:themeColor="text1"/>
                <w:szCs w:val="21"/>
              </w:rPr>
              <w:t>（七）军事禁区、军事管理区；</w:t>
            </w:r>
          </w:p>
          <w:p>
            <w:pPr>
              <w:spacing w:line="260" w:lineRule="exact"/>
              <w:rPr>
                <w:rFonts w:eastAsiaTheme="minorEastAsia"/>
                <w:color w:val="000000" w:themeColor="text1"/>
                <w:szCs w:val="21"/>
              </w:rPr>
            </w:pPr>
            <w:r>
              <w:rPr>
                <w:rFonts w:eastAsiaTheme="minorEastAsia"/>
                <w:color w:val="000000" w:themeColor="text1"/>
                <w:szCs w:val="21"/>
              </w:rPr>
              <w:t>（八）法律、行政法规规定的其他场所、设施、区域。</w:t>
            </w:r>
          </w:p>
        </w:tc>
        <w:tc>
          <w:tcPr>
            <w:tcW w:w="2310"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eastAsiaTheme="minorEastAsia"/>
                <w:color w:val="000000" w:themeColor="text1"/>
                <w:szCs w:val="21"/>
              </w:rPr>
            </w:pPr>
            <w:r>
              <w:rPr>
                <w:rFonts w:eastAsiaTheme="minorEastAsia"/>
                <w:color w:val="000000" w:themeColor="text1"/>
                <w:szCs w:val="21"/>
              </w:rPr>
              <w:t>《危险化学品安全管理条例》（中华人民共和国国务院令第591号，2015年修订）</w:t>
            </w:r>
          </w:p>
          <w:p>
            <w:pPr>
              <w:spacing w:line="260" w:lineRule="exact"/>
              <w:jc w:val="center"/>
              <w:rPr>
                <w:rFonts w:eastAsiaTheme="minorEastAsia"/>
                <w:color w:val="000000" w:themeColor="text1"/>
                <w:szCs w:val="21"/>
              </w:rPr>
            </w:pPr>
            <w:r>
              <w:rPr>
                <w:rFonts w:eastAsiaTheme="minorEastAsia"/>
                <w:color w:val="000000" w:themeColor="text1"/>
                <w:szCs w:val="21"/>
              </w:rPr>
              <w:t>第19条</w:t>
            </w:r>
          </w:p>
        </w:tc>
        <w:tc>
          <w:tcPr>
            <w:tcW w:w="2190"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eastAsiaTheme="minorEastAsia"/>
                <w:color w:val="000000" w:themeColor="text1"/>
                <w:szCs w:val="21"/>
              </w:rPr>
            </w:pPr>
            <w:r>
              <w:rPr>
                <w:rFonts w:eastAsiaTheme="minorEastAsia"/>
                <w:color w:val="000000" w:themeColor="text1"/>
                <w:szCs w:val="21"/>
              </w:rPr>
              <w:t>该项目甲醇储存过程中不构成危险化学品重大危险源，且周边远离居住区等人员稠密区、公共设施等。</w:t>
            </w:r>
          </w:p>
        </w:tc>
        <w:tc>
          <w:tcPr>
            <w:tcW w:w="653" w:type="dxa"/>
            <w:tcBorders>
              <w:top w:val="single" w:color="auto" w:sz="4" w:space="0"/>
              <w:left w:val="single" w:color="auto" w:sz="4" w:space="0"/>
              <w:bottom w:val="single" w:color="auto" w:sz="4" w:space="0"/>
              <w:right w:val="single" w:color="auto" w:sz="4" w:space="0"/>
            </w:tcBorders>
            <w:vAlign w:val="center"/>
          </w:tcPr>
          <w:p>
            <w:pPr>
              <w:spacing w:line="260" w:lineRule="exact"/>
              <w:rPr>
                <w:rFonts w:eastAsiaTheme="minorEastAsia"/>
                <w:color w:val="000000" w:themeColor="text1"/>
                <w:szCs w:val="21"/>
              </w:rPr>
            </w:pPr>
            <w:r>
              <w:rPr>
                <w:rFonts w:eastAsiaTheme="minorEastAsia"/>
                <w:color w:val="000000" w:themeColor="text1"/>
                <w:szCs w:val="21"/>
              </w:rPr>
              <w:t>符合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240" w:hRule="atLeast"/>
          <w:jc w:val="center"/>
        </w:trPr>
        <w:tc>
          <w:tcPr>
            <w:tcW w:w="591"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eastAsiaTheme="minorEastAsia"/>
                <w:color w:val="000000" w:themeColor="text1"/>
                <w:szCs w:val="21"/>
              </w:rPr>
            </w:pPr>
            <w:r>
              <w:rPr>
                <w:rFonts w:eastAsiaTheme="minorEastAsia"/>
                <w:color w:val="000000" w:themeColor="text1"/>
                <w:szCs w:val="21"/>
              </w:rPr>
              <w:t>2</w:t>
            </w:r>
          </w:p>
        </w:tc>
        <w:tc>
          <w:tcPr>
            <w:tcW w:w="3195" w:type="dxa"/>
            <w:tcBorders>
              <w:top w:val="single" w:color="auto" w:sz="4" w:space="0"/>
              <w:left w:val="single" w:color="auto" w:sz="4" w:space="0"/>
              <w:bottom w:val="single" w:color="auto" w:sz="4" w:space="0"/>
              <w:right w:val="single" w:color="auto" w:sz="4" w:space="0"/>
            </w:tcBorders>
            <w:vAlign w:val="center"/>
          </w:tcPr>
          <w:p>
            <w:pPr>
              <w:spacing w:line="260" w:lineRule="exact"/>
              <w:rPr>
                <w:rFonts w:eastAsiaTheme="minorEastAsia"/>
                <w:color w:val="000000" w:themeColor="text1"/>
                <w:szCs w:val="21"/>
              </w:rPr>
            </w:pPr>
            <w:r>
              <w:rPr>
                <w:color w:val="000000" w:themeColor="text1"/>
              </w:rPr>
              <w:t>厂址应有便利和经济的交通运输条件，与厂外铁路、公路的连接， 应便捷、工程量小。临近江、河、湖、海的厂址，通航条件满足企业运输要求时，应尽量利用水运，且厂址宜靠近适合建设码头的地段。</w:t>
            </w:r>
          </w:p>
        </w:tc>
        <w:tc>
          <w:tcPr>
            <w:tcW w:w="2310"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color w:val="000000" w:themeColor="text1"/>
              </w:rPr>
            </w:pPr>
            <w:r>
              <w:rPr>
                <w:color w:val="000000" w:themeColor="text1"/>
              </w:rPr>
              <w:t>《工业企业总平面设计规范》（GB50187-2012）</w:t>
            </w:r>
          </w:p>
          <w:p>
            <w:pPr>
              <w:spacing w:line="260" w:lineRule="exact"/>
              <w:jc w:val="center"/>
              <w:rPr>
                <w:rFonts w:eastAsiaTheme="minorEastAsia"/>
                <w:color w:val="000000" w:themeColor="text1"/>
                <w:szCs w:val="21"/>
              </w:rPr>
            </w:pPr>
            <w:r>
              <w:rPr>
                <w:color w:val="000000" w:themeColor="text1"/>
              </w:rPr>
              <w:t>第3.0.5条</w:t>
            </w:r>
          </w:p>
        </w:tc>
        <w:tc>
          <w:tcPr>
            <w:tcW w:w="2190" w:type="dxa"/>
            <w:tcBorders>
              <w:top w:val="single" w:color="auto" w:sz="4" w:space="0"/>
              <w:left w:val="single" w:color="auto" w:sz="4" w:space="0"/>
              <w:bottom w:val="single" w:color="auto" w:sz="4" w:space="0"/>
              <w:right w:val="single" w:color="auto" w:sz="4" w:space="0"/>
            </w:tcBorders>
            <w:vAlign w:val="center"/>
          </w:tcPr>
          <w:p>
            <w:pPr>
              <w:spacing w:line="260" w:lineRule="exact"/>
              <w:jc w:val="left"/>
              <w:rPr>
                <w:rFonts w:eastAsiaTheme="minorEastAsia"/>
                <w:color w:val="000000" w:themeColor="text1"/>
                <w:szCs w:val="21"/>
              </w:rPr>
            </w:pPr>
            <w:r>
              <w:rPr>
                <w:rFonts w:hint="eastAsia" w:eastAsiaTheme="minorEastAsia"/>
                <w:color w:val="000000" w:themeColor="text1"/>
                <w:szCs w:val="21"/>
              </w:rPr>
              <w:t>项目位于昭通市昭阳区太平办事处桃园社区三社88号内，公司位于昭阳区城郊，交通较为方便</w:t>
            </w:r>
            <w:r>
              <w:rPr>
                <w:rFonts w:eastAsiaTheme="minorEastAsia"/>
                <w:color w:val="000000" w:themeColor="text1"/>
                <w:szCs w:val="21"/>
              </w:rPr>
              <w:t>。</w:t>
            </w:r>
          </w:p>
        </w:tc>
        <w:tc>
          <w:tcPr>
            <w:tcW w:w="653" w:type="dxa"/>
            <w:tcBorders>
              <w:top w:val="single" w:color="auto" w:sz="4" w:space="0"/>
              <w:left w:val="single" w:color="auto" w:sz="4" w:space="0"/>
              <w:bottom w:val="single" w:color="auto" w:sz="4" w:space="0"/>
              <w:right w:val="single" w:color="auto" w:sz="4" w:space="0"/>
            </w:tcBorders>
            <w:vAlign w:val="center"/>
          </w:tcPr>
          <w:p>
            <w:pPr>
              <w:spacing w:line="260" w:lineRule="exact"/>
              <w:rPr>
                <w:rFonts w:eastAsiaTheme="minorEastAsia"/>
                <w:color w:val="000000" w:themeColor="text1"/>
                <w:szCs w:val="21"/>
              </w:rPr>
            </w:pPr>
            <w:r>
              <w:rPr>
                <w:rFonts w:eastAsiaTheme="minorEastAsia"/>
                <w:color w:val="000000" w:themeColor="text1"/>
                <w:szCs w:val="21"/>
              </w:rPr>
              <w:t>符合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87" w:hRule="atLeast"/>
          <w:jc w:val="center"/>
        </w:trPr>
        <w:tc>
          <w:tcPr>
            <w:tcW w:w="591"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eastAsiaTheme="minorEastAsia"/>
                <w:color w:val="000000" w:themeColor="text1"/>
                <w:szCs w:val="21"/>
              </w:rPr>
            </w:pPr>
            <w:r>
              <w:rPr>
                <w:rFonts w:eastAsiaTheme="minorEastAsia"/>
                <w:color w:val="000000" w:themeColor="text1"/>
                <w:szCs w:val="21"/>
              </w:rPr>
              <w:t>3</w:t>
            </w:r>
          </w:p>
        </w:tc>
        <w:tc>
          <w:tcPr>
            <w:tcW w:w="3195" w:type="dxa"/>
            <w:tcBorders>
              <w:top w:val="single" w:color="auto" w:sz="4" w:space="0"/>
              <w:left w:val="single" w:color="auto" w:sz="4" w:space="0"/>
              <w:bottom w:val="single" w:color="auto" w:sz="4" w:space="0"/>
              <w:right w:val="single" w:color="auto" w:sz="4" w:space="0"/>
            </w:tcBorders>
          </w:tcPr>
          <w:p>
            <w:pPr>
              <w:spacing w:line="260" w:lineRule="exact"/>
              <w:rPr>
                <w:rFonts w:eastAsiaTheme="minorEastAsia"/>
                <w:color w:val="000000" w:themeColor="text1"/>
                <w:szCs w:val="21"/>
              </w:rPr>
            </w:pPr>
            <w:r>
              <w:rPr>
                <w:color w:val="000000" w:themeColor="text1"/>
              </w:rPr>
              <w:t>厂址应具有满足生产、生活及发展所必需的水源和电源。水源和电源与厂址之间的管线连接应尽量短捷，且用水、用电量（特别）大的工业企业宜靠近水源及电源地。</w:t>
            </w:r>
          </w:p>
        </w:tc>
        <w:tc>
          <w:tcPr>
            <w:tcW w:w="2310"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color w:val="000000" w:themeColor="text1"/>
              </w:rPr>
            </w:pPr>
            <w:r>
              <w:rPr>
                <w:color w:val="000000" w:themeColor="text1"/>
              </w:rPr>
              <w:t>《工业企业总平面设计规范》（GB50187-2012）</w:t>
            </w:r>
          </w:p>
          <w:p>
            <w:pPr>
              <w:spacing w:line="260" w:lineRule="exact"/>
              <w:jc w:val="center"/>
              <w:rPr>
                <w:rFonts w:eastAsiaTheme="minorEastAsia"/>
                <w:color w:val="000000" w:themeColor="text1"/>
                <w:szCs w:val="21"/>
              </w:rPr>
            </w:pPr>
            <w:r>
              <w:rPr>
                <w:color w:val="000000" w:themeColor="text1"/>
              </w:rPr>
              <w:t>第3.0.6条</w:t>
            </w:r>
          </w:p>
        </w:tc>
        <w:tc>
          <w:tcPr>
            <w:tcW w:w="2190" w:type="dxa"/>
            <w:tcBorders>
              <w:top w:val="single" w:color="auto" w:sz="4" w:space="0"/>
              <w:left w:val="single" w:color="auto" w:sz="4" w:space="0"/>
              <w:bottom w:val="single" w:color="auto" w:sz="4" w:space="0"/>
              <w:right w:val="single" w:color="auto" w:sz="4" w:space="0"/>
            </w:tcBorders>
            <w:vAlign w:val="center"/>
          </w:tcPr>
          <w:p>
            <w:pPr>
              <w:spacing w:line="260" w:lineRule="exact"/>
              <w:jc w:val="left"/>
              <w:rPr>
                <w:rFonts w:eastAsiaTheme="minorEastAsia"/>
                <w:color w:val="000000" w:themeColor="text1"/>
                <w:szCs w:val="21"/>
              </w:rPr>
            </w:pPr>
            <w:r>
              <w:rPr>
                <w:rFonts w:hint="eastAsia" w:eastAsiaTheme="minorEastAsia"/>
                <w:color w:val="000000" w:themeColor="text1"/>
                <w:szCs w:val="21"/>
              </w:rPr>
              <w:t>项目位于昭通市昭阳区太平办事处桃园社区三社88号内，公司位于昭阳区城郊，</w:t>
            </w:r>
            <w:r>
              <w:rPr>
                <w:rFonts w:eastAsiaTheme="minorEastAsia"/>
                <w:color w:val="000000" w:themeColor="text1"/>
                <w:szCs w:val="21"/>
              </w:rPr>
              <w:t>厂址具有满足储存要求的水源、电源。</w:t>
            </w:r>
          </w:p>
        </w:tc>
        <w:tc>
          <w:tcPr>
            <w:tcW w:w="653" w:type="dxa"/>
            <w:tcBorders>
              <w:top w:val="single" w:color="auto" w:sz="4" w:space="0"/>
              <w:left w:val="single" w:color="auto" w:sz="4" w:space="0"/>
              <w:bottom w:val="single" w:color="auto" w:sz="4" w:space="0"/>
              <w:right w:val="single" w:color="auto" w:sz="4" w:space="0"/>
            </w:tcBorders>
            <w:vAlign w:val="center"/>
          </w:tcPr>
          <w:p>
            <w:pPr>
              <w:spacing w:line="260" w:lineRule="exact"/>
              <w:rPr>
                <w:rFonts w:eastAsiaTheme="minorEastAsia"/>
                <w:color w:val="000000" w:themeColor="text1"/>
                <w:szCs w:val="21"/>
              </w:rPr>
            </w:pPr>
            <w:r>
              <w:rPr>
                <w:rFonts w:eastAsiaTheme="minorEastAsia"/>
                <w:color w:val="000000" w:themeColor="text1"/>
                <w:szCs w:val="21"/>
              </w:rPr>
              <w:t>符合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80" w:hRule="atLeast"/>
          <w:jc w:val="center"/>
        </w:trPr>
        <w:tc>
          <w:tcPr>
            <w:tcW w:w="591"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eastAsiaTheme="minorEastAsia"/>
                <w:color w:val="000000" w:themeColor="text1"/>
                <w:szCs w:val="21"/>
              </w:rPr>
            </w:pPr>
            <w:r>
              <w:rPr>
                <w:rFonts w:eastAsiaTheme="minorEastAsia"/>
                <w:color w:val="000000" w:themeColor="text1"/>
                <w:szCs w:val="21"/>
              </w:rPr>
              <w:t>4</w:t>
            </w:r>
          </w:p>
        </w:tc>
        <w:tc>
          <w:tcPr>
            <w:tcW w:w="3195" w:type="dxa"/>
            <w:tcBorders>
              <w:top w:val="single" w:color="auto" w:sz="4" w:space="0"/>
              <w:left w:val="single" w:color="auto" w:sz="4" w:space="0"/>
              <w:bottom w:val="single" w:color="auto" w:sz="4" w:space="0"/>
              <w:right w:val="single" w:color="auto" w:sz="4" w:space="0"/>
            </w:tcBorders>
          </w:tcPr>
          <w:p>
            <w:pPr>
              <w:spacing w:line="260" w:lineRule="exact"/>
              <w:rPr>
                <w:rFonts w:eastAsiaTheme="minorEastAsia"/>
                <w:color w:val="000000" w:themeColor="text1"/>
                <w:szCs w:val="21"/>
              </w:rPr>
            </w:pPr>
            <w:r>
              <w:rPr>
                <w:color w:val="000000" w:themeColor="text1"/>
              </w:rPr>
              <w:t>散发有害物质的工业企业厂址，应位于城镇、相邻工业企业和居住区全年最小频率风向的上风侧，不应位于窝风地段，并应满足有关防护距离的要求。</w:t>
            </w:r>
          </w:p>
        </w:tc>
        <w:tc>
          <w:tcPr>
            <w:tcW w:w="2310"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color w:val="000000" w:themeColor="text1"/>
              </w:rPr>
            </w:pPr>
            <w:r>
              <w:rPr>
                <w:color w:val="000000" w:themeColor="text1"/>
              </w:rPr>
              <w:t>《工业企业总平面设计规范》（GB50187-2012）</w:t>
            </w:r>
          </w:p>
          <w:p>
            <w:pPr>
              <w:spacing w:line="260" w:lineRule="exact"/>
              <w:jc w:val="center"/>
              <w:rPr>
                <w:rFonts w:eastAsiaTheme="minorEastAsia"/>
                <w:color w:val="000000" w:themeColor="text1"/>
                <w:szCs w:val="21"/>
              </w:rPr>
            </w:pPr>
            <w:r>
              <w:rPr>
                <w:color w:val="000000" w:themeColor="text1"/>
              </w:rPr>
              <w:t>第3.0.7条</w:t>
            </w:r>
          </w:p>
        </w:tc>
        <w:tc>
          <w:tcPr>
            <w:tcW w:w="2190" w:type="dxa"/>
            <w:tcBorders>
              <w:top w:val="single" w:color="auto" w:sz="4" w:space="0"/>
              <w:left w:val="single" w:color="auto" w:sz="4" w:space="0"/>
              <w:bottom w:val="single" w:color="auto" w:sz="4" w:space="0"/>
              <w:right w:val="single" w:color="auto" w:sz="4" w:space="0"/>
            </w:tcBorders>
            <w:vAlign w:val="center"/>
          </w:tcPr>
          <w:p>
            <w:pPr>
              <w:spacing w:line="260" w:lineRule="exact"/>
              <w:jc w:val="left"/>
              <w:rPr>
                <w:rFonts w:eastAsiaTheme="minorEastAsia"/>
                <w:color w:val="000000" w:themeColor="text1"/>
                <w:szCs w:val="21"/>
              </w:rPr>
            </w:pPr>
            <w:r>
              <w:rPr>
                <w:rFonts w:eastAsiaTheme="minorEastAsia"/>
                <w:color w:val="000000" w:themeColor="text1"/>
                <w:szCs w:val="21"/>
              </w:rPr>
              <w:t>该项目所在厂址不处于窝风地段，处于所在</w:t>
            </w:r>
            <w:r>
              <w:rPr>
                <w:color w:val="000000" w:themeColor="text1"/>
              </w:rPr>
              <w:t>城镇全年最小频率风向的上风侧。</w:t>
            </w:r>
          </w:p>
        </w:tc>
        <w:tc>
          <w:tcPr>
            <w:tcW w:w="653" w:type="dxa"/>
            <w:tcBorders>
              <w:top w:val="single" w:color="auto" w:sz="4" w:space="0"/>
              <w:left w:val="single" w:color="auto" w:sz="4" w:space="0"/>
              <w:bottom w:val="single" w:color="auto" w:sz="4" w:space="0"/>
              <w:right w:val="single" w:color="auto" w:sz="4" w:space="0"/>
            </w:tcBorders>
            <w:vAlign w:val="center"/>
          </w:tcPr>
          <w:p>
            <w:pPr>
              <w:spacing w:line="260" w:lineRule="exact"/>
              <w:rPr>
                <w:rFonts w:eastAsiaTheme="minorEastAsia"/>
                <w:color w:val="000000" w:themeColor="text1"/>
                <w:szCs w:val="21"/>
              </w:rPr>
            </w:pPr>
            <w:r>
              <w:rPr>
                <w:rFonts w:eastAsiaTheme="minorEastAsia"/>
                <w:color w:val="000000" w:themeColor="text1"/>
                <w:szCs w:val="21"/>
              </w:rPr>
              <w:t>符合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01" w:hRule="atLeast"/>
          <w:jc w:val="center"/>
        </w:trPr>
        <w:tc>
          <w:tcPr>
            <w:tcW w:w="591"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eastAsiaTheme="minorEastAsia"/>
                <w:color w:val="000000" w:themeColor="text1"/>
                <w:szCs w:val="21"/>
              </w:rPr>
            </w:pPr>
            <w:r>
              <w:rPr>
                <w:rFonts w:eastAsiaTheme="minorEastAsia"/>
                <w:color w:val="000000" w:themeColor="text1"/>
                <w:szCs w:val="21"/>
              </w:rPr>
              <w:t>5</w:t>
            </w:r>
          </w:p>
        </w:tc>
        <w:tc>
          <w:tcPr>
            <w:tcW w:w="3195" w:type="dxa"/>
            <w:tcBorders>
              <w:top w:val="single" w:color="auto" w:sz="4" w:space="0"/>
              <w:left w:val="single" w:color="auto" w:sz="4" w:space="0"/>
              <w:bottom w:val="single" w:color="auto" w:sz="4" w:space="0"/>
              <w:right w:val="single" w:color="auto" w:sz="4" w:space="0"/>
            </w:tcBorders>
            <w:vAlign w:val="center"/>
          </w:tcPr>
          <w:p>
            <w:pPr>
              <w:spacing w:line="260" w:lineRule="exact"/>
              <w:rPr>
                <w:rFonts w:eastAsiaTheme="minorEastAsia"/>
                <w:color w:val="000000" w:themeColor="text1"/>
                <w:szCs w:val="21"/>
              </w:rPr>
            </w:pPr>
            <w:r>
              <w:rPr>
                <w:color w:val="000000" w:themeColor="text1"/>
              </w:rPr>
              <w:t>厂址应具有满足建设工程需要的工程地质条件和水文地质条件。</w:t>
            </w:r>
          </w:p>
        </w:tc>
        <w:tc>
          <w:tcPr>
            <w:tcW w:w="2310"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color w:val="000000" w:themeColor="text1"/>
              </w:rPr>
            </w:pPr>
            <w:r>
              <w:rPr>
                <w:color w:val="000000" w:themeColor="text1"/>
              </w:rPr>
              <w:t>《工业企业总平面设计规范》（GB50187-2012）</w:t>
            </w:r>
          </w:p>
          <w:p>
            <w:pPr>
              <w:spacing w:line="260" w:lineRule="exact"/>
              <w:jc w:val="center"/>
              <w:rPr>
                <w:rFonts w:eastAsiaTheme="minorEastAsia"/>
                <w:color w:val="000000" w:themeColor="text1"/>
                <w:szCs w:val="21"/>
              </w:rPr>
            </w:pPr>
            <w:r>
              <w:rPr>
                <w:color w:val="000000" w:themeColor="text1"/>
              </w:rPr>
              <w:t>第3.0.8条</w:t>
            </w:r>
          </w:p>
        </w:tc>
        <w:tc>
          <w:tcPr>
            <w:tcW w:w="2190" w:type="dxa"/>
            <w:tcBorders>
              <w:top w:val="single" w:color="auto" w:sz="4" w:space="0"/>
              <w:left w:val="single" w:color="auto" w:sz="4" w:space="0"/>
              <w:bottom w:val="single" w:color="auto" w:sz="4" w:space="0"/>
              <w:right w:val="single" w:color="auto" w:sz="4" w:space="0"/>
            </w:tcBorders>
            <w:vAlign w:val="center"/>
          </w:tcPr>
          <w:p>
            <w:pPr>
              <w:spacing w:line="260" w:lineRule="exact"/>
              <w:jc w:val="left"/>
              <w:rPr>
                <w:rFonts w:eastAsiaTheme="minorEastAsia"/>
                <w:color w:val="000000" w:themeColor="text1"/>
                <w:szCs w:val="21"/>
              </w:rPr>
            </w:pPr>
            <w:r>
              <w:rPr>
                <w:rFonts w:eastAsiaTheme="minorEastAsia"/>
                <w:color w:val="000000" w:themeColor="text1"/>
                <w:szCs w:val="21"/>
              </w:rPr>
              <w:t>该项目经营储存场所工程地质条件满足要求。</w:t>
            </w:r>
          </w:p>
        </w:tc>
        <w:tc>
          <w:tcPr>
            <w:tcW w:w="653" w:type="dxa"/>
            <w:tcBorders>
              <w:top w:val="single" w:color="auto" w:sz="4" w:space="0"/>
              <w:left w:val="single" w:color="auto" w:sz="4" w:space="0"/>
              <w:bottom w:val="single" w:color="auto" w:sz="4" w:space="0"/>
              <w:right w:val="single" w:color="auto" w:sz="4" w:space="0"/>
            </w:tcBorders>
            <w:vAlign w:val="center"/>
          </w:tcPr>
          <w:p>
            <w:pPr>
              <w:spacing w:line="260" w:lineRule="exact"/>
              <w:rPr>
                <w:rFonts w:eastAsiaTheme="minorEastAsia"/>
                <w:color w:val="000000" w:themeColor="text1"/>
                <w:szCs w:val="21"/>
              </w:rPr>
            </w:pPr>
            <w:r>
              <w:rPr>
                <w:rFonts w:eastAsiaTheme="minorEastAsia"/>
                <w:color w:val="000000" w:themeColor="text1"/>
                <w:szCs w:val="21"/>
              </w:rPr>
              <w:t>符合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01" w:hRule="atLeast"/>
          <w:jc w:val="center"/>
        </w:trPr>
        <w:tc>
          <w:tcPr>
            <w:tcW w:w="591"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eastAsiaTheme="minorEastAsia"/>
                <w:color w:val="000000" w:themeColor="text1"/>
                <w:szCs w:val="21"/>
              </w:rPr>
            </w:pPr>
            <w:r>
              <w:rPr>
                <w:rFonts w:eastAsiaTheme="minorEastAsia"/>
                <w:color w:val="000000" w:themeColor="text1"/>
                <w:szCs w:val="21"/>
              </w:rPr>
              <w:t>6</w:t>
            </w:r>
          </w:p>
        </w:tc>
        <w:tc>
          <w:tcPr>
            <w:tcW w:w="3195" w:type="dxa"/>
            <w:tcBorders>
              <w:top w:val="single" w:color="auto" w:sz="4" w:space="0"/>
              <w:left w:val="single" w:color="auto" w:sz="4" w:space="0"/>
              <w:bottom w:val="single" w:color="auto" w:sz="4" w:space="0"/>
              <w:right w:val="single" w:color="auto" w:sz="4" w:space="0"/>
            </w:tcBorders>
            <w:vAlign w:val="center"/>
          </w:tcPr>
          <w:p>
            <w:pPr>
              <w:spacing w:line="260" w:lineRule="exact"/>
              <w:rPr>
                <w:rFonts w:eastAsiaTheme="minorEastAsia"/>
                <w:color w:val="000000" w:themeColor="text1"/>
                <w:szCs w:val="21"/>
              </w:rPr>
            </w:pPr>
            <w:r>
              <w:rPr>
                <w:color w:val="000000" w:themeColor="text1"/>
              </w:rPr>
              <w:t>厂址应避开新旧矿产采掘区、水坝（或大堤）溃决后可能淹没地区、地方病严重流行区、国家及省市级文物保护区，并与《危险化学品安全管理条例》规定的敏感目标保持安全距离。</w:t>
            </w:r>
          </w:p>
        </w:tc>
        <w:tc>
          <w:tcPr>
            <w:tcW w:w="2310"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color w:val="000000" w:themeColor="text1"/>
              </w:rPr>
            </w:pPr>
            <w:r>
              <w:rPr>
                <w:color w:val="000000" w:themeColor="text1"/>
              </w:rPr>
              <w:t>《化工企业安全卫生设计规范》（HG20571-2014）</w:t>
            </w:r>
          </w:p>
          <w:p>
            <w:pPr>
              <w:spacing w:line="260" w:lineRule="exact"/>
              <w:jc w:val="center"/>
              <w:rPr>
                <w:color w:val="000000" w:themeColor="text1"/>
              </w:rPr>
            </w:pPr>
            <w:r>
              <w:rPr>
                <w:color w:val="000000" w:themeColor="text1"/>
              </w:rPr>
              <w:t>第3.1.4条</w:t>
            </w:r>
          </w:p>
        </w:tc>
        <w:tc>
          <w:tcPr>
            <w:tcW w:w="2190" w:type="dxa"/>
            <w:tcBorders>
              <w:top w:val="single" w:color="auto" w:sz="4" w:space="0"/>
              <w:left w:val="single" w:color="auto" w:sz="4" w:space="0"/>
              <w:bottom w:val="single" w:color="auto" w:sz="4" w:space="0"/>
              <w:right w:val="single" w:color="auto" w:sz="4" w:space="0"/>
            </w:tcBorders>
            <w:vAlign w:val="center"/>
          </w:tcPr>
          <w:p>
            <w:pPr>
              <w:spacing w:line="260" w:lineRule="exact"/>
              <w:jc w:val="left"/>
              <w:rPr>
                <w:rFonts w:eastAsiaTheme="minorEastAsia"/>
                <w:color w:val="000000" w:themeColor="text1"/>
                <w:szCs w:val="21"/>
              </w:rPr>
            </w:pPr>
            <w:r>
              <w:rPr>
                <w:rFonts w:eastAsiaTheme="minorEastAsia"/>
                <w:color w:val="000000" w:themeColor="text1"/>
                <w:szCs w:val="21"/>
              </w:rPr>
              <w:t>该项目厂址不处于所述区域，且满足</w:t>
            </w:r>
            <w:r>
              <w:rPr>
                <w:color w:val="000000" w:themeColor="text1"/>
              </w:rPr>
              <w:t>《危险化学品安全管理条例》中规定的与敏感目标的安全距离。</w:t>
            </w:r>
          </w:p>
        </w:tc>
        <w:tc>
          <w:tcPr>
            <w:tcW w:w="653" w:type="dxa"/>
            <w:tcBorders>
              <w:top w:val="single" w:color="auto" w:sz="4" w:space="0"/>
              <w:left w:val="single" w:color="auto" w:sz="4" w:space="0"/>
              <w:bottom w:val="single" w:color="auto" w:sz="4" w:space="0"/>
              <w:right w:val="single" w:color="auto" w:sz="4" w:space="0"/>
            </w:tcBorders>
            <w:vAlign w:val="center"/>
          </w:tcPr>
          <w:p>
            <w:pPr>
              <w:spacing w:line="260" w:lineRule="exact"/>
              <w:rPr>
                <w:rFonts w:eastAsiaTheme="minorEastAsia"/>
                <w:color w:val="000000" w:themeColor="text1"/>
                <w:szCs w:val="21"/>
              </w:rPr>
            </w:pPr>
            <w:r>
              <w:rPr>
                <w:rFonts w:eastAsiaTheme="minorEastAsia"/>
                <w:color w:val="000000" w:themeColor="text1"/>
                <w:szCs w:val="21"/>
              </w:rPr>
              <w:t>符合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6" w:hRule="atLeast"/>
          <w:jc w:val="center"/>
        </w:trPr>
        <w:tc>
          <w:tcPr>
            <w:tcW w:w="591"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eastAsiaTheme="minorEastAsia"/>
                <w:color w:val="000000" w:themeColor="text1"/>
                <w:szCs w:val="21"/>
              </w:rPr>
            </w:pPr>
            <w:r>
              <w:rPr>
                <w:rFonts w:eastAsiaTheme="minorEastAsia"/>
                <w:color w:val="000000" w:themeColor="text1"/>
                <w:szCs w:val="21"/>
              </w:rPr>
              <w:t>7</w:t>
            </w:r>
          </w:p>
        </w:tc>
        <w:tc>
          <w:tcPr>
            <w:tcW w:w="3195" w:type="dxa"/>
            <w:tcBorders>
              <w:top w:val="single" w:color="auto" w:sz="4" w:space="0"/>
              <w:left w:val="single" w:color="auto" w:sz="4" w:space="0"/>
              <w:bottom w:val="single" w:color="auto" w:sz="4" w:space="0"/>
              <w:right w:val="single" w:color="auto" w:sz="4" w:space="0"/>
            </w:tcBorders>
            <w:vAlign w:val="center"/>
          </w:tcPr>
          <w:p>
            <w:pPr>
              <w:spacing w:line="260" w:lineRule="exact"/>
              <w:rPr>
                <w:rFonts w:eastAsiaTheme="minorEastAsia"/>
                <w:color w:val="000000" w:themeColor="text1"/>
                <w:szCs w:val="21"/>
              </w:rPr>
            </w:pPr>
            <w:r>
              <w:rPr>
                <w:color w:val="000000" w:themeColor="text1"/>
              </w:rPr>
              <w:t>工业企业选址宜避开自然疫源地；对于因建设工程需要等原因不能避开的，应设计具体的疫情综合预防控制措施。</w:t>
            </w:r>
          </w:p>
        </w:tc>
        <w:tc>
          <w:tcPr>
            <w:tcW w:w="2310"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color w:val="000000" w:themeColor="text1"/>
              </w:rPr>
            </w:pPr>
            <w:r>
              <w:rPr>
                <w:color w:val="000000" w:themeColor="text1"/>
              </w:rPr>
              <w:t>《工业企业设计卫生标准》（GBZ1-2010）</w:t>
            </w:r>
          </w:p>
          <w:p>
            <w:pPr>
              <w:spacing w:line="260" w:lineRule="exact"/>
              <w:jc w:val="center"/>
              <w:rPr>
                <w:color w:val="000000" w:themeColor="text1"/>
              </w:rPr>
            </w:pPr>
            <w:r>
              <w:rPr>
                <w:color w:val="000000" w:themeColor="text1"/>
              </w:rPr>
              <w:t>第5.1.2条</w:t>
            </w:r>
          </w:p>
        </w:tc>
        <w:tc>
          <w:tcPr>
            <w:tcW w:w="2190" w:type="dxa"/>
            <w:tcBorders>
              <w:top w:val="single" w:color="auto" w:sz="4" w:space="0"/>
              <w:left w:val="single" w:color="auto" w:sz="4" w:space="0"/>
              <w:bottom w:val="single" w:color="auto" w:sz="4" w:space="0"/>
              <w:right w:val="single" w:color="auto" w:sz="4" w:space="0"/>
            </w:tcBorders>
            <w:vAlign w:val="center"/>
          </w:tcPr>
          <w:p>
            <w:pPr>
              <w:spacing w:line="260" w:lineRule="exact"/>
              <w:jc w:val="left"/>
              <w:rPr>
                <w:rFonts w:eastAsiaTheme="minorEastAsia"/>
                <w:color w:val="000000" w:themeColor="text1"/>
                <w:szCs w:val="21"/>
              </w:rPr>
            </w:pPr>
            <w:r>
              <w:rPr>
                <w:rFonts w:eastAsiaTheme="minorEastAsia"/>
                <w:color w:val="000000" w:themeColor="text1"/>
                <w:szCs w:val="21"/>
              </w:rPr>
              <w:t>该项目厂址不处于</w:t>
            </w:r>
            <w:r>
              <w:rPr>
                <w:color w:val="000000" w:themeColor="text1"/>
              </w:rPr>
              <w:t>自然疫源地。</w:t>
            </w:r>
          </w:p>
        </w:tc>
        <w:tc>
          <w:tcPr>
            <w:tcW w:w="653" w:type="dxa"/>
            <w:tcBorders>
              <w:top w:val="single" w:color="auto" w:sz="4" w:space="0"/>
              <w:left w:val="single" w:color="auto" w:sz="4" w:space="0"/>
              <w:bottom w:val="single" w:color="auto" w:sz="4" w:space="0"/>
              <w:right w:val="single" w:color="auto" w:sz="4" w:space="0"/>
            </w:tcBorders>
            <w:vAlign w:val="center"/>
          </w:tcPr>
          <w:p>
            <w:pPr>
              <w:spacing w:line="260" w:lineRule="exact"/>
              <w:rPr>
                <w:rFonts w:eastAsiaTheme="minorEastAsia"/>
                <w:color w:val="000000" w:themeColor="text1"/>
                <w:szCs w:val="21"/>
              </w:rPr>
            </w:pPr>
            <w:r>
              <w:rPr>
                <w:rFonts w:eastAsiaTheme="minorEastAsia"/>
                <w:color w:val="000000" w:themeColor="text1"/>
                <w:szCs w:val="21"/>
              </w:rPr>
              <w:t>符合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43" w:hRule="atLeast"/>
          <w:jc w:val="center"/>
        </w:trPr>
        <w:tc>
          <w:tcPr>
            <w:tcW w:w="591"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eastAsiaTheme="minorEastAsia"/>
                <w:color w:val="000000" w:themeColor="text1"/>
                <w:szCs w:val="21"/>
              </w:rPr>
            </w:pPr>
            <w:r>
              <w:rPr>
                <w:rFonts w:eastAsiaTheme="minorEastAsia"/>
                <w:color w:val="000000" w:themeColor="text1"/>
                <w:szCs w:val="21"/>
              </w:rPr>
              <w:t>8</w:t>
            </w:r>
          </w:p>
        </w:tc>
        <w:tc>
          <w:tcPr>
            <w:tcW w:w="3195" w:type="dxa"/>
            <w:tcBorders>
              <w:top w:val="single" w:color="auto" w:sz="4" w:space="0"/>
              <w:left w:val="single" w:color="auto" w:sz="4" w:space="0"/>
              <w:bottom w:val="single" w:color="auto" w:sz="4" w:space="0"/>
              <w:right w:val="single" w:color="auto" w:sz="4" w:space="0"/>
            </w:tcBorders>
            <w:vAlign w:val="center"/>
          </w:tcPr>
          <w:p>
            <w:pPr>
              <w:spacing w:line="260" w:lineRule="exact"/>
              <w:rPr>
                <w:rFonts w:eastAsiaTheme="minorEastAsia"/>
                <w:color w:val="000000" w:themeColor="text1"/>
                <w:szCs w:val="21"/>
              </w:rPr>
            </w:pPr>
            <w:r>
              <w:rPr>
                <w:rFonts w:eastAsiaTheme="minorEastAsia"/>
                <w:color w:val="000000" w:themeColor="text1"/>
                <w:szCs w:val="21"/>
              </w:rPr>
              <w:t>汽车加油加气加氢站的站址选择应符合有关规划、环境保护和防火安全的要求，并应选在交通便利 、用户使用方便的地点。</w:t>
            </w:r>
          </w:p>
        </w:tc>
        <w:tc>
          <w:tcPr>
            <w:tcW w:w="2310" w:type="dxa"/>
            <w:tcBorders>
              <w:top w:val="single" w:color="auto" w:sz="4" w:space="0"/>
              <w:left w:val="single" w:color="auto" w:sz="4" w:space="0"/>
              <w:bottom w:val="single" w:color="auto" w:sz="4" w:space="0"/>
              <w:right w:val="single" w:color="auto" w:sz="4" w:space="0"/>
            </w:tcBorders>
            <w:vAlign w:val="center"/>
          </w:tcPr>
          <w:p>
            <w:pPr>
              <w:spacing w:line="260" w:lineRule="exact"/>
              <w:rPr>
                <w:rFonts w:eastAsiaTheme="minorEastAsia"/>
                <w:color w:val="000000" w:themeColor="text1"/>
                <w:szCs w:val="21"/>
              </w:rPr>
            </w:pPr>
            <w:r>
              <w:rPr>
                <w:rFonts w:eastAsiaTheme="minorEastAsia"/>
                <w:color w:val="000000" w:themeColor="text1"/>
                <w:szCs w:val="21"/>
              </w:rPr>
              <w:t>《汽车加油加气加氢站技术标准》（GB50156-2021）第4.0.1条</w:t>
            </w:r>
          </w:p>
        </w:tc>
        <w:tc>
          <w:tcPr>
            <w:tcW w:w="2190" w:type="dxa"/>
            <w:tcBorders>
              <w:top w:val="single" w:color="auto" w:sz="4" w:space="0"/>
              <w:left w:val="single" w:color="auto" w:sz="4" w:space="0"/>
              <w:bottom w:val="single" w:color="auto" w:sz="4" w:space="0"/>
              <w:right w:val="single" w:color="auto" w:sz="4" w:space="0"/>
            </w:tcBorders>
            <w:vAlign w:val="center"/>
          </w:tcPr>
          <w:p>
            <w:pPr>
              <w:spacing w:line="260" w:lineRule="exact"/>
              <w:jc w:val="left"/>
              <w:rPr>
                <w:rFonts w:eastAsiaTheme="minorEastAsia"/>
                <w:color w:val="000000" w:themeColor="text1"/>
                <w:szCs w:val="21"/>
              </w:rPr>
            </w:pPr>
            <w:r>
              <w:rPr>
                <w:rFonts w:eastAsiaTheme="minorEastAsia"/>
                <w:color w:val="000000" w:themeColor="text1"/>
                <w:szCs w:val="21"/>
              </w:rPr>
              <w:t>该项目目前仅储存甲醇外售，所在厂址交通便利，且符合所述要求。</w:t>
            </w:r>
          </w:p>
        </w:tc>
        <w:tc>
          <w:tcPr>
            <w:tcW w:w="653" w:type="dxa"/>
            <w:tcBorders>
              <w:top w:val="single" w:color="auto" w:sz="4" w:space="0"/>
              <w:left w:val="single" w:color="auto" w:sz="4" w:space="0"/>
              <w:bottom w:val="single" w:color="auto" w:sz="4" w:space="0"/>
              <w:right w:val="single" w:color="auto" w:sz="4" w:space="0"/>
            </w:tcBorders>
            <w:vAlign w:val="center"/>
          </w:tcPr>
          <w:p>
            <w:pPr>
              <w:spacing w:line="260" w:lineRule="exact"/>
              <w:rPr>
                <w:rFonts w:eastAsiaTheme="minorEastAsia"/>
                <w:color w:val="000000" w:themeColor="text1"/>
                <w:szCs w:val="21"/>
              </w:rPr>
            </w:pPr>
            <w:r>
              <w:rPr>
                <w:rFonts w:eastAsiaTheme="minorEastAsia"/>
                <w:color w:val="000000" w:themeColor="text1"/>
                <w:szCs w:val="21"/>
              </w:rPr>
              <w:t>符合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6" w:hRule="atLeast"/>
          <w:jc w:val="center"/>
        </w:trPr>
        <w:tc>
          <w:tcPr>
            <w:tcW w:w="591"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eastAsiaTheme="minorEastAsia"/>
                <w:color w:val="000000" w:themeColor="text1"/>
                <w:szCs w:val="21"/>
              </w:rPr>
            </w:pPr>
            <w:r>
              <w:rPr>
                <w:rFonts w:eastAsiaTheme="minorEastAsia"/>
                <w:color w:val="000000" w:themeColor="text1"/>
                <w:szCs w:val="21"/>
              </w:rPr>
              <w:t>9</w:t>
            </w:r>
          </w:p>
        </w:tc>
        <w:tc>
          <w:tcPr>
            <w:tcW w:w="3195" w:type="dxa"/>
            <w:tcBorders>
              <w:top w:val="single" w:color="auto" w:sz="4" w:space="0"/>
              <w:left w:val="single" w:color="auto" w:sz="4" w:space="0"/>
              <w:bottom w:val="single" w:color="auto" w:sz="4" w:space="0"/>
              <w:right w:val="single" w:color="auto" w:sz="4" w:space="0"/>
            </w:tcBorders>
            <w:vAlign w:val="center"/>
          </w:tcPr>
          <w:p>
            <w:pPr>
              <w:spacing w:line="260" w:lineRule="exact"/>
              <w:rPr>
                <w:rFonts w:eastAsiaTheme="minorEastAsia"/>
                <w:color w:val="000000" w:themeColor="text1"/>
                <w:szCs w:val="21"/>
              </w:rPr>
            </w:pPr>
            <w:r>
              <w:rPr>
                <w:rFonts w:eastAsiaTheme="minorEastAsia"/>
                <w:color w:val="000000" w:themeColor="text1"/>
                <w:szCs w:val="21"/>
              </w:rPr>
              <w:t>在城市中心区不应建一级汽车加油加气加氢站、CN G 加气母站。</w:t>
            </w:r>
          </w:p>
        </w:tc>
        <w:tc>
          <w:tcPr>
            <w:tcW w:w="2310"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eastAsiaTheme="minorEastAsia"/>
                <w:color w:val="000000" w:themeColor="text1"/>
                <w:szCs w:val="21"/>
              </w:rPr>
            </w:pPr>
            <w:r>
              <w:rPr>
                <w:rFonts w:eastAsiaTheme="minorEastAsia"/>
                <w:color w:val="000000" w:themeColor="text1"/>
                <w:szCs w:val="21"/>
              </w:rPr>
              <w:t>《汽车加油加气加氢站技术标准》（GB501562021）第4.0.2条</w:t>
            </w:r>
          </w:p>
        </w:tc>
        <w:tc>
          <w:tcPr>
            <w:tcW w:w="2190" w:type="dxa"/>
            <w:tcBorders>
              <w:top w:val="single" w:color="auto" w:sz="4" w:space="0"/>
              <w:left w:val="single" w:color="auto" w:sz="4" w:space="0"/>
              <w:bottom w:val="single" w:color="auto" w:sz="4" w:space="0"/>
              <w:right w:val="single" w:color="auto" w:sz="4" w:space="0"/>
            </w:tcBorders>
            <w:vAlign w:val="center"/>
          </w:tcPr>
          <w:p>
            <w:pPr>
              <w:spacing w:line="260" w:lineRule="exact"/>
              <w:rPr>
                <w:rFonts w:eastAsiaTheme="minorEastAsia"/>
                <w:color w:val="000000" w:themeColor="text1"/>
                <w:szCs w:val="21"/>
              </w:rPr>
            </w:pPr>
            <w:r>
              <w:rPr>
                <w:rFonts w:eastAsiaTheme="minorEastAsia"/>
                <w:color w:val="000000" w:themeColor="text1"/>
                <w:szCs w:val="21"/>
              </w:rPr>
              <w:t>该项目处在农村郊区，符合所述要求。</w:t>
            </w:r>
          </w:p>
        </w:tc>
        <w:tc>
          <w:tcPr>
            <w:tcW w:w="653" w:type="dxa"/>
            <w:tcBorders>
              <w:top w:val="single" w:color="auto" w:sz="4" w:space="0"/>
              <w:left w:val="single" w:color="auto" w:sz="4" w:space="0"/>
              <w:bottom w:val="single" w:color="auto" w:sz="4" w:space="0"/>
              <w:right w:val="single" w:color="auto" w:sz="4" w:space="0"/>
            </w:tcBorders>
            <w:vAlign w:val="center"/>
          </w:tcPr>
          <w:p>
            <w:pPr>
              <w:spacing w:line="260" w:lineRule="exact"/>
              <w:rPr>
                <w:rFonts w:eastAsiaTheme="minorEastAsia"/>
                <w:color w:val="000000" w:themeColor="text1"/>
                <w:szCs w:val="21"/>
              </w:rPr>
            </w:pPr>
            <w:r>
              <w:rPr>
                <w:rFonts w:eastAsiaTheme="minorEastAsia"/>
                <w:color w:val="000000" w:themeColor="text1"/>
                <w:szCs w:val="21"/>
              </w:rPr>
              <w:t>符合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6" w:hRule="atLeast"/>
          <w:jc w:val="center"/>
        </w:trPr>
        <w:tc>
          <w:tcPr>
            <w:tcW w:w="591" w:type="dxa"/>
            <w:tcBorders>
              <w:top w:val="single" w:color="auto" w:sz="4" w:space="0"/>
              <w:left w:val="single" w:color="auto" w:sz="4" w:space="0"/>
              <w:bottom w:val="single" w:color="auto" w:sz="4" w:space="0"/>
              <w:right w:val="single" w:color="auto" w:sz="4" w:space="0"/>
            </w:tcBorders>
            <w:vAlign w:val="center"/>
          </w:tcPr>
          <w:p>
            <w:pPr>
              <w:spacing w:line="260" w:lineRule="exact"/>
              <w:rPr>
                <w:rFonts w:eastAsiaTheme="minorEastAsia"/>
                <w:color w:val="000000" w:themeColor="text1"/>
                <w:szCs w:val="21"/>
              </w:rPr>
            </w:pPr>
            <w:r>
              <w:rPr>
                <w:rFonts w:eastAsiaTheme="minorEastAsia"/>
                <w:color w:val="000000" w:themeColor="text1"/>
                <w:szCs w:val="21"/>
              </w:rPr>
              <w:t>10</w:t>
            </w:r>
          </w:p>
        </w:tc>
        <w:tc>
          <w:tcPr>
            <w:tcW w:w="3195" w:type="dxa"/>
            <w:tcBorders>
              <w:top w:val="single" w:color="auto" w:sz="4" w:space="0"/>
              <w:left w:val="single" w:color="auto" w:sz="4" w:space="0"/>
              <w:bottom w:val="single" w:color="auto" w:sz="4" w:space="0"/>
              <w:right w:val="single" w:color="auto" w:sz="4" w:space="0"/>
            </w:tcBorders>
            <w:vAlign w:val="center"/>
          </w:tcPr>
          <w:p>
            <w:pPr>
              <w:spacing w:line="260" w:lineRule="exact"/>
              <w:rPr>
                <w:rFonts w:eastAsiaTheme="minorEastAsia"/>
                <w:color w:val="000000" w:themeColor="text1"/>
                <w:szCs w:val="21"/>
              </w:rPr>
            </w:pPr>
            <w:r>
              <w:rPr>
                <w:rFonts w:eastAsiaTheme="minorEastAsia"/>
                <w:color w:val="000000" w:themeColor="text1"/>
                <w:szCs w:val="21"/>
              </w:rPr>
              <w:t>城市建成区内的汽车加油加气加氢站宜靠近城市道路，但不宜选在城市干道的交叉路 口附近。</w:t>
            </w:r>
          </w:p>
        </w:tc>
        <w:tc>
          <w:tcPr>
            <w:tcW w:w="2310"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eastAsiaTheme="minorEastAsia"/>
                <w:color w:val="000000" w:themeColor="text1"/>
                <w:szCs w:val="21"/>
              </w:rPr>
            </w:pPr>
            <w:r>
              <w:rPr>
                <w:rFonts w:eastAsiaTheme="minorEastAsia"/>
                <w:color w:val="000000" w:themeColor="text1"/>
                <w:szCs w:val="21"/>
              </w:rPr>
              <w:t>《汽车加油加气加氢站技术标准》（GB50156-2021） 第4.0.3条</w:t>
            </w:r>
          </w:p>
        </w:tc>
        <w:tc>
          <w:tcPr>
            <w:tcW w:w="2190" w:type="dxa"/>
            <w:tcBorders>
              <w:top w:val="single" w:color="auto" w:sz="4" w:space="0"/>
              <w:left w:val="single" w:color="auto" w:sz="4" w:space="0"/>
              <w:bottom w:val="single" w:color="auto" w:sz="4" w:space="0"/>
              <w:right w:val="single" w:color="auto" w:sz="4" w:space="0"/>
            </w:tcBorders>
            <w:vAlign w:val="center"/>
          </w:tcPr>
          <w:p>
            <w:pPr>
              <w:spacing w:line="260" w:lineRule="exact"/>
              <w:jc w:val="left"/>
              <w:rPr>
                <w:rFonts w:eastAsiaTheme="minorEastAsia"/>
                <w:color w:val="000000" w:themeColor="text1"/>
                <w:szCs w:val="21"/>
              </w:rPr>
            </w:pPr>
            <w:r>
              <w:rPr>
                <w:rFonts w:eastAsiaTheme="minorEastAsia"/>
                <w:color w:val="000000" w:themeColor="text1"/>
                <w:szCs w:val="21"/>
              </w:rPr>
              <w:t>结合此公司多年运行情况，其不受洪水等所述威胁。</w:t>
            </w:r>
          </w:p>
        </w:tc>
        <w:tc>
          <w:tcPr>
            <w:tcW w:w="653" w:type="dxa"/>
            <w:tcBorders>
              <w:top w:val="single" w:color="auto" w:sz="4" w:space="0"/>
              <w:left w:val="single" w:color="auto" w:sz="4" w:space="0"/>
              <w:bottom w:val="single" w:color="auto" w:sz="4" w:space="0"/>
              <w:right w:val="single" w:color="auto" w:sz="4" w:space="0"/>
            </w:tcBorders>
            <w:vAlign w:val="center"/>
          </w:tcPr>
          <w:p>
            <w:pPr>
              <w:spacing w:line="260" w:lineRule="exact"/>
              <w:rPr>
                <w:rFonts w:eastAsiaTheme="minorEastAsia"/>
                <w:color w:val="000000" w:themeColor="text1"/>
                <w:szCs w:val="21"/>
              </w:rPr>
            </w:pPr>
            <w:r>
              <w:rPr>
                <w:rFonts w:eastAsiaTheme="minorEastAsia"/>
                <w:color w:val="000000" w:themeColor="text1"/>
                <w:szCs w:val="21"/>
              </w:rPr>
              <w:t>符合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5" w:hRule="atLeast"/>
          <w:jc w:val="center"/>
        </w:trPr>
        <w:tc>
          <w:tcPr>
            <w:tcW w:w="591" w:type="dxa"/>
            <w:tcBorders>
              <w:top w:val="single" w:color="auto" w:sz="4" w:space="0"/>
              <w:left w:val="single" w:color="auto" w:sz="4" w:space="0"/>
              <w:bottom w:val="single" w:color="auto" w:sz="4" w:space="0"/>
              <w:right w:val="single" w:color="auto" w:sz="4" w:space="0"/>
            </w:tcBorders>
            <w:vAlign w:val="center"/>
          </w:tcPr>
          <w:p>
            <w:pPr>
              <w:spacing w:line="260" w:lineRule="exact"/>
              <w:rPr>
                <w:rFonts w:eastAsiaTheme="minorEastAsia"/>
                <w:color w:val="000000" w:themeColor="text1"/>
                <w:szCs w:val="21"/>
              </w:rPr>
            </w:pPr>
            <w:r>
              <w:rPr>
                <w:rFonts w:eastAsiaTheme="minorEastAsia"/>
                <w:color w:val="000000" w:themeColor="text1"/>
                <w:szCs w:val="21"/>
              </w:rPr>
              <w:t xml:space="preserve"> 11</w:t>
            </w:r>
          </w:p>
        </w:tc>
        <w:tc>
          <w:tcPr>
            <w:tcW w:w="3195" w:type="dxa"/>
            <w:tcBorders>
              <w:top w:val="single" w:color="auto" w:sz="4" w:space="0"/>
              <w:left w:val="single" w:color="auto" w:sz="4" w:space="0"/>
              <w:bottom w:val="single" w:color="auto" w:sz="4" w:space="0"/>
              <w:right w:val="single" w:color="auto" w:sz="4" w:space="0"/>
            </w:tcBorders>
            <w:vAlign w:val="center"/>
          </w:tcPr>
          <w:p>
            <w:pPr>
              <w:spacing w:line="260" w:lineRule="exact"/>
              <w:rPr>
                <w:rFonts w:eastAsiaTheme="minorEastAsia"/>
                <w:color w:val="000000" w:themeColor="text1"/>
                <w:szCs w:val="21"/>
              </w:rPr>
            </w:pPr>
            <w:r>
              <w:rPr>
                <w:rFonts w:eastAsiaTheme="minorEastAsia"/>
                <w:color w:val="000000" w:themeColor="text1"/>
                <w:szCs w:val="21"/>
              </w:rPr>
              <w:t xml:space="preserve">架空电力线路不应跨越汽车加油加气加氢站的作业区。架空通信线路不应跨越加气站、加氢合建站中加氢设施的作业区。 </w:t>
            </w:r>
          </w:p>
        </w:tc>
        <w:tc>
          <w:tcPr>
            <w:tcW w:w="2310"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eastAsiaTheme="minorEastAsia"/>
                <w:color w:val="000000" w:themeColor="text1"/>
                <w:szCs w:val="21"/>
              </w:rPr>
            </w:pPr>
            <w:r>
              <w:rPr>
                <w:rFonts w:eastAsiaTheme="minorEastAsia"/>
                <w:color w:val="000000" w:themeColor="text1"/>
                <w:szCs w:val="21"/>
              </w:rPr>
              <w:t>《汽车加油加气加氢站技术标准》（GB50156-2021）第4.0.12条</w:t>
            </w:r>
          </w:p>
        </w:tc>
        <w:tc>
          <w:tcPr>
            <w:tcW w:w="2190" w:type="dxa"/>
            <w:tcBorders>
              <w:top w:val="single" w:color="auto" w:sz="4" w:space="0"/>
              <w:left w:val="single" w:color="auto" w:sz="4" w:space="0"/>
              <w:bottom w:val="single" w:color="auto" w:sz="4" w:space="0"/>
              <w:right w:val="single" w:color="auto" w:sz="4" w:space="0"/>
            </w:tcBorders>
            <w:vAlign w:val="center"/>
          </w:tcPr>
          <w:p>
            <w:pPr>
              <w:spacing w:line="260" w:lineRule="exact"/>
              <w:jc w:val="left"/>
              <w:rPr>
                <w:rFonts w:eastAsiaTheme="minorEastAsia"/>
                <w:color w:val="000000" w:themeColor="text1"/>
                <w:szCs w:val="21"/>
              </w:rPr>
            </w:pPr>
            <w:r>
              <w:rPr>
                <w:rFonts w:eastAsiaTheme="minorEastAsia"/>
                <w:color w:val="000000" w:themeColor="text1"/>
                <w:szCs w:val="21"/>
              </w:rPr>
              <w:t>该项目附近架空电力线、架空通信线未跨越项目工艺设备的作业区。</w:t>
            </w:r>
          </w:p>
        </w:tc>
        <w:tc>
          <w:tcPr>
            <w:tcW w:w="653" w:type="dxa"/>
            <w:tcBorders>
              <w:top w:val="single" w:color="auto" w:sz="4" w:space="0"/>
              <w:left w:val="single" w:color="auto" w:sz="4" w:space="0"/>
              <w:bottom w:val="single" w:color="auto" w:sz="4" w:space="0"/>
              <w:right w:val="single" w:color="auto" w:sz="4" w:space="0"/>
            </w:tcBorders>
            <w:vAlign w:val="center"/>
          </w:tcPr>
          <w:p>
            <w:pPr>
              <w:spacing w:line="260" w:lineRule="exact"/>
              <w:rPr>
                <w:rFonts w:eastAsiaTheme="minorEastAsia"/>
                <w:color w:val="000000" w:themeColor="text1"/>
                <w:szCs w:val="21"/>
              </w:rPr>
            </w:pPr>
            <w:r>
              <w:rPr>
                <w:rFonts w:eastAsiaTheme="minorEastAsia"/>
                <w:color w:val="000000" w:themeColor="text1"/>
                <w:szCs w:val="21"/>
              </w:rPr>
              <w:t>符合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5" w:hRule="atLeast"/>
          <w:jc w:val="center"/>
        </w:trPr>
        <w:tc>
          <w:tcPr>
            <w:tcW w:w="591" w:type="dxa"/>
            <w:tcBorders>
              <w:top w:val="single" w:color="auto" w:sz="4" w:space="0"/>
              <w:left w:val="single" w:color="auto" w:sz="4" w:space="0"/>
              <w:bottom w:val="single" w:color="auto" w:sz="4" w:space="0"/>
              <w:right w:val="single" w:color="auto" w:sz="4" w:space="0"/>
            </w:tcBorders>
            <w:vAlign w:val="center"/>
          </w:tcPr>
          <w:p>
            <w:pPr>
              <w:spacing w:line="260" w:lineRule="exact"/>
              <w:rPr>
                <w:rFonts w:eastAsiaTheme="minorEastAsia"/>
                <w:color w:val="000000" w:themeColor="text1"/>
                <w:szCs w:val="21"/>
              </w:rPr>
            </w:pPr>
            <w:r>
              <w:rPr>
                <w:rFonts w:eastAsiaTheme="minorEastAsia"/>
                <w:color w:val="000000" w:themeColor="text1"/>
                <w:szCs w:val="21"/>
              </w:rPr>
              <w:t>12</w:t>
            </w:r>
          </w:p>
        </w:tc>
        <w:tc>
          <w:tcPr>
            <w:tcW w:w="3195" w:type="dxa"/>
            <w:tcBorders>
              <w:top w:val="single" w:color="auto" w:sz="4" w:space="0"/>
              <w:left w:val="single" w:color="auto" w:sz="4" w:space="0"/>
              <w:bottom w:val="single" w:color="auto" w:sz="4" w:space="0"/>
              <w:right w:val="single" w:color="auto" w:sz="4" w:space="0"/>
            </w:tcBorders>
            <w:vAlign w:val="center"/>
          </w:tcPr>
          <w:p>
            <w:pPr>
              <w:spacing w:line="260" w:lineRule="exact"/>
              <w:rPr>
                <w:rFonts w:eastAsiaTheme="minorEastAsia"/>
                <w:color w:val="000000" w:themeColor="text1"/>
                <w:szCs w:val="21"/>
              </w:rPr>
            </w:pPr>
            <w:r>
              <w:rPr>
                <w:rFonts w:eastAsiaTheme="minorEastAsia"/>
                <w:color w:val="000000" w:themeColor="text1"/>
                <w:szCs w:val="21"/>
              </w:rPr>
              <w:t>与汽车加油加气加氢站无关的可燃介质管道不应穿越汽车加油加气加氢站用地范围。</w:t>
            </w:r>
          </w:p>
        </w:tc>
        <w:tc>
          <w:tcPr>
            <w:tcW w:w="2310"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eastAsiaTheme="minorEastAsia"/>
                <w:color w:val="000000" w:themeColor="text1"/>
                <w:szCs w:val="21"/>
              </w:rPr>
            </w:pPr>
            <w:r>
              <w:rPr>
                <w:rFonts w:eastAsiaTheme="minorEastAsia"/>
                <w:color w:val="000000" w:themeColor="text1"/>
                <w:szCs w:val="21"/>
              </w:rPr>
              <w:t>《汽车加油加气加氢站技术标准》（GB50156-2021）第4.0.13条</w:t>
            </w:r>
          </w:p>
        </w:tc>
        <w:tc>
          <w:tcPr>
            <w:tcW w:w="2190" w:type="dxa"/>
            <w:tcBorders>
              <w:top w:val="single" w:color="auto" w:sz="4" w:space="0"/>
              <w:left w:val="single" w:color="auto" w:sz="4" w:space="0"/>
              <w:bottom w:val="single" w:color="auto" w:sz="4" w:space="0"/>
              <w:right w:val="single" w:color="auto" w:sz="4" w:space="0"/>
            </w:tcBorders>
            <w:vAlign w:val="center"/>
          </w:tcPr>
          <w:p>
            <w:pPr>
              <w:spacing w:line="260" w:lineRule="exact"/>
              <w:jc w:val="left"/>
              <w:rPr>
                <w:rFonts w:eastAsiaTheme="minorEastAsia"/>
                <w:color w:val="000000" w:themeColor="text1"/>
                <w:szCs w:val="21"/>
              </w:rPr>
            </w:pPr>
            <w:r>
              <w:rPr>
                <w:rFonts w:eastAsiaTheme="minorEastAsia"/>
                <w:color w:val="000000" w:themeColor="text1"/>
                <w:szCs w:val="21"/>
              </w:rPr>
              <w:t>该项目用地范围内没有无关的可燃介质管道穿越。</w:t>
            </w:r>
          </w:p>
        </w:tc>
        <w:tc>
          <w:tcPr>
            <w:tcW w:w="653"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eastAsiaTheme="minorEastAsia"/>
                <w:color w:val="000000" w:themeColor="text1"/>
                <w:szCs w:val="21"/>
              </w:rPr>
            </w:pPr>
            <w:r>
              <w:rPr>
                <w:rFonts w:eastAsiaTheme="minorEastAsia"/>
                <w:color w:val="000000" w:themeColor="text1"/>
                <w:szCs w:val="21"/>
              </w:rPr>
              <w:t>符合</w:t>
            </w:r>
          </w:p>
        </w:tc>
      </w:tr>
    </w:tbl>
    <w:p>
      <w:pPr>
        <w:spacing w:line="500" w:lineRule="exact"/>
        <w:ind w:firstLine="560" w:firstLineChars="200"/>
        <w:rPr>
          <w:rFonts w:eastAsiaTheme="minorEastAsia"/>
          <w:snapToGrid w:val="0"/>
          <w:color w:val="000000" w:themeColor="text1"/>
          <w:kern w:val="0"/>
          <w:sz w:val="28"/>
          <w:szCs w:val="28"/>
        </w:rPr>
      </w:pPr>
      <w:r>
        <w:rPr>
          <w:rFonts w:eastAsiaTheme="minorEastAsia"/>
          <w:snapToGrid w:val="0"/>
          <w:color w:val="000000" w:themeColor="text1"/>
          <w:kern w:val="0"/>
          <w:sz w:val="28"/>
          <w:szCs w:val="28"/>
        </w:rPr>
        <w:t>由上表检查结果可知，该项目厂址符合《危险化学品安全管理条例》（国务院令第591号，2015年修订）、《工业企业总平面设计规范》（GB50187-2012）、《工业企业设计卫生标准》（GBZ1-2010）、《化工企业安全卫生设计规范》（HG20571-2014）</w:t>
      </w:r>
      <w:r>
        <w:rPr>
          <w:rFonts w:hint="eastAsia" w:eastAsiaTheme="minorEastAsia"/>
          <w:snapToGrid w:val="0"/>
          <w:color w:val="000000" w:themeColor="text1"/>
          <w:kern w:val="0"/>
          <w:sz w:val="28"/>
          <w:szCs w:val="28"/>
        </w:rPr>
        <w:t>、</w:t>
      </w:r>
      <w:r>
        <w:rPr>
          <w:rFonts w:eastAsiaTheme="minorEastAsia"/>
          <w:snapToGrid w:val="0"/>
          <w:color w:val="000000" w:themeColor="text1"/>
          <w:kern w:val="0"/>
          <w:sz w:val="28"/>
          <w:szCs w:val="28"/>
        </w:rPr>
        <w:t>《汽车加油加气加氢站技术标准》（GB50156-2021）</w:t>
      </w:r>
      <w:r>
        <w:rPr>
          <w:rFonts w:hint="eastAsia" w:eastAsiaTheme="minorEastAsia"/>
          <w:snapToGrid w:val="0"/>
          <w:color w:val="000000" w:themeColor="text1"/>
          <w:kern w:val="0"/>
          <w:sz w:val="28"/>
          <w:szCs w:val="28"/>
        </w:rPr>
        <w:t>、</w:t>
      </w:r>
      <w:r>
        <w:rPr>
          <w:rFonts w:eastAsiaTheme="minorEastAsia"/>
          <w:snapToGrid w:val="0"/>
          <w:color w:val="000000" w:themeColor="text1"/>
          <w:kern w:val="0"/>
          <w:sz w:val="28"/>
          <w:szCs w:val="28"/>
        </w:rPr>
        <w:t>《化工企业安全卫生设计规范》（HG20571-2014）等标准、规范的要求。</w:t>
      </w:r>
    </w:p>
    <w:p>
      <w:pPr>
        <w:spacing w:line="500" w:lineRule="exact"/>
        <w:ind w:firstLine="562" w:firstLineChars="200"/>
        <w:rPr>
          <w:rFonts w:eastAsiaTheme="minorEastAsia"/>
          <w:b/>
          <w:snapToGrid w:val="0"/>
          <w:color w:val="000000" w:themeColor="text1"/>
          <w:kern w:val="0"/>
          <w:sz w:val="28"/>
          <w:szCs w:val="28"/>
        </w:rPr>
      </w:pPr>
      <w:bookmarkStart w:id="1711" w:name="_Toc28590"/>
      <w:r>
        <w:rPr>
          <w:rFonts w:eastAsiaTheme="minorEastAsia"/>
          <w:b/>
          <w:snapToGrid w:val="0"/>
          <w:color w:val="000000" w:themeColor="text1"/>
          <w:kern w:val="0"/>
          <w:sz w:val="28"/>
          <w:szCs w:val="28"/>
        </w:rPr>
        <w:t>2</w:t>
      </w:r>
      <w:r>
        <w:rPr>
          <w:rFonts w:hint="eastAsia" w:eastAsiaTheme="minorEastAsia"/>
          <w:b/>
          <w:snapToGrid w:val="0"/>
          <w:color w:val="000000" w:themeColor="text1"/>
          <w:kern w:val="0"/>
          <w:sz w:val="28"/>
          <w:szCs w:val="28"/>
        </w:rPr>
        <w:t>.</w:t>
      </w:r>
      <w:r>
        <w:rPr>
          <w:rFonts w:eastAsiaTheme="minorEastAsia"/>
          <w:b/>
          <w:snapToGrid w:val="0"/>
          <w:color w:val="000000" w:themeColor="text1"/>
          <w:kern w:val="0"/>
          <w:sz w:val="28"/>
          <w:szCs w:val="28"/>
        </w:rPr>
        <w:t>甲醇储存、装卸设施与厂外周边环境的防火间距安全检查</w:t>
      </w:r>
      <w:bookmarkEnd w:id="1711"/>
    </w:p>
    <w:p>
      <w:pPr>
        <w:spacing w:line="500" w:lineRule="exact"/>
        <w:ind w:firstLine="560" w:firstLineChars="200"/>
        <w:rPr>
          <w:rFonts w:eastAsiaTheme="minorEastAsia"/>
          <w:snapToGrid w:val="0"/>
          <w:color w:val="000000" w:themeColor="text1"/>
          <w:kern w:val="0"/>
          <w:sz w:val="28"/>
          <w:szCs w:val="28"/>
        </w:rPr>
      </w:pPr>
      <w:r>
        <w:rPr>
          <w:rFonts w:eastAsiaTheme="minorEastAsia"/>
          <w:snapToGrid w:val="0"/>
          <w:color w:val="000000" w:themeColor="text1"/>
          <w:kern w:val="0"/>
          <w:sz w:val="28"/>
          <w:szCs w:val="28"/>
        </w:rPr>
        <w:t>根据</w:t>
      </w:r>
      <w:r>
        <w:rPr>
          <w:rFonts w:eastAsiaTheme="minorEastAsia"/>
          <w:snapToGrid w:val="0"/>
          <w:color w:val="000000" w:themeColor="text1"/>
          <w:kern w:val="0"/>
          <w:sz w:val="28"/>
          <w:szCs w:val="28"/>
          <w:lang w:val="zh-CN"/>
        </w:rPr>
        <w:t>《建筑设计防火规范（2018年版）》（GB50016-2014）</w:t>
      </w:r>
      <w:r>
        <w:rPr>
          <w:rFonts w:hint="eastAsia" w:eastAsiaTheme="minorEastAsia"/>
          <w:snapToGrid w:val="0"/>
          <w:color w:val="000000" w:themeColor="text1"/>
          <w:kern w:val="0"/>
          <w:sz w:val="28"/>
          <w:szCs w:val="28"/>
        </w:rPr>
        <w:t>、</w:t>
      </w:r>
      <w:r>
        <w:rPr>
          <w:rFonts w:eastAsiaTheme="minorEastAsia"/>
          <w:snapToGrid w:val="0"/>
          <w:color w:val="000000" w:themeColor="text1"/>
          <w:kern w:val="0"/>
          <w:sz w:val="28"/>
          <w:szCs w:val="28"/>
        </w:rPr>
        <w:t>《汽车加油加气加氢站技术标准》（GB50156-2021）</w:t>
      </w:r>
      <w:r>
        <w:rPr>
          <w:rFonts w:hint="eastAsia" w:eastAsiaTheme="minorEastAsia"/>
          <w:snapToGrid w:val="0"/>
          <w:color w:val="000000" w:themeColor="text1"/>
          <w:kern w:val="0"/>
          <w:sz w:val="28"/>
          <w:szCs w:val="28"/>
        </w:rPr>
        <w:t>等</w:t>
      </w:r>
      <w:r>
        <w:rPr>
          <w:rFonts w:eastAsiaTheme="minorEastAsia"/>
          <w:snapToGrid w:val="0"/>
          <w:color w:val="000000" w:themeColor="text1"/>
          <w:kern w:val="0"/>
          <w:sz w:val="28"/>
          <w:szCs w:val="28"/>
        </w:rPr>
        <w:t>的要求对该项目甲醇储存、装卸设施与其厂外周边环境的防火间距进行安全检查，具体情况如下表所示：</w:t>
      </w:r>
    </w:p>
    <w:p>
      <w:pPr>
        <w:spacing w:line="500" w:lineRule="exact"/>
        <w:jc w:val="center"/>
        <w:rPr>
          <w:rFonts w:eastAsiaTheme="minorEastAsia"/>
          <w:color w:val="000000" w:themeColor="text1"/>
          <w:sz w:val="24"/>
        </w:rPr>
      </w:pPr>
      <w:r>
        <w:rPr>
          <w:rFonts w:eastAsiaTheme="minorEastAsia"/>
          <w:color w:val="000000" w:themeColor="text1"/>
          <w:sz w:val="24"/>
        </w:rPr>
        <w:t>表5-4甲醇储存、装卸设施与厂外周边环境的防火间距（单位：m）检查表</w:t>
      </w:r>
    </w:p>
    <w:tbl>
      <w:tblPr>
        <w:tblStyle w:val="52"/>
        <w:tblpPr w:leftFromText="180" w:rightFromText="180" w:vertAnchor="text" w:horzAnchor="page" w:tblpX="1710" w:tblpY="211"/>
        <w:tblOverlap w:val="never"/>
        <w:tblW w:w="87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2"/>
        <w:gridCol w:w="1116"/>
        <w:gridCol w:w="1090"/>
        <w:gridCol w:w="1083"/>
        <w:gridCol w:w="46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blHeader/>
        </w:trPr>
        <w:tc>
          <w:tcPr>
            <w:tcW w:w="862" w:type="dxa"/>
            <w:vMerge w:val="restart"/>
            <w:vAlign w:val="center"/>
          </w:tcPr>
          <w:p>
            <w:pPr>
              <w:keepNext/>
              <w:adjustRightInd w:val="0"/>
              <w:snapToGrid w:val="0"/>
              <w:spacing w:line="500" w:lineRule="exact"/>
              <w:jc w:val="center"/>
              <w:rPr>
                <w:color w:val="000000" w:themeColor="text1"/>
                <w:szCs w:val="21"/>
              </w:rPr>
            </w:pPr>
            <w:r>
              <w:rPr>
                <w:color w:val="000000" w:themeColor="text1"/>
                <w:szCs w:val="21"/>
              </w:rPr>
              <w:t>方位</w:t>
            </w:r>
          </w:p>
        </w:tc>
        <w:tc>
          <w:tcPr>
            <w:tcW w:w="1116" w:type="dxa"/>
            <w:vMerge w:val="restart"/>
            <w:vAlign w:val="center"/>
          </w:tcPr>
          <w:p>
            <w:pPr>
              <w:keepNext/>
              <w:adjustRightInd w:val="0"/>
              <w:snapToGrid w:val="0"/>
              <w:spacing w:line="500" w:lineRule="exact"/>
              <w:rPr>
                <w:color w:val="000000" w:themeColor="text1"/>
                <w:szCs w:val="21"/>
              </w:rPr>
            </w:pPr>
            <w:r>
              <w:rPr>
                <w:color w:val="000000" w:themeColor="text1"/>
                <w:szCs w:val="21"/>
              </w:rPr>
              <w:t>周边环境</w:t>
            </w:r>
          </w:p>
        </w:tc>
        <w:tc>
          <w:tcPr>
            <w:tcW w:w="6780" w:type="dxa"/>
            <w:gridSpan w:val="3"/>
            <w:vAlign w:val="center"/>
          </w:tcPr>
          <w:p>
            <w:pPr>
              <w:keepNext/>
              <w:adjustRightInd w:val="0"/>
              <w:snapToGrid w:val="0"/>
              <w:spacing w:line="500" w:lineRule="exact"/>
              <w:jc w:val="center"/>
              <w:rPr>
                <w:color w:val="000000" w:themeColor="text1"/>
                <w:szCs w:val="21"/>
              </w:rPr>
            </w:pPr>
            <w:r>
              <w:rPr>
                <w:color w:val="000000" w:themeColor="text1"/>
                <w:szCs w:val="21"/>
              </w:rPr>
              <w:t>甲醇罐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trPr>
        <w:tc>
          <w:tcPr>
            <w:tcW w:w="862" w:type="dxa"/>
            <w:vMerge w:val="continue"/>
            <w:vAlign w:val="center"/>
          </w:tcPr>
          <w:p>
            <w:pPr>
              <w:keepNext/>
              <w:adjustRightInd w:val="0"/>
              <w:snapToGrid w:val="0"/>
              <w:spacing w:line="500" w:lineRule="exact"/>
              <w:ind w:firstLine="420" w:firstLineChars="200"/>
              <w:jc w:val="center"/>
              <w:rPr>
                <w:color w:val="000000" w:themeColor="text1"/>
                <w:szCs w:val="21"/>
              </w:rPr>
            </w:pPr>
          </w:p>
        </w:tc>
        <w:tc>
          <w:tcPr>
            <w:tcW w:w="1116" w:type="dxa"/>
            <w:vMerge w:val="continue"/>
            <w:vAlign w:val="center"/>
          </w:tcPr>
          <w:p>
            <w:pPr>
              <w:keepNext/>
              <w:adjustRightInd w:val="0"/>
              <w:snapToGrid w:val="0"/>
              <w:spacing w:line="500" w:lineRule="exact"/>
              <w:ind w:firstLine="420" w:firstLineChars="200"/>
              <w:jc w:val="center"/>
              <w:rPr>
                <w:color w:val="000000" w:themeColor="text1"/>
                <w:szCs w:val="21"/>
              </w:rPr>
            </w:pPr>
          </w:p>
        </w:tc>
        <w:tc>
          <w:tcPr>
            <w:tcW w:w="1090" w:type="dxa"/>
            <w:vAlign w:val="center"/>
          </w:tcPr>
          <w:p>
            <w:pPr>
              <w:keepNext/>
              <w:adjustRightInd w:val="0"/>
              <w:snapToGrid w:val="0"/>
              <w:spacing w:line="500" w:lineRule="exact"/>
              <w:jc w:val="center"/>
              <w:rPr>
                <w:color w:val="000000" w:themeColor="text1"/>
                <w:szCs w:val="21"/>
              </w:rPr>
            </w:pPr>
            <w:r>
              <w:rPr>
                <w:color w:val="000000" w:themeColor="text1"/>
                <w:szCs w:val="21"/>
              </w:rPr>
              <w:t>实测</w:t>
            </w:r>
            <w:r>
              <w:rPr>
                <w:rFonts w:hint="eastAsia"/>
                <w:color w:val="000000" w:themeColor="text1"/>
                <w:szCs w:val="21"/>
              </w:rPr>
              <w:t>值</w:t>
            </w:r>
          </w:p>
        </w:tc>
        <w:tc>
          <w:tcPr>
            <w:tcW w:w="1083" w:type="dxa"/>
            <w:vAlign w:val="center"/>
          </w:tcPr>
          <w:p>
            <w:pPr>
              <w:keepNext/>
              <w:adjustRightInd w:val="0"/>
              <w:snapToGrid w:val="0"/>
              <w:spacing w:line="500" w:lineRule="exact"/>
              <w:jc w:val="center"/>
              <w:rPr>
                <w:b/>
                <w:bCs/>
                <w:color w:val="000000" w:themeColor="text1"/>
                <w:szCs w:val="21"/>
              </w:rPr>
            </w:pPr>
            <w:r>
              <w:rPr>
                <w:b/>
                <w:bCs/>
                <w:color w:val="000000" w:themeColor="text1"/>
                <w:szCs w:val="21"/>
              </w:rPr>
              <w:t>标准值</w:t>
            </w:r>
          </w:p>
        </w:tc>
        <w:tc>
          <w:tcPr>
            <w:tcW w:w="4607" w:type="dxa"/>
            <w:vAlign w:val="center"/>
          </w:tcPr>
          <w:p>
            <w:pPr>
              <w:keepNext/>
              <w:adjustRightInd w:val="0"/>
              <w:snapToGrid w:val="0"/>
              <w:spacing w:line="500" w:lineRule="exact"/>
              <w:jc w:val="center"/>
              <w:rPr>
                <w:color w:val="000000" w:themeColor="text1"/>
                <w:szCs w:val="21"/>
              </w:rPr>
            </w:pPr>
            <w:r>
              <w:rPr>
                <w:rFonts w:hint="eastAsia"/>
                <w:color w:val="000000" w:themeColor="text1"/>
                <w:szCs w:val="21"/>
              </w:rPr>
              <w:t>依据标准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blHeader/>
        </w:trPr>
        <w:tc>
          <w:tcPr>
            <w:tcW w:w="862" w:type="dxa"/>
            <w:vAlign w:val="center"/>
          </w:tcPr>
          <w:p>
            <w:pPr>
              <w:keepNext/>
              <w:adjustRightInd w:val="0"/>
              <w:snapToGrid w:val="0"/>
              <w:spacing w:line="500" w:lineRule="exact"/>
              <w:jc w:val="center"/>
              <w:rPr>
                <w:color w:val="000000" w:themeColor="text1"/>
                <w:szCs w:val="21"/>
              </w:rPr>
            </w:pPr>
            <w:r>
              <w:rPr>
                <w:rFonts w:hint="eastAsia"/>
                <w:color w:val="000000" w:themeColor="text1"/>
                <w:szCs w:val="21"/>
              </w:rPr>
              <w:t>东南面</w:t>
            </w:r>
          </w:p>
        </w:tc>
        <w:tc>
          <w:tcPr>
            <w:tcW w:w="1116" w:type="dxa"/>
            <w:vAlign w:val="center"/>
          </w:tcPr>
          <w:p>
            <w:pPr>
              <w:keepNext/>
              <w:adjustRightInd w:val="0"/>
              <w:snapToGrid w:val="0"/>
              <w:spacing w:line="500" w:lineRule="exact"/>
              <w:jc w:val="center"/>
              <w:rPr>
                <w:color w:val="000000" w:themeColor="text1"/>
                <w:szCs w:val="21"/>
              </w:rPr>
            </w:pPr>
            <w:r>
              <w:rPr>
                <w:color w:val="000000" w:themeColor="text1"/>
                <w:szCs w:val="21"/>
              </w:rPr>
              <w:t>民房</w:t>
            </w:r>
            <w:r>
              <w:rPr>
                <w:rFonts w:hint="eastAsia"/>
                <w:color w:val="000000" w:themeColor="text1"/>
                <w:szCs w:val="21"/>
              </w:rPr>
              <w:t>（三级）</w:t>
            </w:r>
          </w:p>
        </w:tc>
        <w:tc>
          <w:tcPr>
            <w:tcW w:w="1090" w:type="dxa"/>
            <w:vAlign w:val="center"/>
          </w:tcPr>
          <w:p>
            <w:pPr>
              <w:keepNext/>
              <w:adjustRightInd w:val="0"/>
              <w:snapToGrid w:val="0"/>
              <w:spacing w:line="500" w:lineRule="exact"/>
              <w:jc w:val="center"/>
              <w:rPr>
                <w:color w:val="000000" w:themeColor="text1"/>
                <w:szCs w:val="21"/>
              </w:rPr>
            </w:pPr>
            <w:r>
              <w:rPr>
                <w:rFonts w:hint="eastAsia"/>
                <w:color w:val="000000" w:themeColor="text1"/>
                <w:szCs w:val="21"/>
              </w:rPr>
              <w:t>7.5</w:t>
            </w:r>
          </w:p>
        </w:tc>
        <w:tc>
          <w:tcPr>
            <w:tcW w:w="1083" w:type="dxa"/>
            <w:vAlign w:val="center"/>
          </w:tcPr>
          <w:p>
            <w:pPr>
              <w:keepNext/>
              <w:adjustRightInd w:val="0"/>
              <w:snapToGrid w:val="0"/>
              <w:spacing w:line="500" w:lineRule="exact"/>
              <w:jc w:val="center"/>
              <w:rPr>
                <w:b/>
                <w:bCs/>
                <w:color w:val="000000" w:themeColor="text1"/>
                <w:szCs w:val="21"/>
              </w:rPr>
            </w:pPr>
            <w:r>
              <w:rPr>
                <w:rFonts w:hint="eastAsia"/>
                <w:b/>
                <w:bCs/>
                <w:color w:val="000000" w:themeColor="text1"/>
                <w:szCs w:val="21"/>
              </w:rPr>
              <w:t>7.5</w:t>
            </w:r>
          </w:p>
        </w:tc>
        <w:tc>
          <w:tcPr>
            <w:tcW w:w="4607" w:type="dxa"/>
            <w:vAlign w:val="center"/>
          </w:tcPr>
          <w:p>
            <w:pPr>
              <w:keepNext/>
              <w:adjustRightInd w:val="0"/>
              <w:snapToGrid w:val="0"/>
              <w:jc w:val="center"/>
              <w:rPr>
                <w:color w:val="000000" w:themeColor="text1"/>
                <w:szCs w:val="21"/>
              </w:rPr>
            </w:pPr>
            <w:r>
              <w:rPr>
                <w:rFonts w:hint="eastAsia"/>
                <w:color w:val="000000" w:themeColor="text1"/>
                <w:szCs w:val="21"/>
              </w:rPr>
              <w:t>《建筑设计防火规范（2018年版）》（GB50016-2014）表4.2.1及注6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7" w:hRule="atLeast"/>
          <w:tblHeader/>
        </w:trPr>
        <w:tc>
          <w:tcPr>
            <w:tcW w:w="862" w:type="dxa"/>
            <w:vAlign w:val="center"/>
          </w:tcPr>
          <w:p>
            <w:pPr>
              <w:keepNext/>
              <w:adjustRightInd w:val="0"/>
              <w:snapToGrid w:val="0"/>
              <w:spacing w:line="500" w:lineRule="exact"/>
              <w:jc w:val="center"/>
              <w:rPr>
                <w:color w:val="000000" w:themeColor="text1"/>
                <w:szCs w:val="21"/>
              </w:rPr>
            </w:pPr>
            <w:r>
              <w:rPr>
                <w:rFonts w:hint="eastAsia"/>
                <w:color w:val="000000" w:themeColor="text1"/>
                <w:szCs w:val="21"/>
              </w:rPr>
              <w:t>西南面</w:t>
            </w:r>
          </w:p>
        </w:tc>
        <w:tc>
          <w:tcPr>
            <w:tcW w:w="1116" w:type="dxa"/>
            <w:vAlign w:val="center"/>
          </w:tcPr>
          <w:p>
            <w:pPr>
              <w:keepNext/>
              <w:adjustRightInd w:val="0"/>
              <w:snapToGrid w:val="0"/>
              <w:spacing w:line="500" w:lineRule="exact"/>
              <w:jc w:val="center"/>
              <w:rPr>
                <w:color w:val="000000" w:themeColor="text1"/>
                <w:szCs w:val="21"/>
              </w:rPr>
            </w:pPr>
            <w:r>
              <w:rPr>
                <w:rFonts w:hint="eastAsia"/>
                <w:color w:val="000000" w:themeColor="text1"/>
                <w:szCs w:val="21"/>
              </w:rPr>
              <w:t>民房（三级）</w:t>
            </w:r>
          </w:p>
        </w:tc>
        <w:tc>
          <w:tcPr>
            <w:tcW w:w="1090" w:type="dxa"/>
            <w:vAlign w:val="center"/>
          </w:tcPr>
          <w:p>
            <w:pPr>
              <w:keepNext/>
              <w:adjustRightInd w:val="0"/>
              <w:snapToGrid w:val="0"/>
              <w:spacing w:line="500" w:lineRule="exact"/>
              <w:jc w:val="center"/>
              <w:rPr>
                <w:color w:val="000000" w:themeColor="text1"/>
                <w:szCs w:val="21"/>
              </w:rPr>
            </w:pPr>
            <w:r>
              <w:rPr>
                <w:rFonts w:hint="eastAsia"/>
                <w:color w:val="000000" w:themeColor="text1"/>
                <w:szCs w:val="21"/>
              </w:rPr>
              <w:t>29.8</w:t>
            </w:r>
          </w:p>
        </w:tc>
        <w:tc>
          <w:tcPr>
            <w:tcW w:w="1083" w:type="dxa"/>
            <w:vAlign w:val="center"/>
          </w:tcPr>
          <w:p>
            <w:pPr>
              <w:keepNext/>
              <w:adjustRightInd w:val="0"/>
              <w:snapToGrid w:val="0"/>
              <w:spacing w:line="500" w:lineRule="exact"/>
              <w:jc w:val="center"/>
              <w:rPr>
                <w:b/>
                <w:bCs/>
                <w:color w:val="000000" w:themeColor="text1"/>
                <w:szCs w:val="21"/>
              </w:rPr>
            </w:pPr>
            <w:r>
              <w:rPr>
                <w:rFonts w:hint="eastAsia"/>
                <w:b/>
                <w:bCs/>
                <w:color w:val="000000" w:themeColor="text1"/>
                <w:szCs w:val="21"/>
              </w:rPr>
              <w:t>7.5</w:t>
            </w:r>
          </w:p>
        </w:tc>
        <w:tc>
          <w:tcPr>
            <w:tcW w:w="4607" w:type="dxa"/>
            <w:vAlign w:val="center"/>
          </w:tcPr>
          <w:p>
            <w:pPr>
              <w:keepNext/>
              <w:adjustRightInd w:val="0"/>
              <w:snapToGrid w:val="0"/>
              <w:jc w:val="center"/>
              <w:rPr>
                <w:color w:val="000000" w:themeColor="text1"/>
                <w:szCs w:val="21"/>
              </w:rPr>
            </w:pPr>
            <w:r>
              <w:rPr>
                <w:rFonts w:hint="eastAsia"/>
                <w:color w:val="000000" w:themeColor="text1"/>
                <w:szCs w:val="21"/>
              </w:rPr>
              <w:t>《建筑设计防火规范（2018年版）》（GB50016-2014）表4.2.1及注6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blHeader/>
        </w:trPr>
        <w:tc>
          <w:tcPr>
            <w:tcW w:w="862" w:type="dxa"/>
            <w:vAlign w:val="center"/>
          </w:tcPr>
          <w:p>
            <w:pPr>
              <w:keepNext/>
              <w:adjustRightInd w:val="0"/>
              <w:snapToGrid w:val="0"/>
              <w:spacing w:line="500" w:lineRule="exact"/>
              <w:jc w:val="center"/>
              <w:rPr>
                <w:color w:val="000000" w:themeColor="text1"/>
                <w:szCs w:val="21"/>
              </w:rPr>
            </w:pPr>
            <w:r>
              <w:rPr>
                <w:rFonts w:hint="eastAsia"/>
                <w:color w:val="000000" w:themeColor="text1"/>
                <w:szCs w:val="21"/>
              </w:rPr>
              <w:t>东面</w:t>
            </w:r>
          </w:p>
        </w:tc>
        <w:tc>
          <w:tcPr>
            <w:tcW w:w="1116" w:type="dxa"/>
            <w:vAlign w:val="center"/>
          </w:tcPr>
          <w:p>
            <w:pPr>
              <w:keepNext/>
              <w:adjustRightInd w:val="0"/>
              <w:snapToGrid w:val="0"/>
              <w:spacing w:line="500" w:lineRule="exact"/>
              <w:jc w:val="center"/>
              <w:rPr>
                <w:color w:val="000000" w:themeColor="text1"/>
                <w:szCs w:val="21"/>
              </w:rPr>
            </w:pPr>
            <w:r>
              <w:rPr>
                <w:rFonts w:hint="eastAsia"/>
                <w:color w:val="000000" w:themeColor="text1"/>
                <w:szCs w:val="21"/>
              </w:rPr>
              <w:t>民房</w:t>
            </w:r>
          </w:p>
        </w:tc>
        <w:tc>
          <w:tcPr>
            <w:tcW w:w="1090" w:type="dxa"/>
            <w:vAlign w:val="center"/>
          </w:tcPr>
          <w:p>
            <w:pPr>
              <w:keepNext/>
              <w:adjustRightInd w:val="0"/>
              <w:snapToGrid w:val="0"/>
              <w:spacing w:line="500" w:lineRule="exact"/>
              <w:jc w:val="center"/>
              <w:rPr>
                <w:color w:val="000000" w:themeColor="text1"/>
                <w:szCs w:val="21"/>
              </w:rPr>
            </w:pPr>
            <w:r>
              <w:rPr>
                <w:rFonts w:hint="eastAsia"/>
                <w:color w:val="000000" w:themeColor="text1"/>
                <w:szCs w:val="21"/>
              </w:rPr>
              <w:t>10.7</w:t>
            </w:r>
          </w:p>
        </w:tc>
        <w:tc>
          <w:tcPr>
            <w:tcW w:w="1083" w:type="dxa"/>
            <w:vAlign w:val="center"/>
          </w:tcPr>
          <w:p>
            <w:pPr>
              <w:keepNext/>
              <w:adjustRightInd w:val="0"/>
              <w:snapToGrid w:val="0"/>
              <w:spacing w:line="500" w:lineRule="exact"/>
              <w:jc w:val="center"/>
              <w:rPr>
                <w:b/>
                <w:bCs/>
                <w:color w:val="000000" w:themeColor="text1"/>
                <w:szCs w:val="21"/>
              </w:rPr>
            </w:pPr>
            <w:r>
              <w:rPr>
                <w:rFonts w:hint="eastAsia"/>
                <w:b/>
                <w:bCs/>
                <w:color w:val="000000" w:themeColor="text1"/>
                <w:szCs w:val="21"/>
              </w:rPr>
              <w:t>7.5</w:t>
            </w:r>
          </w:p>
        </w:tc>
        <w:tc>
          <w:tcPr>
            <w:tcW w:w="4607" w:type="dxa"/>
            <w:vAlign w:val="center"/>
          </w:tcPr>
          <w:p>
            <w:pPr>
              <w:keepNext/>
              <w:adjustRightInd w:val="0"/>
              <w:snapToGrid w:val="0"/>
              <w:jc w:val="center"/>
              <w:rPr>
                <w:color w:val="000000" w:themeColor="text1"/>
                <w:szCs w:val="21"/>
              </w:rPr>
            </w:pPr>
            <w:r>
              <w:rPr>
                <w:rFonts w:hint="eastAsia"/>
                <w:color w:val="000000" w:themeColor="text1"/>
                <w:szCs w:val="21"/>
              </w:rPr>
              <w:t>《建筑设计防火规范（2018年版）》（GB50016-2014）表4.2.1及注6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blHeader/>
        </w:trPr>
        <w:tc>
          <w:tcPr>
            <w:tcW w:w="862" w:type="dxa"/>
            <w:vAlign w:val="center"/>
          </w:tcPr>
          <w:p>
            <w:pPr>
              <w:keepNext/>
              <w:adjustRightInd w:val="0"/>
              <w:snapToGrid w:val="0"/>
              <w:spacing w:line="500" w:lineRule="exact"/>
              <w:jc w:val="center"/>
              <w:rPr>
                <w:color w:val="000000" w:themeColor="text1"/>
                <w:szCs w:val="21"/>
              </w:rPr>
            </w:pPr>
            <w:r>
              <w:rPr>
                <w:rFonts w:hint="eastAsia"/>
                <w:color w:val="000000" w:themeColor="text1"/>
                <w:szCs w:val="21"/>
              </w:rPr>
              <w:t>南</w:t>
            </w:r>
          </w:p>
        </w:tc>
        <w:tc>
          <w:tcPr>
            <w:tcW w:w="1116" w:type="dxa"/>
            <w:vAlign w:val="center"/>
          </w:tcPr>
          <w:p>
            <w:pPr>
              <w:keepNext/>
              <w:adjustRightInd w:val="0"/>
              <w:snapToGrid w:val="0"/>
              <w:spacing w:line="500" w:lineRule="exact"/>
              <w:jc w:val="center"/>
              <w:rPr>
                <w:color w:val="000000" w:themeColor="text1"/>
                <w:szCs w:val="21"/>
              </w:rPr>
            </w:pPr>
            <w:r>
              <w:rPr>
                <w:rFonts w:hint="eastAsia"/>
                <w:color w:val="000000" w:themeColor="text1"/>
                <w:szCs w:val="21"/>
              </w:rPr>
              <w:t>公路</w:t>
            </w:r>
          </w:p>
        </w:tc>
        <w:tc>
          <w:tcPr>
            <w:tcW w:w="1090" w:type="dxa"/>
            <w:vAlign w:val="center"/>
          </w:tcPr>
          <w:p>
            <w:pPr>
              <w:keepNext/>
              <w:adjustRightInd w:val="0"/>
              <w:snapToGrid w:val="0"/>
              <w:spacing w:line="500" w:lineRule="exact"/>
              <w:jc w:val="center"/>
              <w:rPr>
                <w:color w:val="000000" w:themeColor="text1"/>
                <w:szCs w:val="21"/>
              </w:rPr>
            </w:pPr>
            <w:r>
              <w:rPr>
                <w:rFonts w:hint="eastAsia"/>
                <w:color w:val="000000" w:themeColor="text1"/>
                <w:szCs w:val="21"/>
              </w:rPr>
              <w:t>20</w:t>
            </w:r>
          </w:p>
        </w:tc>
        <w:tc>
          <w:tcPr>
            <w:tcW w:w="1083" w:type="dxa"/>
            <w:vAlign w:val="center"/>
          </w:tcPr>
          <w:p>
            <w:pPr>
              <w:keepNext/>
              <w:adjustRightInd w:val="0"/>
              <w:snapToGrid w:val="0"/>
              <w:spacing w:line="500" w:lineRule="exact"/>
              <w:jc w:val="center"/>
              <w:rPr>
                <w:b/>
                <w:bCs/>
                <w:color w:val="000000" w:themeColor="text1"/>
                <w:szCs w:val="21"/>
              </w:rPr>
            </w:pPr>
            <w:r>
              <w:rPr>
                <w:rFonts w:hint="eastAsia"/>
                <w:b/>
                <w:bCs/>
                <w:color w:val="000000" w:themeColor="text1"/>
                <w:szCs w:val="21"/>
              </w:rPr>
              <w:t>20</w:t>
            </w:r>
          </w:p>
        </w:tc>
        <w:tc>
          <w:tcPr>
            <w:tcW w:w="4607" w:type="dxa"/>
            <w:vAlign w:val="center"/>
          </w:tcPr>
          <w:p>
            <w:pPr>
              <w:keepNext/>
              <w:adjustRightInd w:val="0"/>
              <w:snapToGrid w:val="0"/>
              <w:jc w:val="center"/>
              <w:rPr>
                <w:color w:val="000000" w:themeColor="text1"/>
                <w:szCs w:val="21"/>
              </w:rPr>
            </w:pPr>
            <w:r>
              <w:rPr>
                <w:rFonts w:hint="eastAsia"/>
                <w:color w:val="000000" w:themeColor="text1"/>
                <w:szCs w:val="21"/>
              </w:rPr>
              <w:t>《建筑设计防火规范（2018年版）》（GB50016-2014）表4.2.9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blHeader/>
        </w:trPr>
        <w:tc>
          <w:tcPr>
            <w:tcW w:w="862" w:type="dxa"/>
            <w:vMerge w:val="restart"/>
            <w:vAlign w:val="center"/>
          </w:tcPr>
          <w:p>
            <w:pPr>
              <w:keepNext/>
              <w:adjustRightInd w:val="0"/>
              <w:snapToGrid w:val="0"/>
              <w:spacing w:line="500" w:lineRule="exact"/>
              <w:jc w:val="center"/>
              <w:rPr>
                <w:rFonts w:hint="eastAsia" w:ascii="Times New Roman" w:hAnsi="Times New Roman" w:eastAsia="宋体" w:cs="Times New Roman"/>
                <w:color w:val="000000" w:themeColor="text1"/>
                <w:kern w:val="2"/>
                <w:sz w:val="21"/>
                <w:szCs w:val="21"/>
                <w:lang w:val="en-US" w:eastAsia="zh-CN" w:bidi="ar-SA"/>
              </w:rPr>
            </w:pPr>
            <w:r>
              <w:rPr>
                <w:color w:val="000000" w:themeColor="text1"/>
                <w:szCs w:val="21"/>
              </w:rPr>
              <w:t>方位</w:t>
            </w:r>
          </w:p>
        </w:tc>
        <w:tc>
          <w:tcPr>
            <w:tcW w:w="1116" w:type="dxa"/>
            <w:vMerge w:val="restart"/>
            <w:vAlign w:val="center"/>
          </w:tcPr>
          <w:p>
            <w:pPr>
              <w:keepNext/>
              <w:adjustRightInd w:val="0"/>
              <w:snapToGrid w:val="0"/>
              <w:spacing w:line="500" w:lineRule="exact"/>
              <w:rPr>
                <w:rFonts w:hint="eastAsia" w:ascii="Times New Roman" w:hAnsi="Times New Roman" w:eastAsia="宋体" w:cs="Times New Roman"/>
                <w:color w:val="000000" w:themeColor="text1"/>
                <w:kern w:val="2"/>
                <w:sz w:val="21"/>
                <w:szCs w:val="21"/>
                <w:lang w:val="en-US" w:eastAsia="zh-CN" w:bidi="ar-SA"/>
              </w:rPr>
            </w:pPr>
            <w:r>
              <w:rPr>
                <w:color w:val="000000" w:themeColor="text1"/>
                <w:szCs w:val="21"/>
              </w:rPr>
              <w:t>周边环境</w:t>
            </w:r>
          </w:p>
        </w:tc>
        <w:tc>
          <w:tcPr>
            <w:tcW w:w="6780" w:type="dxa"/>
            <w:gridSpan w:val="3"/>
            <w:vAlign w:val="center"/>
          </w:tcPr>
          <w:p>
            <w:pPr>
              <w:keepNext/>
              <w:adjustRightInd w:val="0"/>
              <w:snapToGrid w:val="0"/>
              <w:spacing w:line="500" w:lineRule="exact"/>
              <w:jc w:val="center"/>
              <w:rPr>
                <w:rFonts w:hint="eastAsia"/>
                <w:color w:val="000000" w:themeColor="text1"/>
                <w:szCs w:val="21"/>
              </w:rPr>
            </w:pPr>
            <w:r>
              <w:rPr>
                <w:rFonts w:hint="eastAsia"/>
                <w:color w:val="000000" w:themeColor="text1"/>
                <w:szCs w:val="21"/>
                <w:lang w:val="en-US" w:eastAsia="zh-CN"/>
              </w:rPr>
              <w:t>加注机、</w:t>
            </w:r>
            <w:r>
              <w:rPr>
                <w:color w:val="000000" w:themeColor="text1"/>
                <w:szCs w:val="21"/>
              </w:rPr>
              <w:t>甲醇通气口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blHeader/>
        </w:trPr>
        <w:tc>
          <w:tcPr>
            <w:tcW w:w="862" w:type="dxa"/>
            <w:vMerge w:val="continue"/>
            <w:vAlign w:val="center"/>
          </w:tcPr>
          <w:p>
            <w:pPr>
              <w:keepNext/>
              <w:adjustRightInd w:val="0"/>
              <w:snapToGrid w:val="0"/>
              <w:spacing w:line="500" w:lineRule="exact"/>
              <w:jc w:val="center"/>
              <w:rPr>
                <w:rFonts w:hint="eastAsia"/>
                <w:color w:val="000000" w:themeColor="text1"/>
                <w:szCs w:val="21"/>
              </w:rPr>
            </w:pPr>
          </w:p>
        </w:tc>
        <w:tc>
          <w:tcPr>
            <w:tcW w:w="1116" w:type="dxa"/>
            <w:vMerge w:val="continue"/>
            <w:vAlign w:val="center"/>
          </w:tcPr>
          <w:p>
            <w:pPr>
              <w:keepNext/>
              <w:adjustRightInd w:val="0"/>
              <w:snapToGrid w:val="0"/>
              <w:spacing w:line="500" w:lineRule="exact"/>
              <w:jc w:val="center"/>
              <w:rPr>
                <w:rFonts w:hint="eastAsia"/>
                <w:color w:val="000000" w:themeColor="text1"/>
                <w:szCs w:val="21"/>
              </w:rPr>
            </w:pPr>
          </w:p>
        </w:tc>
        <w:tc>
          <w:tcPr>
            <w:tcW w:w="1090" w:type="dxa"/>
            <w:vAlign w:val="center"/>
          </w:tcPr>
          <w:p>
            <w:pPr>
              <w:keepNext/>
              <w:adjustRightInd w:val="0"/>
              <w:snapToGrid w:val="0"/>
              <w:spacing w:line="500" w:lineRule="exact"/>
              <w:jc w:val="center"/>
              <w:rPr>
                <w:rFonts w:hint="eastAsia"/>
                <w:color w:val="000000" w:themeColor="text1"/>
                <w:szCs w:val="21"/>
              </w:rPr>
            </w:pPr>
            <w:r>
              <w:rPr>
                <w:color w:val="000000" w:themeColor="text1"/>
                <w:szCs w:val="21"/>
              </w:rPr>
              <w:t>实测值</w:t>
            </w:r>
          </w:p>
        </w:tc>
        <w:tc>
          <w:tcPr>
            <w:tcW w:w="1083" w:type="dxa"/>
            <w:vAlign w:val="center"/>
          </w:tcPr>
          <w:p>
            <w:pPr>
              <w:keepNext/>
              <w:adjustRightInd w:val="0"/>
              <w:snapToGrid w:val="0"/>
              <w:spacing w:line="500" w:lineRule="exact"/>
              <w:jc w:val="center"/>
              <w:rPr>
                <w:rFonts w:hint="eastAsia"/>
                <w:b/>
                <w:bCs/>
                <w:color w:val="000000" w:themeColor="text1"/>
                <w:szCs w:val="21"/>
              </w:rPr>
            </w:pPr>
            <w:r>
              <w:rPr>
                <w:b/>
                <w:bCs/>
                <w:color w:val="000000" w:themeColor="text1"/>
                <w:szCs w:val="21"/>
              </w:rPr>
              <w:t>标准值</w:t>
            </w:r>
          </w:p>
        </w:tc>
        <w:tc>
          <w:tcPr>
            <w:tcW w:w="4607" w:type="dxa"/>
            <w:vAlign w:val="center"/>
          </w:tcPr>
          <w:p>
            <w:pPr>
              <w:keepNext/>
              <w:adjustRightInd w:val="0"/>
              <w:snapToGrid w:val="0"/>
              <w:spacing w:line="500" w:lineRule="exact"/>
              <w:jc w:val="center"/>
              <w:rPr>
                <w:rFonts w:hint="eastAsia"/>
                <w:color w:val="000000" w:themeColor="text1"/>
                <w:szCs w:val="21"/>
              </w:rPr>
            </w:pPr>
            <w:r>
              <w:rPr>
                <w:rFonts w:hint="eastAsia"/>
                <w:color w:val="000000" w:themeColor="text1"/>
                <w:szCs w:val="21"/>
              </w:rPr>
              <w:t>依据标准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blHeader/>
        </w:trPr>
        <w:tc>
          <w:tcPr>
            <w:tcW w:w="862" w:type="dxa"/>
            <w:vAlign w:val="center"/>
          </w:tcPr>
          <w:p>
            <w:pPr>
              <w:keepNext/>
              <w:adjustRightInd w:val="0"/>
              <w:snapToGrid w:val="0"/>
              <w:spacing w:line="500" w:lineRule="exact"/>
              <w:jc w:val="center"/>
              <w:rPr>
                <w:rFonts w:hint="eastAsia" w:ascii="Times New Roman" w:hAnsi="Times New Roman" w:eastAsia="宋体" w:cs="Times New Roman"/>
                <w:color w:val="000000" w:themeColor="text1"/>
                <w:kern w:val="2"/>
                <w:sz w:val="21"/>
                <w:szCs w:val="21"/>
                <w:lang w:val="en-US" w:eastAsia="zh-CN" w:bidi="ar-SA"/>
              </w:rPr>
            </w:pPr>
            <w:r>
              <w:rPr>
                <w:rFonts w:hint="eastAsia"/>
                <w:color w:val="000000" w:themeColor="text1"/>
                <w:szCs w:val="21"/>
              </w:rPr>
              <w:t>东南面</w:t>
            </w:r>
          </w:p>
        </w:tc>
        <w:tc>
          <w:tcPr>
            <w:tcW w:w="1116" w:type="dxa"/>
            <w:vAlign w:val="center"/>
          </w:tcPr>
          <w:p>
            <w:pPr>
              <w:keepNext/>
              <w:adjustRightInd w:val="0"/>
              <w:snapToGrid w:val="0"/>
              <w:spacing w:line="500" w:lineRule="exact"/>
              <w:jc w:val="center"/>
              <w:rPr>
                <w:rFonts w:hint="eastAsia" w:ascii="Times New Roman" w:hAnsi="Times New Roman" w:eastAsia="宋体" w:cs="Times New Roman"/>
                <w:color w:val="000000" w:themeColor="text1"/>
                <w:kern w:val="2"/>
                <w:sz w:val="21"/>
                <w:szCs w:val="21"/>
                <w:lang w:val="en-US" w:eastAsia="zh-CN" w:bidi="ar-SA"/>
              </w:rPr>
            </w:pPr>
            <w:r>
              <w:rPr>
                <w:color w:val="000000" w:themeColor="text1"/>
                <w:szCs w:val="21"/>
              </w:rPr>
              <w:t>民房</w:t>
            </w:r>
            <w:r>
              <w:rPr>
                <w:rFonts w:hint="eastAsia"/>
                <w:color w:val="000000" w:themeColor="text1"/>
                <w:szCs w:val="21"/>
              </w:rPr>
              <w:t>（三级）</w:t>
            </w:r>
          </w:p>
        </w:tc>
        <w:tc>
          <w:tcPr>
            <w:tcW w:w="1090" w:type="dxa"/>
            <w:vAlign w:val="center"/>
          </w:tcPr>
          <w:p>
            <w:pPr>
              <w:keepNext/>
              <w:adjustRightInd w:val="0"/>
              <w:snapToGrid w:val="0"/>
              <w:spacing w:line="500" w:lineRule="exact"/>
              <w:jc w:val="center"/>
              <w:rPr>
                <w:rFonts w:hint="default" w:eastAsia="宋体"/>
                <w:color w:val="000000" w:themeColor="text1"/>
                <w:szCs w:val="21"/>
                <w:lang w:val="en-US" w:eastAsia="zh-CN"/>
              </w:rPr>
            </w:pPr>
            <w:r>
              <w:rPr>
                <w:rFonts w:hint="eastAsia"/>
                <w:color w:val="000000" w:themeColor="text1"/>
                <w:szCs w:val="21"/>
                <w:lang w:val="en-US" w:eastAsia="zh-CN"/>
              </w:rPr>
              <w:t>11.7</w:t>
            </w:r>
          </w:p>
        </w:tc>
        <w:tc>
          <w:tcPr>
            <w:tcW w:w="1083" w:type="dxa"/>
            <w:vAlign w:val="center"/>
          </w:tcPr>
          <w:p>
            <w:pPr>
              <w:keepNext/>
              <w:adjustRightInd w:val="0"/>
              <w:snapToGrid w:val="0"/>
              <w:spacing w:line="500" w:lineRule="exact"/>
              <w:jc w:val="center"/>
              <w:rPr>
                <w:rFonts w:hint="eastAsia" w:eastAsia="宋体"/>
                <w:b/>
                <w:bCs/>
                <w:color w:val="000000" w:themeColor="text1"/>
                <w:szCs w:val="21"/>
                <w:lang w:val="en-US" w:eastAsia="zh-CN"/>
              </w:rPr>
            </w:pPr>
            <w:r>
              <w:rPr>
                <w:rFonts w:hint="eastAsia"/>
                <w:b/>
                <w:bCs/>
                <w:color w:val="000000" w:themeColor="text1"/>
                <w:szCs w:val="21"/>
                <w:lang w:val="en-US" w:eastAsia="zh-CN"/>
              </w:rPr>
              <w:t>7</w:t>
            </w:r>
          </w:p>
        </w:tc>
        <w:tc>
          <w:tcPr>
            <w:tcW w:w="4607" w:type="dxa"/>
            <w:vAlign w:val="center"/>
          </w:tcPr>
          <w:p>
            <w:pPr>
              <w:keepNext/>
              <w:adjustRightInd w:val="0"/>
              <w:snapToGrid w:val="0"/>
              <w:jc w:val="center"/>
              <w:rPr>
                <w:rFonts w:hint="default" w:eastAsia="宋体"/>
                <w:color w:val="000000" w:themeColor="text1"/>
                <w:szCs w:val="21"/>
                <w:lang w:val="en-US" w:eastAsia="zh-CN"/>
              </w:rPr>
            </w:pPr>
            <w:r>
              <w:rPr>
                <w:rFonts w:hint="eastAsia"/>
                <w:color w:val="000000" w:themeColor="text1"/>
                <w:szCs w:val="21"/>
              </w:rPr>
              <w:t>《汽车加油加气加氢站技术标准》（GB50156-2021）</w:t>
            </w:r>
            <w:r>
              <w:rPr>
                <w:rFonts w:hint="eastAsia"/>
                <w:color w:val="000000" w:themeColor="text1"/>
                <w:szCs w:val="21"/>
                <w:lang w:val="en-US" w:eastAsia="zh-CN"/>
              </w:rPr>
              <w:t>4.0.4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blHeader/>
        </w:trPr>
        <w:tc>
          <w:tcPr>
            <w:tcW w:w="862" w:type="dxa"/>
            <w:vAlign w:val="center"/>
          </w:tcPr>
          <w:p>
            <w:pPr>
              <w:keepNext/>
              <w:adjustRightInd w:val="0"/>
              <w:snapToGrid w:val="0"/>
              <w:spacing w:line="500" w:lineRule="exact"/>
              <w:jc w:val="center"/>
              <w:rPr>
                <w:rFonts w:hint="eastAsia" w:ascii="Times New Roman" w:hAnsi="Times New Roman" w:eastAsia="宋体" w:cs="Times New Roman"/>
                <w:color w:val="000000" w:themeColor="text1"/>
                <w:kern w:val="2"/>
                <w:sz w:val="21"/>
                <w:szCs w:val="21"/>
                <w:lang w:val="en-US" w:eastAsia="zh-CN" w:bidi="ar-SA"/>
              </w:rPr>
            </w:pPr>
            <w:r>
              <w:rPr>
                <w:rFonts w:hint="eastAsia"/>
                <w:color w:val="000000" w:themeColor="text1"/>
                <w:szCs w:val="21"/>
              </w:rPr>
              <w:t>西南面</w:t>
            </w:r>
          </w:p>
        </w:tc>
        <w:tc>
          <w:tcPr>
            <w:tcW w:w="1116" w:type="dxa"/>
            <w:vAlign w:val="center"/>
          </w:tcPr>
          <w:p>
            <w:pPr>
              <w:keepNext/>
              <w:adjustRightInd w:val="0"/>
              <w:snapToGrid w:val="0"/>
              <w:spacing w:line="500" w:lineRule="exact"/>
              <w:jc w:val="center"/>
              <w:rPr>
                <w:rFonts w:hint="eastAsia" w:ascii="Times New Roman" w:hAnsi="Times New Roman" w:eastAsia="宋体" w:cs="Times New Roman"/>
                <w:color w:val="000000" w:themeColor="text1"/>
                <w:kern w:val="2"/>
                <w:sz w:val="21"/>
                <w:szCs w:val="21"/>
                <w:lang w:val="en-US" w:eastAsia="zh-CN" w:bidi="ar-SA"/>
              </w:rPr>
            </w:pPr>
            <w:r>
              <w:rPr>
                <w:rFonts w:hint="eastAsia"/>
                <w:color w:val="000000" w:themeColor="text1"/>
                <w:szCs w:val="21"/>
              </w:rPr>
              <w:t>民房（三级）</w:t>
            </w:r>
          </w:p>
        </w:tc>
        <w:tc>
          <w:tcPr>
            <w:tcW w:w="1090" w:type="dxa"/>
            <w:vAlign w:val="center"/>
          </w:tcPr>
          <w:p>
            <w:pPr>
              <w:keepNext/>
              <w:adjustRightInd w:val="0"/>
              <w:snapToGrid w:val="0"/>
              <w:spacing w:line="500" w:lineRule="exact"/>
              <w:jc w:val="center"/>
              <w:rPr>
                <w:rFonts w:hint="default" w:eastAsia="宋体"/>
                <w:color w:val="000000" w:themeColor="text1"/>
                <w:szCs w:val="21"/>
                <w:lang w:val="en-US" w:eastAsia="zh-CN"/>
              </w:rPr>
            </w:pPr>
            <w:r>
              <w:rPr>
                <w:rFonts w:hint="eastAsia"/>
                <w:color w:val="000000" w:themeColor="text1"/>
                <w:szCs w:val="21"/>
                <w:lang w:val="en-US" w:eastAsia="zh-CN"/>
              </w:rPr>
              <w:t>32</w:t>
            </w:r>
          </w:p>
        </w:tc>
        <w:tc>
          <w:tcPr>
            <w:tcW w:w="1083" w:type="dxa"/>
            <w:vAlign w:val="center"/>
          </w:tcPr>
          <w:p>
            <w:pPr>
              <w:keepNext/>
              <w:adjustRightInd w:val="0"/>
              <w:snapToGrid w:val="0"/>
              <w:spacing w:line="500" w:lineRule="exact"/>
              <w:jc w:val="center"/>
              <w:rPr>
                <w:rFonts w:hint="eastAsia" w:eastAsia="宋体"/>
                <w:b/>
                <w:bCs/>
                <w:color w:val="000000" w:themeColor="text1"/>
                <w:szCs w:val="21"/>
                <w:lang w:val="en-US" w:eastAsia="zh-CN"/>
              </w:rPr>
            </w:pPr>
            <w:r>
              <w:rPr>
                <w:rFonts w:hint="eastAsia"/>
                <w:b/>
                <w:bCs/>
                <w:color w:val="000000" w:themeColor="text1"/>
                <w:szCs w:val="21"/>
                <w:lang w:val="en-US" w:eastAsia="zh-CN"/>
              </w:rPr>
              <w:t>7</w:t>
            </w:r>
          </w:p>
        </w:tc>
        <w:tc>
          <w:tcPr>
            <w:tcW w:w="4607" w:type="dxa"/>
            <w:vAlign w:val="center"/>
          </w:tcPr>
          <w:p>
            <w:pPr>
              <w:keepNext/>
              <w:adjustRightInd w:val="0"/>
              <w:snapToGrid w:val="0"/>
              <w:jc w:val="center"/>
              <w:rPr>
                <w:rFonts w:hint="eastAsia"/>
                <w:color w:val="000000" w:themeColor="text1"/>
                <w:szCs w:val="21"/>
              </w:rPr>
            </w:pPr>
            <w:r>
              <w:rPr>
                <w:rFonts w:hint="eastAsia"/>
                <w:color w:val="000000" w:themeColor="text1"/>
                <w:szCs w:val="21"/>
              </w:rPr>
              <w:t>《汽车加油加气加氢站技术标准》（GB50156-2021）</w:t>
            </w:r>
            <w:r>
              <w:rPr>
                <w:rFonts w:hint="eastAsia"/>
                <w:color w:val="000000" w:themeColor="text1"/>
                <w:szCs w:val="21"/>
                <w:lang w:val="en-US" w:eastAsia="zh-CN"/>
              </w:rPr>
              <w:t>4.0.4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blHeader/>
        </w:trPr>
        <w:tc>
          <w:tcPr>
            <w:tcW w:w="862" w:type="dxa"/>
            <w:vAlign w:val="center"/>
          </w:tcPr>
          <w:p>
            <w:pPr>
              <w:keepNext/>
              <w:adjustRightInd w:val="0"/>
              <w:snapToGrid w:val="0"/>
              <w:spacing w:line="500" w:lineRule="exact"/>
              <w:jc w:val="center"/>
              <w:rPr>
                <w:rFonts w:hint="eastAsia" w:ascii="Times New Roman" w:hAnsi="Times New Roman" w:eastAsia="宋体" w:cs="Times New Roman"/>
                <w:color w:val="000000" w:themeColor="text1"/>
                <w:kern w:val="2"/>
                <w:sz w:val="21"/>
                <w:szCs w:val="21"/>
                <w:lang w:val="en-US" w:eastAsia="zh-CN" w:bidi="ar-SA"/>
              </w:rPr>
            </w:pPr>
            <w:r>
              <w:rPr>
                <w:rFonts w:hint="eastAsia"/>
                <w:color w:val="000000" w:themeColor="text1"/>
                <w:szCs w:val="21"/>
              </w:rPr>
              <w:t>东面</w:t>
            </w:r>
          </w:p>
        </w:tc>
        <w:tc>
          <w:tcPr>
            <w:tcW w:w="1116" w:type="dxa"/>
            <w:vAlign w:val="center"/>
          </w:tcPr>
          <w:p>
            <w:pPr>
              <w:keepNext/>
              <w:adjustRightInd w:val="0"/>
              <w:snapToGrid w:val="0"/>
              <w:spacing w:line="500" w:lineRule="exact"/>
              <w:jc w:val="center"/>
              <w:rPr>
                <w:rFonts w:hint="eastAsia" w:ascii="Times New Roman" w:hAnsi="Times New Roman" w:eastAsia="宋体" w:cs="Times New Roman"/>
                <w:color w:val="000000" w:themeColor="text1"/>
                <w:kern w:val="2"/>
                <w:sz w:val="21"/>
                <w:szCs w:val="21"/>
                <w:lang w:val="en-US" w:eastAsia="zh-CN" w:bidi="ar-SA"/>
              </w:rPr>
            </w:pPr>
            <w:r>
              <w:rPr>
                <w:rFonts w:hint="eastAsia"/>
                <w:color w:val="000000" w:themeColor="text1"/>
                <w:szCs w:val="21"/>
              </w:rPr>
              <w:t>民房</w:t>
            </w:r>
          </w:p>
        </w:tc>
        <w:tc>
          <w:tcPr>
            <w:tcW w:w="1090" w:type="dxa"/>
            <w:vAlign w:val="center"/>
          </w:tcPr>
          <w:p>
            <w:pPr>
              <w:keepNext/>
              <w:adjustRightInd w:val="0"/>
              <w:snapToGrid w:val="0"/>
              <w:spacing w:line="500" w:lineRule="exact"/>
              <w:jc w:val="center"/>
              <w:rPr>
                <w:rFonts w:hint="default" w:eastAsia="宋体"/>
                <w:color w:val="000000" w:themeColor="text1"/>
                <w:szCs w:val="21"/>
                <w:lang w:val="en-US" w:eastAsia="zh-CN"/>
              </w:rPr>
            </w:pPr>
            <w:r>
              <w:rPr>
                <w:rFonts w:hint="eastAsia"/>
                <w:color w:val="000000" w:themeColor="text1"/>
                <w:szCs w:val="21"/>
                <w:lang w:val="en-US" w:eastAsia="zh-CN"/>
              </w:rPr>
              <w:t>1.7</w:t>
            </w:r>
          </w:p>
        </w:tc>
        <w:tc>
          <w:tcPr>
            <w:tcW w:w="1083" w:type="dxa"/>
            <w:vAlign w:val="center"/>
          </w:tcPr>
          <w:p>
            <w:pPr>
              <w:keepNext/>
              <w:adjustRightInd w:val="0"/>
              <w:snapToGrid w:val="0"/>
              <w:spacing w:line="500" w:lineRule="exact"/>
              <w:jc w:val="center"/>
              <w:rPr>
                <w:rFonts w:hint="eastAsia" w:eastAsia="宋体"/>
                <w:b/>
                <w:bCs/>
                <w:color w:val="000000" w:themeColor="text1"/>
                <w:szCs w:val="21"/>
                <w:lang w:val="en-US" w:eastAsia="zh-CN"/>
              </w:rPr>
            </w:pPr>
            <w:r>
              <w:rPr>
                <w:rFonts w:hint="eastAsia"/>
                <w:b/>
                <w:bCs/>
                <w:color w:val="000000" w:themeColor="text1"/>
                <w:szCs w:val="21"/>
                <w:lang w:val="en-US" w:eastAsia="zh-CN"/>
              </w:rPr>
              <w:t>7</w:t>
            </w:r>
          </w:p>
        </w:tc>
        <w:tc>
          <w:tcPr>
            <w:tcW w:w="4607" w:type="dxa"/>
            <w:vAlign w:val="center"/>
          </w:tcPr>
          <w:p>
            <w:pPr>
              <w:keepNext/>
              <w:adjustRightInd w:val="0"/>
              <w:snapToGrid w:val="0"/>
              <w:jc w:val="center"/>
              <w:rPr>
                <w:rFonts w:hint="eastAsia"/>
                <w:color w:val="000000" w:themeColor="text1"/>
                <w:szCs w:val="21"/>
              </w:rPr>
            </w:pPr>
            <w:r>
              <w:rPr>
                <w:rFonts w:hint="eastAsia"/>
                <w:color w:val="000000" w:themeColor="text1"/>
                <w:szCs w:val="21"/>
              </w:rPr>
              <w:t>《汽车加油加气加氢站技术标准》（GB50156-2021）</w:t>
            </w:r>
            <w:r>
              <w:rPr>
                <w:rFonts w:hint="eastAsia"/>
                <w:color w:val="000000" w:themeColor="text1"/>
                <w:szCs w:val="21"/>
                <w:lang w:val="en-US" w:eastAsia="zh-CN"/>
              </w:rPr>
              <w:t>4.0.4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blHeader/>
        </w:trPr>
        <w:tc>
          <w:tcPr>
            <w:tcW w:w="862" w:type="dxa"/>
            <w:vAlign w:val="center"/>
          </w:tcPr>
          <w:p>
            <w:pPr>
              <w:keepNext/>
              <w:adjustRightInd w:val="0"/>
              <w:snapToGrid w:val="0"/>
              <w:spacing w:line="500" w:lineRule="exact"/>
              <w:jc w:val="center"/>
              <w:rPr>
                <w:rFonts w:hint="eastAsia" w:ascii="Times New Roman" w:hAnsi="Times New Roman" w:eastAsia="宋体" w:cs="Times New Roman"/>
                <w:color w:val="000000" w:themeColor="text1"/>
                <w:kern w:val="2"/>
                <w:sz w:val="21"/>
                <w:szCs w:val="21"/>
                <w:lang w:val="en-US" w:eastAsia="zh-CN" w:bidi="ar-SA"/>
              </w:rPr>
            </w:pPr>
            <w:r>
              <w:rPr>
                <w:rFonts w:hint="eastAsia"/>
                <w:color w:val="000000" w:themeColor="text1"/>
                <w:szCs w:val="21"/>
              </w:rPr>
              <w:t>南</w:t>
            </w:r>
          </w:p>
        </w:tc>
        <w:tc>
          <w:tcPr>
            <w:tcW w:w="1116" w:type="dxa"/>
            <w:vAlign w:val="center"/>
          </w:tcPr>
          <w:p>
            <w:pPr>
              <w:keepNext/>
              <w:adjustRightInd w:val="0"/>
              <w:snapToGrid w:val="0"/>
              <w:spacing w:line="500" w:lineRule="exact"/>
              <w:jc w:val="center"/>
              <w:rPr>
                <w:rFonts w:hint="eastAsia" w:ascii="Times New Roman" w:hAnsi="Times New Roman" w:eastAsia="宋体" w:cs="Times New Roman"/>
                <w:color w:val="000000" w:themeColor="text1"/>
                <w:kern w:val="2"/>
                <w:sz w:val="21"/>
                <w:szCs w:val="21"/>
                <w:lang w:val="en-US" w:eastAsia="zh-CN" w:bidi="ar-SA"/>
              </w:rPr>
            </w:pPr>
            <w:r>
              <w:rPr>
                <w:rFonts w:hint="eastAsia"/>
                <w:color w:val="000000" w:themeColor="text1"/>
                <w:szCs w:val="21"/>
              </w:rPr>
              <w:t>公路</w:t>
            </w:r>
          </w:p>
        </w:tc>
        <w:tc>
          <w:tcPr>
            <w:tcW w:w="1090" w:type="dxa"/>
            <w:vAlign w:val="center"/>
          </w:tcPr>
          <w:p>
            <w:pPr>
              <w:keepNext/>
              <w:adjustRightInd w:val="0"/>
              <w:snapToGrid w:val="0"/>
              <w:spacing w:line="500" w:lineRule="exact"/>
              <w:jc w:val="center"/>
              <w:rPr>
                <w:rFonts w:hint="default" w:eastAsia="宋体"/>
                <w:color w:val="000000" w:themeColor="text1"/>
                <w:szCs w:val="21"/>
                <w:lang w:val="en-US" w:eastAsia="zh-CN"/>
              </w:rPr>
            </w:pPr>
            <w:r>
              <w:rPr>
                <w:rFonts w:hint="eastAsia"/>
                <w:color w:val="000000" w:themeColor="text1"/>
                <w:szCs w:val="21"/>
                <w:lang w:val="en-US" w:eastAsia="zh-CN"/>
              </w:rPr>
              <w:t>24.2</w:t>
            </w:r>
          </w:p>
        </w:tc>
        <w:tc>
          <w:tcPr>
            <w:tcW w:w="1083" w:type="dxa"/>
            <w:vAlign w:val="center"/>
          </w:tcPr>
          <w:p>
            <w:pPr>
              <w:keepNext/>
              <w:adjustRightInd w:val="0"/>
              <w:snapToGrid w:val="0"/>
              <w:spacing w:line="500" w:lineRule="exact"/>
              <w:jc w:val="center"/>
              <w:rPr>
                <w:rFonts w:hint="default" w:eastAsia="宋体"/>
                <w:b/>
                <w:bCs/>
                <w:color w:val="000000" w:themeColor="text1"/>
                <w:szCs w:val="21"/>
                <w:lang w:val="en-US" w:eastAsia="zh-CN"/>
              </w:rPr>
            </w:pPr>
            <w:r>
              <w:rPr>
                <w:rFonts w:hint="eastAsia"/>
                <w:b/>
                <w:bCs/>
                <w:color w:val="000000" w:themeColor="text1"/>
                <w:szCs w:val="21"/>
                <w:lang w:val="en-US" w:eastAsia="zh-CN"/>
              </w:rPr>
              <w:t>5</w:t>
            </w:r>
          </w:p>
        </w:tc>
        <w:tc>
          <w:tcPr>
            <w:tcW w:w="4607" w:type="dxa"/>
            <w:vAlign w:val="center"/>
          </w:tcPr>
          <w:p>
            <w:pPr>
              <w:keepNext/>
              <w:adjustRightInd w:val="0"/>
              <w:snapToGrid w:val="0"/>
              <w:jc w:val="center"/>
              <w:rPr>
                <w:rFonts w:hint="eastAsia"/>
                <w:color w:val="000000" w:themeColor="text1"/>
                <w:szCs w:val="21"/>
              </w:rPr>
            </w:pPr>
            <w:r>
              <w:rPr>
                <w:rFonts w:hint="eastAsia"/>
                <w:color w:val="000000" w:themeColor="text1"/>
                <w:szCs w:val="21"/>
              </w:rPr>
              <w:t>《汽车加油加气加氢站技术标准》（GB50156-2021）</w:t>
            </w:r>
            <w:r>
              <w:rPr>
                <w:rFonts w:hint="eastAsia"/>
                <w:color w:val="000000" w:themeColor="text1"/>
                <w:szCs w:val="21"/>
                <w:lang w:val="en-US" w:eastAsia="zh-CN"/>
              </w:rPr>
              <w:t>4.0.4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blHeader/>
        </w:trPr>
        <w:tc>
          <w:tcPr>
            <w:tcW w:w="862" w:type="dxa"/>
            <w:vAlign w:val="center"/>
          </w:tcPr>
          <w:p>
            <w:pPr>
              <w:keepNext/>
              <w:adjustRightInd w:val="0"/>
              <w:snapToGrid w:val="0"/>
              <w:spacing w:line="500" w:lineRule="exact"/>
              <w:jc w:val="center"/>
              <w:rPr>
                <w:rFonts w:hint="eastAsia"/>
                <w:color w:val="000000" w:themeColor="text1"/>
                <w:szCs w:val="21"/>
              </w:rPr>
            </w:pPr>
            <w:r>
              <w:rPr>
                <w:color w:val="000000" w:themeColor="text1"/>
                <w:szCs w:val="21"/>
              </w:rPr>
              <w:t>备注</w:t>
            </w:r>
          </w:p>
        </w:tc>
        <w:tc>
          <w:tcPr>
            <w:tcW w:w="7896" w:type="dxa"/>
            <w:gridSpan w:val="4"/>
            <w:vAlign w:val="center"/>
          </w:tcPr>
          <w:p>
            <w:pPr>
              <w:keepNext/>
              <w:adjustRightInd w:val="0"/>
              <w:snapToGrid w:val="0"/>
              <w:jc w:val="center"/>
              <w:rPr>
                <w:rFonts w:hint="eastAsia"/>
                <w:color w:val="000000" w:themeColor="text1"/>
                <w:szCs w:val="21"/>
              </w:rPr>
            </w:pPr>
            <w:r>
              <w:rPr>
                <w:rFonts w:hint="eastAsia" w:ascii="Times New Roman" w:hAnsi="Times New Roman"/>
                <w:color w:val="000000" w:themeColor="text1"/>
                <w:kern w:val="2"/>
                <w:sz w:val="21"/>
                <w:szCs w:val="21"/>
              </w:rPr>
              <w:t>间距起算点：通气管——中心线；储罐——罐外壁；建筑物——最凸出外缘；表中加粗的部分为标准值。</w:t>
            </w:r>
          </w:p>
        </w:tc>
      </w:tr>
    </w:tbl>
    <w:p>
      <w:pPr>
        <w:rPr>
          <w:rFonts w:eastAsiaTheme="minorEastAsia"/>
          <w:snapToGrid w:val="0"/>
          <w:color w:val="000000" w:themeColor="text1"/>
          <w:kern w:val="0"/>
          <w:sz w:val="28"/>
          <w:szCs w:val="28"/>
        </w:rPr>
      </w:pPr>
      <w:r>
        <w:rPr>
          <w:rFonts w:eastAsiaTheme="minorEastAsia"/>
          <w:snapToGrid w:val="0"/>
          <w:color w:val="000000" w:themeColor="text1"/>
          <w:kern w:val="0"/>
          <w:sz w:val="28"/>
          <w:szCs w:val="28"/>
        </w:rPr>
        <w:br w:type="page"/>
      </w:r>
    </w:p>
    <w:p>
      <w:pPr>
        <w:spacing w:line="500" w:lineRule="exact"/>
        <w:ind w:firstLine="560" w:firstLineChars="200"/>
        <w:rPr>
          <w:rFonts w:eastAsiaTheme="minorEastAsia"/>
          <w:snapToGrid w:val="0"/>
          <w:color w:val="000000" w:themeColor="text1"/>
          <w:kern w:val="0"/>
          <w:sz w:val="28"/>
          <w:szCs w:val="28"/>
        </w:rPr>
      </w:pPr>
      <w:r>
        <w:rPr>
          <w:rFonts w:eastAsiaTheme="minorEastAsia"/>
          <w:snapToGrid w:val="0"/>
          <w:color w:val="000000" w:themeColor="text1"/>
          <w:kern w:val="0"/>
          <w:sz w:val="28"/>
          <w:szCs w:val="28"/>
        </w:rPr>
        <w:t>由上表检查结果可知，该项目甲醇储存、装卸设施与其厂外周边环境的防火间距符合</w:t>
      </w:r>
      <w:r>
        <w:rPr>
          <w:rFonts w:eastAsiaTheme="minorEastAsia"/>
          <w:snapToGrid w:val="0"/>
          <w:color w:val="000000" w:themeColor="text1"/>
          <w:kern w:val="0"/>
          <w:sz w:val="28"/>
          <w:szCs w:val="28"/>
          <w:lang w:val="zh-CN"/>
        </w:rPr>
        <w:t>《建筑设计防火规范（2018年版）》（GB50016-2014）</w:t>
      </w:r>
      <w:r>
        <w:rPr>
          <w:rFonts w:hint="eastAsia" w:eastAsiaTheme="minorEastAsia"/>
          <w:snapToGrid w:val="0"/>
          <w:color w:val="000000" w:themeColor="text1"/>
          <w:kern w:val="0"/>
          <w:sz w:val="28"/>
          <w:szCs w:val="28"/>
        </w:rPr>
        <w:t>、</w:t>
      </w:r>
      <w:r>
        <w:rPr>
          <w:rFonts w:eastAsiaTheme="minorEastAsia"/>
          <w:snapToGrid w:val="0"/>
          <w:color w:val="000000" w:themeColor="text1"/>
          <w:kern w:val="0"/>
          <w:sz w:val="28"/>
          <w:szCs w:val="28"/>
        </w:rPr>
        <w:t>《汽车加油加气加氢站技术标准》（GB50156-2021）的要求。</w:t>
      </w:r>
    </w:p>
    <w:p>
      <w:pPr>
        <w:spacing w:line="500" w:lineRule="exact"/>
        <w:ind w:firstLine="562" w:firstLineChars="200"/>
        <w:rPr>
          <w:rFonts w:eastAsiaTheme="minorEastAsia"/>
          <w:b/>
          <w:snapToGrid w:val="0"/>
          <w:color w:val="000000" w:themeColor="text1"/>
          <w:kern w:val="0"/>
          <w:sz w:val="28"/>
          <w:szCs w:val="28"/>
        </w:rPr>
      </w:pPr>
      <w:bookmarkStart w:id="1712" w:name="_Toc31065"/>
      <w:r>
        <w:rPr>
          <w:rFonts w:eastAsiaTheme="minorEastAsia"/>
          <w:b/>
          <w:snapToGrid w:val="0"/>
          <w:color w:val="000000" w:themeColor="text1"/>
          <w:kern w:val="0"/>
          <w:sz w:val="28"/>
          <w:szCs w:val="28"/>
        </w:rPr>
        <w:t>3</w:t>
      </w:r>
      <w:r>
        <w:rPr>
          <w:rFonts w:hint="eastAsia" w:eastAsiaTheme="minorEastAsia"/>
          <w:b/>
          <w:snapToGrid w:val="0"/>
          <w:color w:val="000000" w:themeColor="text1"/>
          <w:kern w:val="0"/>
          <w:sz w:val="28"/>
          <w:szCs w:val="28"/>
        </w:rPr>
        <w:t>.</w:t>
      </w:r>
      <w:r>
        <w:rPr>
          <w:rFonts w:eastAsiaTheme="minorEastAsia"/>
          <w:b/>
          <w:snapToGrid w:val="0"/>
          <w:color w:val="000000" w:themeColor="text1"/>
          <w:kern w:val="0"/>
          <w:sz w:val="28"/>
          <w:szCs w:val="28"/>
        </w:rPr>
        <w:t>外部防护距离分析评价</w:t>
      </w:r>
      <w:bookmarkEnd w:id="1712"/>
    </w:p>
    <w:p>
      <w:pPr>
        <w:tabs>
          <w:tab w:val="left" w:pos="980"/>
        </w:tabs>
        <w:autoSpaceDE w:val="0"/>
        <w:autoSpaceDN w:val="0"/>
        <w:adjustRightInd w:val="0"/>
        <w:spacing w:line="500" w:lineRule="exact"/>
        <w:ind w:firstLine="560" w:firstLineChars="200"/>
        <w:rPr>
          <w:color w:val="000000" w:themeColor="text1"/>
          <w:kern w:val="0"/>
          <w:sz w:val="28"/>
          <w:szCs w:val="28"/>
        </w:rPr>
      </w:pPr>
      <w:r>
        <w:rPr>
          <w:color w:val="000000" w:themeColor="text1"/>
          <w:kern w:val="0"/>
          <w:sz w:val="28"/>
          <w:szCs w:val="28"/>
        </w:rPr>
        <w:t>根据《危险化学品生产装置和储存设施外部安全防护距离确定方法》（GB</w:t>
      </w:r>
      <w:r>
        <w:rPr>
          <w:rFonts w:hint="eastAsia"/>
          <w:color w:val="000000" w:themeColor="text1"/>
          <w:kern w:val="0"/>
          <w:sz w:val="28"/>
          <w:szCs w:val="28"/>
        </w:rPr>
        <w:t>/</w:t>
      </w:r>
      <w:r>
        <w:rPr>
          <w:color w:val="000000" w:themeColor="text1"/>
          <w:kern w:val="0"/>
          <w:sz w:val="28"/>
          <w:szCs w:val="28"/>
        </w:rPr>
        <w:t>T 37243-2019）的规定，确定该项目外部安全防护距离流程如下图所示：</w:t>
      </w:r>
    </w:p>
    <w:p>
      <w:pPr>
        <w:jc w:val="center"/>
        <w:rPr>
          <w:color w:val="000000" w:themeColor="text1"/>
        </w:rPr>
      </w:pPr>
      <w:r>
        <w:rPr>
          <w:color w:val="000000" w:themeColor="text1"/>
        </w:rPr>
        <w:drawing>
          <wp:inline distT="0" distB="0" distL="0" distR="0">
            <wp:extent cx="5061585" cy="3823970"/>
            <wp:effectExtent l="0" t="0" r="5715" b="5080"/>
            <wp:docPr id="131" name="图片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图片 13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5061585" cy="3823970"/>
                    </a:xfrm>
                    <a:prstGeom prst="rect">
                      <a:avLst/>
                    </a:prstGeom>
                    <a:noFill/>
                    <a:ln>
                      <a:noFill/>
                    </a:ln>
                  </pic:spPr>
                </pic:pic>
              </a:graphicData>
            </a:graphic>
          </wp:inline>
        </w:drawing>
      </w:r>
    </w:p>
    <w:p>
      <w:pPr>
        <w:spacing w:line="500" w:lineRule="exact"/>
        <w:ind w:firstLine="480" w:firstLineChars="200"/>
        <w:jc w:val="center"/>
        <w:rPr>
          <w:color w:val="000000" w:themeColor="text1"/>
          <w:sz w:val="24"/>
        </w:rPr>
      </w:pPr>
      <w:r>
        <w:rPr>
          <w:color w:val="000000" w:themeColor="text1"/>
          <w:sz w:val="24"/>
        </w:rPr>
        <w:t>图5-1外部防护距离确定流程图</w:t>
      </w:r>
    </w:p>
    <w:p>
      <w:pPr>
        <w:spacing w:line="500" w:lineRule="exact"/>
        <w:ind w:firstLine="560" w:firstLineChars="200"/>
        <w:rPr>
          <w:rFonts w:ascii="宋体" w:hAnsi="宋体" w:cs="宋体"/>
          <w:b/>
          <w:color w:val="000000" w:themeColor="text1"/>
          <w:kern w:val="0"/>
          <w:sz w:val="28"/>
          <w:szCs w:val="28"/>
        </w:rPr>
      </w:pPr>
      <w:bookmarkStart w:id="1713" w:name="_Toc32199"/>
      <w:bookmarkStart w:id="1714" w:name="_Toc16243"/>
      <w:bookmarkStart w:id="1715" w:name="_Toc21795"/>
      <w:bookmarkStart w:id="1716" w:name="_Toc16349"/>
      <w:bookmarkStart w:id="1717" w:name="_Toc18836"/>
      <w:bookmarkStart w:id="1718" w:name="_Toc22910"/>
      <w:bookmarkStart w:id="1719" w:name="_Toc6295"/>
      <w:bookmarkStart w:id="1720" w:name="_Toc605"/>
      <w:bookmarkStart w:id="1721" w:name="_Toc4873"/>
      <w:bookmarkStart w:id="1722" w:name="_Toc31239"/>
      <w:r>
        <w:rPr>
          <w:rFonts w:hint="eastAsia" w:ascii="宋体" w:hAnsi="宋体" w:cs="宋体"/>
          <w:color w:val="000000" w:themeColor="text1"/>
          <w:kern w:val="0"/>
          <w:sz w:val="28"/>
          <w:szCs w:val="28"/>
        </w:rPr>
        <w:t>由上述外部安全防护距离确定流程和方法，因该项目甲醇属于《危险化学品目录》中规定的危险化学品，未构成危险化学品重大危险源，所以其外部安全防护距离按相应标准、规范的防火间距要求确定，即该项目的外部安全防护距离按</w:t>
      </w:r>
      <w:r>
        <w:rPr>
          <w:rFonts w:hint="eastAsia" w:ascii="宋体" w:hAnsi="宋体" w:cs="宋体"/>
          <w:color w:val="000000" w:themeColor="text1"/>
          <w:sz w:val="28"/>
          <w:szCs w:val="28"/>
        </w:rPr>
        <w:t>《工业企业总平面设计规范》（GB50187-2012）、《建筑防火设计规范（2018）》（GB50016-2014）、</w:t>
      </w:r>
      <w:r>
        <w:rPr>
          <w:rFonts w:hint="eastAsia" w:ascii="宋体" w:hAnsi="宋体" w:cs="宋体"/>
          <w:snapToGrid w:val="0"/>
          <w:color w:val="000000" w:themeColor="text1"/>
          <w:kern w:val="0"/>
          <w:sz w:val="28"/>
          <w:szCs w:val="28"/>
        </w:rPr>
        <w:t>《汽车加油加气加氢站技术标准》（GB50156-2021）</w:t>
      </w:r>
      <w:r>
        <w:rPr>
          <w:rFonts w:hint="eastAsia" w:ascii="宋体" w:hAnsi="宋体" w:cs="宋体"/>
          <w:color w:val="000000" w:themeColor="text1"/>
          <w:kern w:val="0"/>
          <w:sz w:val="28"/>
          <w:szCs w:val="28"/>
        </w:rPr>
        <w:t>等标准、规范的要求确定。</w:t>
      </w:r>
    </w:p>
    <w:p>
      <w:pPr>
        <w:spacing w:line="500" w:lineRule="exact"/>
        <w:ind w:firstLine="560" w:firstLineChars="200"/>
        <w:rPr>
          <w:rFonts w:ascii="宋体" w:hAnsi="宋体" w:cs="宋体"/>
          <w:snapToGrid w:val="0"/>
          <w:color w:val="000000" w:themeColor="text1"/>
          <w:kern w:val="0"/>
          <w:sz w:val="28"/>
          <w:szCs w:val="28"/>
        </w:rPr>
      </w:pPr>
      <w:r>
        <w:rPr>
          <w:rFonts w:hint="eastAsia" w:ascii="宋体" w:hAnsi="宋体" w:cs="宋体"/>
          <w:color w:val="000000" w:themeColor="text1"/>
          <w:kern w:val="0"/>
          <w:sz w:val="28"/>
          <w:szCs w:val="28"/>
        </w:rPr>
        <w:t>根据本章5.3.1节第2条表5-4的检查结果可知，</w:t>
      </w:r>
      <w:r>
        <w:rPr>
          <w:rFonts w:hint="eastAsia" w:ascii="宋体" w:hAnsi="宋体" w:cs="宋体"/>
          <w:color w:val="000000" w:themeColor="text1"/>
          <w:sz w:val="28"/>
          <w:szCs w:val="28"/>
        </w:rPr>
        <w:t>该项目与周边建（构）筑</w:t>
      </w:r>
      <w:r>
        <w:rPr>
          <w:rFonts w:hint="eastAsia" w:ascii="宋体" w:hAnsi="宋体" w:cs="宋体"/>
          <w:bCs/>
          <w:color w:val="000000" w:themeColor="text1"/>
          <w:sz w:val="28"/>
          <w:szCs w:val="28"/>
        </w:rPr>
        <w:t>物的</w:t>
      </w:r>
      <w:r>
        <w:rPr>
          <w:rFonts w:hint="eastAsia" w:ascii="宋体" w:hAnsi="宋体" w:cs="宋体"/>
          <w:snapToGrid w:val="0"/>
          <w:color w:val="000000" w:themeColor="text1"/>
          <w:kern w:val="0"/>
          <w:sz w:val="28"/>
          <w:szCs w:val="28"/>
        </w:rPr>
        <w:t>防火间距符合《建筑设计防火规范（2018年版）》（GB50016-2014）、《汽车加油加气加氢站技术标准》（GB50156-2021）等标准、规范的要求，即</w:t>
      </w:r>
      <w:r>
        <w:rPr>
          <w:rFonts w:hint="eastAsia" w:ascii="宋体" w:hAnsi="宋体" w:cs="宋体"/>
          <w:color w:val="000000" w:themeColor="text1"/>
          <w:kern w:val="0"/>
          <w:sz w:val="28"/>
          <w:szCs w:val="28"/>
        </w:rPr>
        <w:t>该项目的外部安全防护距离符合要求</w:t>
      </w:r>
      <w:r>
        <w:rPr>
          <w:rFonts w:hint="eastAsia" w:ascii="宋体" w:hAnsi="宋体" w:cs="宋体"/>
          <w:bCs/>
          <w:color w:val="000000" w:themeColor="text1"/>
          <w:sz w:val="28"/>
          <w:szCs w:val="28"/>
        </w:rPr>
        <w:t>。</w:t>
      </w:r>
    </w:p>
    <w:p>
      <w:pPr>
        <w:pStyle w:val="19"/>
        <w:spacing w:afterLines="100" w:line="500" w:lineRule="exact"/>
        <w:rPr>
          <w:rFonts w:ascii="黑体" w:hAnsi="宋体" w:eastAsia="黑体"/>
          <w:color w:val="000000" w:themeColor="text1"/>
          <w:kern w:val="3"/>
          <w:sz w:val="28"/>
          <w:szCs w:val="28"/>
        </w:rPr>
      </w:pPr>
      <w:r>
        <w:rPr>
          <w:rFonts w:hint="eastAsia" w:ascii="黑体" w:hAnsi="宋体" w:eastAsia="黑体"/>
          <w:color w:val="000000" w:themeColor="text1"/>
          <w:kern w:val="3"/>
          <w:sz w:val="28"/>
          <w:szCs w:val="28"/>
        </w:rPr>
        <w:t>5.3.2总平面布置安全评价子单元</w:t>
      </w:r>
      <w:bookmarkEnd w:id="1713"/>
      <w:bookmarkEnd w:id="1714"/>
      <w:bookmarkEnd w:id="1715"/>
      <w:bookmarkEnd w:id="1716"/>
      <w:bookmarkEnd w:id="1717"/>
      <w:bookmarkEnd w:id="1718"/>
      <w:bookmarkEnd w:id="1719"/>
      <w:bookmarkEnd w:id="1720"/>
      <w:bookmarkEnd w:id="1721"/>
      <w:bookmarkEnd w:id="1722"/>
    </w:p>
    <w:p>
      <w:pPr>
        <w:spacing w:line="500" w:lineRule="exact"/>
        <w:ind w:firstLine="562" w:firstLineChars="200"/>
        <w:rPr>
          <w:rFonts w:eastAsiaTheme="minorEastAsia"/>
          <w:b/>
          <w:snapToGrid w:val="0"/>
          <w:color w:val="000000" w:themeColor="text1"/>
          <w:kern w:val="0"/>
          <w:sz w:val="28"/>
          <w:szCs w:val="28"/>
        </w:rPr>
      </w:pPr>
      <w:bookmarkStart w:id="1723" w:name="_Toc4930"/>
      <w:bookmarkStart w:id="1724" w:name="_Toc2778"/>
      <w:r>
        <w:rPr>
          <w:rFonts w:eastAsiaTheme="minorEastAsia"/>
          <w:b/>
          <w:snapToGrid w:val="0"/>
          <w:color w:val="000000" w:themeColor="text1"/>
          <w:kern w:val="0"/>
          <w:sz w:val="28"/>
          <w:szCs w:val="28"/>
        </w:rPr>
        <w:t>1</w:t>
      </w:r>
      <w:r>
        <w:rPr>
          <w:rFonts w:hint="eastAsia" w:eastAsiaTheme="minorEastAsia"/>
          <w:b/>
          <w:snapToGrid w:val="0"/>
          <w:color w:val="000000" w:themeColor="text1"/>
          <w:kern w:val="0"/>
          <w:sz w:val="28"/>
          <w:szCs w:val="28"/>
        </w:rPr>
        <w:t>.</w:t>
      </w:r>
      <w:r>
        <w:rPr>
          <w:rFonts w:eastAsiaTheme="minorEastAsia"/>
          <w:b/>
          <w:snapToGrid w:val="0"/>
          <w:color w:val="000000" w:themeColor="text1"/>
          <w:kern w:val="0"/>
          <w:sz w:val="28"/>
          <w:szCs w:val="28"/>
        </w:rPr>
        <w:t>总平面布置安全检查表</w:t>
      </w:r>
      <w:bookmarkEnd w:id="1723"/>
    </w:p>
    <w:p>
      <w:pPr>
        <w:adjustRightInd w:val="0"/>
        <w:snapToGrid w:val="0"/>
        <w:spacing w:line="500" w:lineRule="exact"/>
        <w:ind w:firstLine="840" w:firstLineChars="300"/>
        <w:rPr>
          <w:rFonts w:eastAsiaTheme="minorEastAsia"/>
          <w:color w:val="000000" w:themeColor="text1"/>
          <w:sz w:val="28"/>
          <w:szCs w:val="20"/>
        </w:rPr>
      </w:pPr>
      <w:r>
        <w:rPr>
          <w:rFonts w:eastAsiaTheme="minorEastAsia"/>
          <w:color w:val="000000" w:themeColor="text1"/>
          <w:kern w:val="0"/>
          <w:sz w:val="28"/>
          <w:szCs w:val="28"/>
        </w:rPr>
        <w:t>根据</w:t>
      </w:r>
      <w:r>
        <w:rPr>
          <w:rFonts w:eastAsiaTheme="minorEastAsia"/>
          <w:color w:val="000000" w:themeColor="text1"/>
          <w:sz w:val="28"/>
          <w:szCs w:val="28"/>
        </w:rPr>
        <w:t>《工业企业总平面设计规范》（GB50187-2012）、</w:t>
      </w:r>
      <w:r>
        <w:rPr>
          <w:rFonts w:eastAsiaTheme="minorEastAsia"/>
          <w:snapToGrid w:val="0"/>
          <w:color w:val="000000" w:themeColor="text1"/>
          <w:kern w:val="0"/>
          <w:sz w:val="28"/>
          <w:szCs w:val="28"/>
        </w:rPr>
        <w:t>《建筑设计防火规范</w:t>
      </w:r>
      <w:r>
        <w:rPr>
          <w:rFonts w:hint="eastAsia" w:eastAsiaTheme="minorEastAsia"/>
          <w:snapToGrid w:val="0"/>
          <w:color w:val="000000" w:themeColor="text1"/>
          <w:kern w:val="0"/>
          <w:sz w:val="28"/>
          <w:szCs w:val="28"/>
        </w:rPr>
        <w:t>（</w:t>
      </w:r>
      <w:r>
        <w:rPr>
          <w:rFonts w:eastAsiaTheme="minorEastAsia"/>
          <w:snapToGrid w:val="0"/>
          <w:color w:val="000000" w:themeColor="text1"/>
          <w:kern w:val="0"/>
          <w:sz w:val="28"/>
          <w:szCs w:val="28"/>
        </w:rPr>
        <w:t>2018版</w:t>
      </w:r>
      <w:r>
        <w:rPr>
          <w:rFonts w:hint="eastAsia" w:eastAsiaTheme="minorEastAsia"/>
          <w:snapToGrid w:val="0"/>
          <w:color w:val="000000" w:themeColor="text1"/>
          <w:kern w:val="0"/>
          <w:sz w:val="28"/>
          <w:szCs w:val="28"/>
        </w:rPr>
        <w:t>）</w:t>
      </w:r>
      <w:r>
        <w:rPr>
          <w:rFonts w:eastAsiaTheme="minorEastAsia"/>
          <w:snapToGrid w:val="0"/>
          <w:color w:val="000000" w:themeColor="text1"/>
          <w:kern w:val="0"/>
          <w:sz w:val="28"/>
          <w:szCs w:val="28"/>
        </w:rPr>
        <w:t>》（GB50016-2014）</w:t>
      </w:r>
      <w:r>
        <w:rPr>
          <w:rFonts w:hint="eastAsia" w:eastAsiaTheme="minorEastAsia"/>
          <w:color w:val="000000" w:themeColor="text1"/>
          <w:sz w:val="28"/>
          <w:szCs w:val="28"/>
        </w:rPr>
        <w:t>、</w:t>
      </w:r>
      <w:r>
        <w:rPr>
          <w:rFonts w:eastAsiaTheme="minorEastAsia"/>
          <w:color w:val="000000" w:themeColor="text1"/>
          <w:sz w:val="28"/>
        </w:rPr>
        <w:t>《汽车加油加气加氢站技术标准》（GB50156-2021）</w:t>
      </w:r>
      <w:r>
        <w:rPr>
          <w:rFonts w:eastAsiaTheme="minorEastAsia"/>
          <w:color w:val="000000" w:themeColor="text1"/>
          <w:sz w:val="28"/>
          <w:szCs w:val="28"/>
        </w:rPr>
        <w:t>等标</w:t>
      </w:r>
      <w:r>
        <w:rPr>
          <w:rFonts w:eastAsiaTheme="minorEastAsia"/>
          <w:color w:val="000000" w:themeColor="text1"/>
          <w:sz w:val="28"/>
          <w:szCs w:val="20"/>
        </w:rPr>
        <w:t>准、规范要求，对该项目总平面布置进行安全分析评价，具体情况如下表所示：</w:t>
      </w:r>
    </w:p>
    <w:p>
      <w:pPr>
        <w:spacing w:beforeLines="50"/>
        <w:jc w:val="center"/>
        <w:rPr>
          <w:rFonts w:eastAsiaTheme="minorEastAsia"/>
          <w:color w:val="000000" w:themeColor="text1"/>
          <w:kern w:val="0"/>
          <w:sz w:val="28"/>
          <w:szCs w:val="28"/>
        </w:rPr>
      </w:pPr>
      <w:r>
        <w:rPr>
          <w:rFonts w:eastAsiaTheme="minorEastAsia"/>
          <w:color w:val="000000" w:themeColor="text1"/>
          <w:sz w:val="24"/>
        </w:rPr>
        <w:t>表5-5 项目区总平面布置安全检查表</w:t>
      </w:r>
    </w:p>
    <w:tbl>
      <w:tblPr>
        <w:tblStyle w:val="52"/>
        <w:tblW w:w="940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63"/>
        <w:gridCol w:w="3392"/>
        <w:gridCol w:w="2078"/>
        <w:gridCol w:w="2698"/>
        <w:gridCol w:w="77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463" w:type="dxa"/>
            <w:tcBorders>
              <w:top w:val="single" w:color="auto" w:sz="4" w:space="0"/>
              <w:left w:val="single" w:color="auto" w:sz="4" w:space="0"/>
              <w:bottom w:val="single" w:color="auto" w:sz="4" w:space="0"/>
              <w:right w:val="single" w:color="auto" w:sz="4" w:space="0"/>
            </w:tcBorders>
            <w:vAlign w:val="center"/>
          </w:tcPr>
          <w:p>
            <w:pPr>
              <w:jc w:val="center"/>
              <w:rPr>
                <w:b/>
                <w:color w:val="000000" w:themeColor="text1"/>
                <w:szCs w:val="21"/>
              </w:rPr>
            </w:pPr>
            <w:r>
              <w:rPr>
                <w:b/>
                <w:color w:val="000000" w:themeColor="text1"/>
                <w:szCs w:val="21"/>
              </w:rPr>
              <w:t>序号</w:t>
            </w:r>
          </w:p>
        </w:tc>
        <w:tc>
          <w:tcPr>
            <w:tcW w:w="3392" w:type="dxa"/>
            <w:tcBorders>
              <w:top w:val="single" w:color="auto" w:sz="4" w:space="0"/>
              <w:left w:val="single" w:color="auto" w:sz="4" w:space="0"/>
              <w:bottom w:val="single" w:color="auto" w:sz="4" w:space="0"/>
              <w:right w:val="single" w:color="auto" w:sz="4" w:space="0"/>
            </w:tcBorders>
            <w:vAlign w:val="center"/>
          </w:tcPr>
          <w:p>
            <w:pPr>
              <w:jc w:val="center"/>
              <w:rPr>
                <w:b/>
                <w:color w:val="000000" w:themeColor="text1"/>
                <w:szCs w:val="21"/>
              </w:rPr>
            </w:pPr>
            <w:r>
              <w:rPr>
                <w:b/>
                <w:color w:val="000000" w:themeColor="text1"/>
                <w:szCs w:val="21"/>
              </w:rPr>
              <w:t>检查内容</w:t>
            </w:r>
          </w:p>
        </w:tc>
        <w:tc>
          <w:tcPr>
            <w:tcW w:w="2078" w:type="dxa"/>
            <w:tcBorders>
              <w:top w:val="single" w:color="auto" w:sz="4" w:space="0"/>
              <w:left w:val="single" w:color="auto" w:sz="4" w:space="0"/>
              <w:bottom w:val="single" w:color="auto" w:sz="4" w:space="0"/>
              <w:right w:val="single" w:color="auto" w:sz="4" w:space="0"/>
            </w:tcBorders>
            <w:vAlign w:val="center"/>
          </w:tcPr>
          <w:p>
            <w:pPr>
              <w:jc w:val="center"/>
              <w:rPr>
                <w:b/>
                <w:color w:val="000000" w:themeColor="text1"/>
                <w:szCs w:val="21"/>
              </w:rPr>
            </w:pPr>
            <w:r>
              <w:rPr>
                <w:b/>
                <w:color w:val="000000" w:themeColor="text1"/>
                <w:szCs w:val="21"/>
              </w:rPr>
              <w:t>标准依据</w:t>
            </w:r>
          </w:p>
        </w:tc>
        <w:tc>
          <w:tcPr>
            <w:tcW w:w="2698" w:type="dxa"/>
            <w:tcBorders>
              <w:top w:val="single" w:color="auto" w:sz="4" w:space="0"/>
              <w:left w:val="single" w:color="auto" w:sz="4" w:space="0"/>
              <w:bottom w:val="single" w:color="auto" w:sz="4" w:space="0"/>
              <w:right w:val="single" w:color="auto" w:sz="4" w:space="0"/>
            </w:tcBorders>
            <w:vAlign w:val="center"/>
          </w:tcPr>
          <w:p>
            <w:pPr>
              <w:jc w:val="center"/>
              <w:rPr>
                <w:b/>
                <w:color w:val="000000" w:themeColor="text1"/>
                <w:szCs w:val="21"/>
              </w:rPr>
            </w:pPr>
            <w:r>
              <w:rPr>
                <w:b/>
                <w:color w:val="000000" w:themeColor="text1"/>
                <w:szCs w:val="21"/>
              </w:rPr>
              <w:t>检查记录</w:t>
            </w:r>
          </w:p>
        </w:tc>
        <w:tc>
          <w:tcPr>
            <w:tcW w:w="770" w:type="dxa"/>
            <w:tcBorders>
              <w:top w:val="single" w:color="auto" w:sz="4" w:space="0"/>
              <w:left w:val="single" w:color="auto" w:sz="4" w:space="0"/>
              <w:bottom w:val="single" w:color="auto" w:sz="4" w:space="0"/>
              <w:right w:val="single" w:color="auto" w:sz="4" w:space="0"/>
            </w:tcBorders>
            <w:vAlign w:val="center"/>
          </w:tcPr>
          <w:p>
            <w:pPr>
              <w:jc w:val="center"/>
              <w:rPr>
                <w:b/>
                <w:color w:val="000000" w:themeColor="text1"/>
                <w:szCs w:val="21"/>
              </w:rPr>
            </w:pPr>
            <w:r>
              <w:rPr>
                <w:b/>
                <w:color w:val="000000" w:themeColor="text1"/>
                <w:szCs w:val="21"/>
              </w:rPr>
              <w:t>结论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463" w:type="dxa"/>
            <w:tcBorders>
              <w:top w:val="single" w:color="auto" w:sz="4" w:space="0"/>
              <w:left w:val="single" w:color="auto" w:sz="4" w:space="0"/>
              <w:bottom w:val="single" w:color="auto" w:sz="4" w:space="0"/>
              <w:right w:val="single" w:color="auto" w:sz="4" w:space="0"/>
            </w:tcBorders>
            <w:vAlign w:val="center"/>
          </w:tcPr>
          <w:p>
            <w:pPr>
              <w:numPr>
                <w:ilvl w:val="0"/>
                <w:numId w:val="15"/>
              </w:numPr>
              <w:jc w:val="center"/>
              <w:rPr>
                <w:bCs/>
                <w:color w:val="000000" w:themeColor="text1"/>
                <w:szCs w:val="21"/>
              </w:rPr>
            </w:pPr>
          </w:p>
        </w:tc>
        <w:tc>
          <w:tcPr>
            <w:tcW w:w="3392" w:type="dxa"/>
            <w:tcBorders>
              <w:top w:val="single" w:color="auto" w:sz="4" w:space="0"/>
              <w:left w:val="single" w:color="auto" w:sz="4" w:space="0"/>
              <w:bottom w:val="single" w:color="auto" w:sz="4" w:space="0"/>
              <w:right w:val="single" w:color="auto" w:sz="4" w:space="0"/>
            </w:tcBorders>
            <w:vAlign w:val="center"/>
          </w:tcPr>
          <w:p>
            <w:pPr>
              <w:jc w:val="left"/>
              <w:rPr>
                <w:rStyle w:val="55"/>
                <w:b w:val="0"/>
                <w:color w:val="000000" w:themeColor="text1"/>
                <w:szCs w:val="21"/>
              </w:rPr>
            </w:pPr>
            <w:r>
              <w:rPr>
                <w:color w:val="000000" w:themeColor="text1"/>
                <w:szCs w:val="21"/>
              </w:rPr>
              <w:t>总平面布置，应在总体规划的基础上，根据工业企业的性质、规模、生产流程、交通运输、环境保护，以及防火、安全、卫生、节能、施工、检修、厂区发展等要求，结合场地自然条件，经技术经济比较后择优确定。</w:t>
            </w:r>
          </w:p>
        </w:tc>
        <w:tc>
          <w:tcPr>
            <w:tcW w:w="2078" w:type="dxa"/>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Cs w:val="21"/>
              </w:rPr>
            </w:pPr>
            <w:r>
              <w:rPr>
                <w:color w:val="000000" w:themeColor="text1"/>
                <w:szCs w:val="21"/>
              </w:rPr>
              <w:t>《工业企业总平面设计规范》（GB50187-2012）</w:t>
            </w:r>
          </w:p>
          <w:p>
            <w:pPr>
              <w:jc w:val="center"/>
              <w:rPr>
                <w:color w:val="000000" w:themeColor="text1"/>
                <w:szCs w:val="21"/>
              </w:rPr>
            </w:pPr>
            <w:r>
              <w:rPr>
                <w:color w:val="000000" w:themeColor="text1"/>
                <w:szCs w:val="21"/>
              </w:rPr>
              <w:t>第5.1.1条</w:t>
            </w:r>
          </w:p>
        </w:tc>
        <w:tc>
          <w:tcPr>
            <w:tcW w:w="2698" w:type="dxa"/>
            <w:tcBorders>
              <w:top w:val="single" w:color="auto" w:sz="4" w:space="0"/>
              <w:left w:val="single" w:color="auto" w:sz="4" w:space="0"/>
              <w:bottom w:val="single" w:color="auto" w:sz="4" w:space="0"/>
              <w:right w:val="single" w:color="auto" w:sz="4" w:space="0"/>
            </w:tcBorders>
            <w:vAlign w:val="center"/>
          </w:tcPr>
          <w:p>
            <w:pPr>
              <w:jc w:val="left"/>
              <w:rPr>
                <w:rStyle w:val="55"/>
                <w:b w:val="0"/>
                <w:color w:val="000000" w:themeColor="text1"/>
                <w:szCs w:val="21"/>
              </w:rPr>
            </w:pPr>
            <w:r>
              <w:rPr>
                <w:color w:val="000000" w:themeColor="text1"/>
                <w:szCs w:val="21"/>
              </w:rPr>
              <w:t>该项目由于场地限制，平面布置较为紧凑。</w:t>
            </w:r>
          </w:p>
        </w:tc>
        <w:tc>
          <w:tcPr>
            <w:tcW w:w="770" w:type="dxa"/>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Cs w:val="21"/>
              </w:rPr>
            </w:pPr>
            <w:r>
              <w:rPr>
                <w:color w:val="000000" w:themeColor="text1"/>
                <w:szCs w:val="21"/>
              </w:rPr>
              <w:t>符合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463" w:type="dxa"/>
            <w:tcBorders>
              <w:top w:val="single" w:color="auto" w:sz="4" w:space="0"/>
              <w:left w:val="single" w:color="auto" w:sz="4" w:space="0"/>
              <w:bottom w:val="single" w:color="auto" w:sz="4" w:space="0"/>
              <w:right w:val="single" w:color="auto" w:sz="4" w:space="0"/>
            </w:tcBorders>
            <w:vAlign w:val="center"/>
          </w:tcPr>
          <w:p>
            <w:pPr>
              <w:numPr>
                <w:ilvl w:val="0"/>
                <w:numId w:val="15"/>
              </w:numPr>
              <w:jc w:val="center"/>
              <w:rPr>
                <w:bCs/>
                <w:color w:val="000000" w:themeColor="text1"/>
                <w:szCs w:val="21"/>
              </w:rPr>
            </w:pPr>
          </w:p>
        </w:tc>
        <w:tc>
          <w:tcPr>
            <w:tcW w:w="3392" w:type="dxa"/>
            <w:tcBorders>
              <w:top w:val="single" w:color="auto" w:sz="4" w:space="0"/>
              <w:left w:val="single" w:color="auto" w:sz="4" w:space="0"/>
              <w:bottom w:val="single" w:color="auto" w:sz="4" w:space="0"/>
              <w:right w:val="single" w:color="auto" w:sz="4" w:space="0"/>
            </w:tcBorders>
            <w:vAlign w:val="center"/>
          </w:tcPr>
          <w:p>
            <w:pPr>
              <w:jc w:val="left"/>
              <w:rPr>
                <w:rStyle w:val="55"/>
                <w:b w:val="0"/>
                <w:color w:val="000000" w:themeColor="text1"/>
                <w:szCs w:val="21"/>
              </w:rPr>
            </w:pPr>
            <w:r>
              <w:rPr>
                <w:color w:val="000000" w:themeColor="text1"/>
                <w:szCs w:val="21"/>
              </w:rPr>
              <w:t>工业企业的建筑物、构筑物之间及其与铁路、道路之间的防火间距，以及消防通道的设置，应执行现行国家《建筑设计防火规范[2018]版》（GB50016 -2014）等有关的规定。</w:t>
            </w:r>
          </w:p>
        </w:tc>
        <w:tc>
          <w:tcPr>
            <w:tcW w:w="2078" w:type="dxa"/>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Cs w:val="21"/>
              </w:rPr>
            </w:pPr>
            <w:r>
              <w:rPr>
                <w:color w:val="000000" w:themeColor="text1"/>
                <w:szCs w:val="21"/>
              </w:rPr>
              <w:t>《工业企业总平面设计规范》（GB50187-2012）</w:t>
            </w:r>
          </w:p>
          <w:p>
            <w:pPr>
              <w:jc w:val="center"/>
              <w:rPr>
                <w:color w:val="000000" w:themeColor="text1"/>
                <w:szCs w:val="21"/>
              </w:rPr>
            </w:pPr>
            <w:r>
              <w:rPr>
                <w:color w:val="000000" w:themeColor="text1"/>
                <w:szCs w:val="21"/>
              </w:rPr>
              <w:t>第5.1.10条</w:t>
            </w:r>
          </w:p>
        </w:tc>
        <w:tc>
          <w:tcPr>
            <w:tcW w:w="2698" w:type="dxa"/>
            <w:tcBorders>
              <w:top w:val="single" w:color="auto" w:sz="4" w:space="0"/>
              <w:left w:val="single" w:color="auto" w:sz="4" w:space="0"/>
              <w:bottom w:val="single" w:color="auto" w:sz="4" w:space="0"/>
              <w:right w:val="single" w:color="auto" w:sz="4" w:space="0"/>
            </w:tcBorders>
            <w:vAlign w:val="center"/>
          </w:tcPr>
          <w:p>
            <w:pPr>
              <w:jc w:val="left"/>
              <w:rPr>
                <w:rStyle w:val="55"/>
                <w:b w:val="0"/>
                <w:color w:val="000000" w:themeColor="text1"/>
                <w:szCs w:val="21"/>
              </w:rPr>
            </w:pPr>
            <w:r>
              <w:rPr>
                <w:color w:val="000000" w:themeColor="text1"/>
                <w:szCs w:val="21"/>
              </w:rPr>
              <w:t>该项目建（构）筑物之间及其与道路之间的防火间距，以及消防通道的设置符合有关的规定。</w:t>
            </w:r>
          </w:p>
        </w:tc>
        <w:tc>
          <w:tcPr>
            <w:tcW w:w="770" w:type="dxa"/>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Cs w:val="21"/>
              </w:rPr>
            </w:pPr>
            <w:r>
              <w:rPr>
                <w:color w:val="000000" w:themeColor="text1"/>
                <w:szCs w:val="21"/>
              </w:rPr>
              <w:t>符合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463" w:type="dxa"/>
            <w:tcBorders>
              <w:top w:val="single" w:color="auto" w:sz="4" w:space="0"/>
              <w:left w:val="single" w:color="auto" w:sz="4" w:space="0"/>
              <w:bottom w:val="single" w:color="auto" w:sz="4" w:space="0"/>
              <w:right w:val="single" w:color="auto" w:sz="4" w:space="0"/>
            </w:tcBorders>
            <w:vAlign w:val="center"/>
          </w:tcPr>
          <w:p>
            <w:pPr>
              <w:numPr>
                <w:ilvl w:val="0"/>
                <w:numId w:val="15"/>
              </w:numPr>
              <w:jc w:val="center"/>
              <w:rPr>
                <w:bCs/>
                <w:color w:val="000000" w:themeColor="text1"/>
                <w:szCs w:val="21"/>
              </w:rPr>
            </w:pPr>
          </w:p>
        </w:tc>
        <w:tc>
          <w:tcPr>
            <w:tcW w:w="3392" w:type="dxa"/>
            <w:tcBorders>
              <w:top w:val="single" w:color="auto" w:sz="4" w:space="0"/>
              <w:left w:val="single" w:color="auto" w:sz="4" w:space="0"/>
              <w:bottom w:val="single" w:color="auto" w:sz="4" w:space="0"/>
              <w:right w:val="single" w:color="auto" w:sz="4" w:space="0"/>
            </w:tcBorders>
            <w:vAlign w:val="center"/>
          </w:tcPr>
          <w:p>
            <w:pPr>
              <w:jc w:val="left"/>
              <w:rPr>
                <w:color w:val="000000" w:themeColor="text1"/>
                <w:szCs w:val="21"/>
              </w:rPr>
            </w:pPr>
            <w:r>
              <w:rPr>
                <w:rStyle w:val="55"/>
                <w:b w:val="0"/>
                <w:color w:val="000000" w:themeColor="text1"/>
                <w:szCs w:val="21"/>
              </w:rPr>
              <w:t>员工宿舍严禁设置在厂房内。</w:t>
            </w:r>
          </w:p>
        </w:tc>
        <w:tc>
          <w:tcPr>
            <w:tcW w:w="207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color w:val="000000" w:themeColor="text1"/>
                <w:szCs w:val="21"/>
              </w:rPr>
            </w:pPr>
            <w:r>
              <w:rPr>
                <w:color w:val="000000" w:themeColor="text1"/>
                <w:szCs w:val="21"/>
              </w:rPr>
              <w:t>《建筑设计防火规范[2018版]》（GB50016-2014）</w:t>
            </w:r>
          </w:p>
          <w:p>
            <w:pPr>
              <w:adjustRightInd w:val="0"/>
              <w:snapToGrid w:val="0"/>
              <w:jc w:val="center"/>
              <w:rPr>
                <w:color w:val="000000" w:themeColor="text1"/>
                <w:szCs w:val="21"/>
              </w:rPr>
            </w:pPr>
            <w:r>
              <w:rPr>
                <w:color w:val="000000" w:themeColor="text1"/>
                <w:szCs w:val="21"/>
              </w:rPr>
              <w:t>第3.3.5条</w:t>
            </w:r>
          </w:p>
        </w:tc>
        <w:tc>
          <w:tcPr>
            <w:tcW w:w="2698" w:type="dxa"/>
            <w:tcBorders>
              <w:top w:val="single" w:color="auto" w:sz="4" w:space="0"/>
              <w:left w:val="single" w:color="auto" w:sz="4" w:space="0"/>
              <w:bottom w:val="single" w:color="auto" w:sz="4" w:space="0"/>
              <w:right w:val="single" w:color="auto" w:sz="4" w:space="0"/>
            </w:tcBorders>
            <w:vAlign w:val="center"/>
          </w:tcPr>
          <w:p>
            <w:pPr>
              <w:jc w:val="left"/>
              <w:rPr>
                <w:color w:val="000000" w:themeColor="text1"/>
                <w:szCs w:val="21"/>
              </w:rPr>
            </w:pPr>
            <w:r>
              <w:rPr>
                <w:color w:val="000000" w:themeColor="text1"/>
                <w:szCs w:val="21"/>
              </w:rPr>
              <w:t>该项目生产区和办公生活区分开设置。</w:t>
            </w:r>
          </w:p>
        </w:tc>
        <w:tc>
          <w:tcPr>
            <w:tcW w:w="770" w:type="dxa"/>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Cs w:val="21"/>
              </w:rPr>
            </w:pPr>
            <w:r>
              <w:rPr>
                <w:color w:val="000000" w:themeColor="text1"/>
                <w:szCs w:val="21"/>
              </w:rPr>
              <w:t>符合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463" w:type="dxa"/>
            <w:tcBorders>
              <w:left w:val="single" w:color="auto" w:sz="4" w:space="0"/>
              <w:bottom w:val="single" w:color="auto" w:sz="4" w:space="0"/>
              <w:right w:val="single" w:color="auto" w:sz="4" w:space="0"/>
            </w:tcBorders>
            <w:vAlign w:val="center"/>
          </w:tcPr>
          <w:p>
            <w:pPr>
              <w:numPr>
                <w:ilvl w:val="0"/>
                <w:numId w:val="15"/>
              </w:numPr>
              <w:jc w:val="center"/>
              <w:rPr>
                <w:bCs/>
                <w:color w:val="000000" w:themeColor="text1"/>
                <w:szCs w:val="21"/>
              </w:rPr>
            </w:pPr>
          </w:p>
        </w:tc>
        <w:tc>
          <w:tcPr>
            <w:tcW w:w="3392" w:type="dxa"/>
            <w:tcBorders>
              <w:top w:val="single" w:color="auto" w:sz="4" w:space="0"/>
              <w:left w:val="single" w:color="auto" w:sz="4" w:space="0"/>
              <w:bottom w:val="single" w:color="auto" w:sz="4" w:space="0"/>
              <w:right w:val="single" w:color="auto" w:sz="4" w:space="0"/>
            </w:tcBorders>
            <w:vAlign w:val="center"/>
          </w:tcPr>
          <w:p>
            <w:pPr>
              <w:rPr>
                <w:color w:val="000000" w:themeColor="text1"/>
                <w:szCs w:val="21"/>
              </w:rPr>
            </w:pPr>
            <w:r>
              <w:rPr>
                <w:color w:val="000000" w:themeColor="text1"/>
                <w:szCs w:val="21"/>
              </w:rPr>
              <w:t>加油加气作业区内，不得有“明火地点”或“散发火花地点”。</w:t>
            </w:r>
          </w:p>
        </w:tc>
        <w:tc>
          <w:tcPr>
            <w:tcW w:w="2078" w:type="dxa"/>
            <w:tcBorders>
              <w:left w:val="single" w:color="auto" w:sz="4" w:space="0"/>
              <w:bottom w:val="single" w:color="auto" w:sz="4" w:space="0"/>
              <w:right w:val="single" w:color="auto" w:sz="4" w:space="0"/>
            </w:tcBorders>
            <w:vAlign w:val="center"/>
          </w:tcPr>
          <w:p>
            <w:pPr>
              <w:jc w:val="center"/>
              <w:rPr>
                <w:color w:val="000000" w:themeColor="text1"/>
                <w:szCs w:val="21"/>
              </w:rPr>
            </w:pPr>
            <w:r>
              <w:rPr>
                <w:color w:val="000000" w:themeColor="text1"/>
                <w:szCs w:val="21"/>
              </w:rPr>
              <w:t>《汽车加油加气加氢站技术标准》（GB50156-2021）第5.0.5条</w:t>
            </w:r>
          </w:p>
        </w:tc>
        <w:tc>
          <w:tcPr>
            <w:tcW w:w="2698" w:type="dxa"/>
            <w:tcBorders>
              <w:top w:val="single" w:color="auto" w:sz="4" w:space="0"/>
              <w:left w:val="single" w:color="auto" w:sz="4" w:space="0"/>
              <w:bottom w:val="single" w:color="auto" w:sz="4" w:space="0"/>
              <w:right w:val="single" w:color="auto" w:sz="4" w:space="0"/>
            </w:tcBorders>
            <w:vAlign w:val="center"/>
          </w:tcPr>
          <w:p>
            <w:pPr>
              <w:adjustRightInd w:val="0"/>
              <w:snapToGrid w:val="0"/>
              <w:rPr>
                <w:color w:val="000000" w:themeColor="text1"/>
                <w:szCs w:val="21"/>
              </w:rPr>
            </w:pPr>
            <w:r>
              <w:rPr>
                <w:color w:val="000000" w:themeColor="text1"/>
                <w:szCs w:val="21"/>
              </w:rPr>
              <w:t>该项目作业区内，无“明火地点”或“散发火花地点”。</w:t>
            </w:r>
          </w:p>
        </w:tc>
        <w:tc>
          <w:tcPr>
            <w:tcW w:w="770" w:type="dxa"/>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Cs w:val="21"/>
              </w:rPr>
            </w:pPr>
            <w:r>
              <w:rPr>
                <w:color w:val="000000" w:themeColor="text1"/>
                <w:szCs w:val="21"/>
              </w:rPr>
              <w:t>符合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463" w:type="dxa"/>
            <w:tcBorders>
              <w:left w:val="single" w:color="auto" w:sz="4" w:space="0"/>
              <w:bottom w:val="single" w:color="auto" w:sz="4" w:space="0"/>
              <w:right w:val="single" w:color="auto" w:sz="4" w:space="0"/>
            </w:tcBorders>
            <w:vAlign w:val="center"/>
          </w:tcPr>
          <w:p>
            <w:pPr>
              <w:numPr>
                <w:ilvl w:val="0"/>
                <w:numId w:val="15"/>
              </w:numPr>
              <w:jc w:val="center"/>
              <w:rPr>
                <w:bCs/>
                <w:color w:val="000000" w:themeColor="text1"/>
                <w:szCs w:val="21"/>
              </w:rPr>
            </w:pPr>
          </w:p>
        </w:tc>
        <w:tc>
          <w:tcPr>
            <w:tcW w:w="3392" w:type="dxa"/>
            <w:tcBorders>
              <w:top w:val="single" w:color="auto" w:sz="4" w:space="0"/>
              <w:left w:val="single" w:color="auto" w:sz="4" w:space="0"/>
              <w:bottom w:val="single" w:color="auto" w:sz="4" w:space="0"/>
              <w:right w:val="single" w:color="auto" w:sz="4" w:space="0"/>
            </w:tcBorders>
            <w:vAlign w:val="center"/>
          </w:tcPr>
          <w:p>
            <w:pPr>
              <w:rPr>
                <w:color w:val="000000" w:themeColor="text1"/>
                <w:szCs w:val="21"/>
              </w:rPr>
            </w:pPr>
            <w:r>
              <w:rPr>
                <w:color w:val="000000" w:themeColor="text1"/>
                <w:szCs w:val="21"/>
              </w:rPr>
              <w:t>加油站的变配电间或室外变压器应布置在爆炸危险区域之外，且与爆炸危险区域边界线的距离不应小于3m。</w:t>
            </w:r>
          </w:p>
        </w:tc>
        <w:tc>
          <w:tcPr>
            <w:tcW w:w="2078" w:type="dxa"/>
            <w:tcBorders>
              <w:left w:val="single" w:color="auto" w:sz="4" w:space="0"/>
              <w:bottom w:val="single" w:color="auto" w:sz="4" w:space="0"/>
              <w:right w:val="single" w:color="auto" w:sz="4" w:space="0"/>
            </w:tcBorders>
            <w:vAlign w:val="center"/>
          </w:tcPr>
          <w:p>
            <w:pPr>
              <w:jc w:val="center"/>
              <w:rPr>
                <w:color w:val="000000" w:themeColor="text1"/>
                <w:szCs w:val="21"/>
              </w:rPr>
            </w:pPr>
            <w:r>
              <w:rPr>
                <w:color w:val="000000" w:themeColor="text1"/>
                <w:szCs w:val="21"/>
              </w:rPr>
              <w:t>《汽车加油加气加氢站技术标准》（GB50156-2021）第5.0.8条</w:t>
            </w:r>
          </w:p>
        </w:tc>
        <w:tc>
          <w:tcPr>
            <w:tcW w:w="2698" w:type="dxa"/>
            <w:tcBorders>
              <w:top w:val="single" w:color="auto" w:sz="4" w:space="0"/>
              <w:left w:val="single" w:color="auto" w:sz="4" w:space="0"/>
              <w:bottom w:val="single" w:color="auto" w:sz="4" w:space="0"/>
              <w:right w:val="single" w:color="auto" w:sz="4" w:space="0"/>
            </w:tcBorders>
            <w:vAlign w:val="center"/>
          </w:tcPr>
          <w:p>
            <w:pPr>
              <w:adjustRightInd w:val="0"/>
              <w:snapToGrid w:val="0"/>
              <w:rPr>
                <w:snapToGrid w:val="0"/>
                <w:color w:val="000000" w:themeColor="text1"/>
                <w:kern w:val="0"/>
                <w:szCs w:val="21"/>
              </w:rPr>
            </w:pPr>
            <w:r>
              <w:rPr>
                <w:color w:val="000000" w:themeColor="text1"/>
                <w:szCs w:val="21"/>
              </w:rPr>
              <w:t>该项目的配电箱布置在爆炸危险区域之外。</w:t>
            </w:r>
          </w:p>
        </w:tc>
        <w:tc>
          <w:tcPr>
            <w:tcW w:w="770" w:type="dxa"/>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Cs w:val="21"/>
              </w:rPr>
            </w:pPr>
            <w:r>
              <w:rPr>
                <w:color w:val="000000" w:themeColor="text1"/>
                <w:szCs w:val="21"/>
              </w:rPr>
              <w:t>符合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463" w:type="dxa"/>
            <w:tcBorders>
              <w:left w:val="single" w:color="auto" w:sz="4" w:space="0"/>
              <w:bottom w:val="single" w:color="auto" w:sz="4" w:space="0"/>
              <w:right w:val="single" w:color="auto" w:sz="4" w:space="0"/>
            </w:tcBorders>
            <w:vAlign w:val="center"/>
          </w:tcPr>
          <w:p>
            <w:pPr>
              <w:numPr>
                <w:ilvl w:val="0"/>
                <w:numId w:val="15"/>
              </w:numPr>
              <w:jc w:val="center"/>
              <w:rPr>
                <w:bCs/>
                <w:color w:val="000000" w:themeColor="text1"/>
                <w:szCs w:val="21"/>
              </w:rPr>
            </w:pPr>
          </w:p>
        </w:tc>
        <w:tc>
          <w:tcPr>
            <w:tcW w:w="3392" w:type="dxa"/>
            <w:tcBorders>
              <w:top w:val="single" w:color="auto" w:sz="4" w:space="0"/>
              <w:left w:val="single" w:color="auto" w:sz="4" w:space="0"/>
              <w:bottom w:val="single" w:color="auto" w:sz="4" w:space="0"/>
              <w:right w:val="single" w:color="auto" w:sz="4" w:space="0"/>
            </w:tcBorders>
            <w:vAlign w:val="center"/>
          </w:tcPr>
          <w:p>
            <w:pPr>
              <w:rPr>
                <w:color w:val="000000" w:themeColor="text1"/>
                <w:szCs w:val="21"/>
              </w:rPr>
            </w:pPr>
            <w:r>
              <w:rPr>
                <w:color w:val="000000" w:themeColor="text1"/>
                <w:szCs w:val="21"/>
              </w:rPr>
              <w:t>加油站内设置的经营性餐饮、汽车服务等非站房所属建筑物或设施，不应布置在加油作业区内，其与站内可燃液体或可燃气体设备的防火间距，应符合本规范第4.0.4～4.0.9条有关三类保护物的规定。经营性餐饮、汽车服务等设施内设置明火设备时，则应视为“明火地点”或“散发火花地点”。其中，对加油站内设置的燃煤设备不得按设置有油气回收系统折减距离。</w:t>
            </w:r>
          </w:p>
        </w:tc>
        <w:tc>
          <w:tcPr>
            <w:tcW w:w="2078" w:type="dxa"/>
            <w:tcBorders>
              <w:left w:val="single" w:color="auto" w:sz="4" w:space="0"/>
              <w:bottom w:val="single" w:color="auto" w:sz="4" w:space="0"/>
              <w:right w:val="single" w:color="auto" w:sz="4" w:space="0"/>
            </w:tcBorders>
            <w:vAlign w:val="center"/>
          </w:tcPr>
          <w:p>
            <w:pPr>
              <w:jc w:val="center"/>
              <w:rPr>
                <w:color w:val="000000" w:themeColor="text1"/>
                <w:szCs w:val="21"/>
              </w:rPr>
            </w:pPr>
            <w:r>
              <w:rPr>
                <w:color w:val="000000" w:themeColor="text1"/>
                <w:szCs w:val="21"/>
              </w:rPr>
              <w:t>《汽车加油加气加氢站技术标准》（GB50156-2021）第5.0.10条</w:t>
            </w:r>
          </w:p>
        </w:tc>
        <w:tc>
          <w:tcPr>
            <w:tcW w:w="2698" w:type="dxa"/>
            <w:tcBorders>
              <w:top w:val="single" w:color="auto" w:sz="4" w:space="0"/>
              <w:left w:val="single" w:color="auto" w:sz="4" w:space="0"/>
              <w:bottom w:val="single" w:color="auto" w:sz="4" w:space="0"/>
              <w:right w:val="single" w:color="auto" w:sz="4" w:space="0"/>
            </w:tcBorders>
            <w:vAlign w:val="center"/>
          </w:tcPr>
          <w:p>
            <w:pPr>
              <w:adjustRightInd w:val="0"/>
              <w:snapToGrid w:val="0"/>
              <w:rPr>
                <w:color w:val="000000" w:themeColor="text1"/>
                <w:szCs w:val="21"/>
              </w:rPr>
            </w:pPr>
            <w:r>
              <w:rPr>
                <w:color w:val="000000" w:themeColor="text1"/>
                <w:szCs w:val="21"/>
              </w:rPr>
              <w:t>该项目内未设置经营性餐饮、汽车服务等建筑物或设施。</w:t>
            </w:r>
          </w:p>
        </w:tc>
        <w:tc>
          <w:tcPr>
            <w:tcW w:w="770" w:type="dxa"/>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Cs w:val="21"/>
              </w:rPr>
            </w:pPr>
            <w:r>
              <w:rPr>
                <w:color w:val="000000" w:themeColor="text1"/>
                <w:szCs w:val="21"/>
              </w:rPr>
              <w:t>不涉及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463" w:type="dxa"/>
            <w:tcBorders>
              <w:left w:val="single" w:color="auto" w:sz="4" w:space="0"/>
              <w:bottom w:val="single" w:color="auto" w:sz="4" w:space="0"/>
              <w:right w:val="single" w:color="auto" w:sz="4" w:space="0"/>
            </w:tcBorders>
            <w:vAlign w:val="center"/>
          </w:tcPr>
          <w:p>
            <w:pPr>
              <w:numPr>
                <w:ilvl w:val="0"/>
                <w:numId w:val="15"/>
              </w:numPr>
              <w:jc w:val="center"/>
              <w:rPr>
                <w:bCs/>
                <w:color w:val="000000" w:themeColor="text1"/>
                <w:szCs w:val="21"/>
              </w:rPr>
            </w:pPr>
          </w:p>
        </w:tc>
        <w:tc>
          <w:tcPr>
            <w:tcW w:w="3392" w:type="dxa"/>
            <w:tcBorders>
              <w:top w:val="single" w:color="auto" w:sz="4" w:space="0"/>
              <w:left w:val="single" w:color="auto" w:sz="4" w:space="0"/>
              <w:bottom w:val="single" w:color="auto" w:sz="4" w:space="0"/>
              <w:right w:val="single" w:color="auto" w:sz="4" w:space="0"/>
            </w:tcBorders>
            <w:vAlign w:val="center"/>
          </w:tcPr>
          <w:p>
            <w:pPr>
              <w:rPr>
                <w:color w:val="000000" w:themeColor="text1"/>
                <w:szCs w:val="21"/>
              </w:rPr>
            </w:pPr>
            <w:r>
              <w:rPr>
                <w:color w:val="000000" w:themeColor="text1"/>
                <w:szCs w:val="21"/>
              </w:rPr>
              <w:t>加油站内的爆炸危险区域，不应超出站区围墙和可用地界线。</w:t>
            </w:r>
          </w:p>
        </w:tc>
        <w:tc>
          <w:tcPr>
            <w:tcW w:w="2078" w:type="dxa"/>
            <w:tcBorders>
              <w:left w:val="single" w:color="auto" w:sz="4" w:space="0"/>
              <w:bottom w:val="single" w:color="auto" w:sz="4" w:space="0"/>
              <w:right w:val="single" w:color="auto" w:sz="4" w:space="0"/>
            </w:tcBorders>
            <w:vAlign w:val="center"/>
          </w:tcPr>
          <w:p>
            <w:pPr>
              <w:jc w:val="center"/>
              <w:rPr>
                <w:color w:val="000000" w:themeColor="text1"/>
                <w:szCs w:val="21"/>
              </w:rPr>
            </w:pPr>
            <w:r>
              <w:rPr>
                <w:color w:val="000000" w:themeColor="text1"/>
                <w:szCs w:val="21"/>
              </w:rPr>
              <w:t>《汽车加油加气加氢站技术标准》（GB50156-2021）第5.0.11条</w:t>
            </w:r>
          </w:p>
        </w:tc>
        <w:tc>
          <w:tcPr>
            <w:tcW w:w="2698" w:type="dxa"/>
            <w:tcBorders>
              <w:top w:val="single" w:color="auto" w:sz="4" w:space="0"/>
              <w:left w:val="single" w:color="auto" w:sz="4" w:space="0"/>
              <w:bottom w:val="single" w:color="auto" w:sz="4" w:space="0"/>
              <w:right w:val="single" w:color="auto" w:sz="4" w:space="0"/>
            </w:tcBorders>
            <w:vAlign w:val="center"/>
          </w:tcPr>
          <w:p>
            <w:pPr>
              <w:adjustRightInd w:val="0"/>
              <w:snapToGrid w:val="0"/>
              <w:rPr>
                <w:color w:val="000000" w:themeColor="text1"/>
                <w:szCs w:val="21"/>
              </w:rPr>
            </w:pPr>
            <w:r>
              <w:rPr>
                <w:color w:val="000000" w:themeColor="text1"/>
                <w:szCs w:val="21"/>
              </w:rPr>
              <w:t>该项目的爆炸危险区域未超出可用地界。</w:t>
            </w:r>
          </w:p>
        </w:tc>
        <w:tc>
          <w:tcPr>
            <w:tcW w:w="770" w:type="dxa"/>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Cs w:val="21"/>
              </w:rPr>
            </w:pPr>
            <w:r>
              <w:rPr>
                <w:color w:val="000000" w:themeColor="text1"/>
                <w:szCs w:val="21"/>
              </w:rPr>
              <w:t>符合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463" w:type="dxa"/>
            <w:tcBorders>
              <w:top w:val="single" w:color="auto" w:sz="4" w:space="0"/>
              <w:left w:val="single" w:color="auto" w:sz="4" w:space="0"/>
              <w:bottom w:val="single" w:color="auto" w:sz="4" w:space="0"/>
              <w:right w:val="single" w:color="auto" w:sz="4" w:space="0"/>
            </w:tcBorders>
            <w:vAlign w:val="center"/>
          </w:tcPr>
          <w:p>
            <w:pPr>
              <w:numPr>
                <w:ilvl w:val="0"/>
                <w:numId w:val="15"/>
              </w:numPr>
              <w:jc w:val="center"/>
              <w:rPr>
                <w:color w:val="000000" w:themeColor="text1"/>
                <w:szCs w:val="21"/>
              </w:rPr>
            </w:pPr>
          </w:p>
        </w:tc>
        <w:tc>
          <w:tcPr>
            <w:tcW w:w="3392" w:type="dxa"/>
            <w:tcBorders>
              <w:top w:val="single" w:color="auto" w:sz="4" w:space="0"/>
              <w:left w:val="single" w:color="auto" w:sz="4" w:space="0"/>
              <w:bottom w:val="single" w:color="auto" w:sz="4" w:space="0"/>
              <w:right w:val="single" w:color="auto" w:sz="4" w:space="0"/>
            </w:tcBorders>
            <w:vAlign w:val="center"/>
          </w:tcPr>
          <w:p>
            <w:pPr>
              <w:rPr>
                <w:b/>
                <w:color w:val="000000" w:themeColor="text1"/>
                <w:szCs w:val="21"/>
              </w:rPr>
            </w:pPr>
            <w:r>
              <w:rPr>
                <w:color w:val="000000" w:themeColor="text1"/>
                <w:szCs w:val="21"/>
              </w:rPr>
              <w:t>汽车加油加气加氢站的工艺设备与站外建(构) 筑物之间，宜设置不燃烧体实体围墙，围墙高度相对于站内和站外地坪均不宜低于 2. Zm 。 当汽车加油加气加氢站的工艺设备与站外建(构) 筑物之间的距离大于本标准表 4. 0. 4一表 4. 0. 8 中安全间距的1. 5 倍，且大于2 5 m 时，可设置非实体围墙。 面向车辆人口和出口道路的一侧可设非实体围墙或不设围墙。 与站 区限毗</w:t>
            </w:r>
            <w:r>
              <w:rPr>
                <w:color w:val="000000" w:themeColor="text1"/>
                <w:szCs w:val="21"/>
              </w:rPr>
              <w:br w:type="textWrapping"/>
            </w:r>
            <w:r>
              <w:rPr>
                <w:color w:val="000000" w:themeColor="text1"/>
                <w:szCs w:val="21"/>
              </w:rPr>
              <w:t>邻的一、二级耐火等级的站外建(构)筑物，其面向加油加气加氢站</w:t>
            </w:r>
            <w:r>
              <w:rPr>
                <w:color w:val="000000" w:themeColor="text1"/>
                <w:szCs w:val="21"/>
              </w:rPr>
              <w:br w:type="textWrapping"/>
            </w:r>
            <w:r>
              <w:rPr>
                <w:color w:val="000000" w:themeColor="text1"/>
                <w:szCs w:val="21"/>
              </w:rPr>
              <w:t>侧无门、窗、孔洞的外墙，可视为站区实体围墙的一部分，但站内工</w:t>
            </w:r>
            <w:r>
              <w:rPr>
                <w:color w:val="000000" w:themeColor="text1"/>
                <w:szCs w:val="21"/>
              </w:rPr>
              <w:br w:type="textWrapping"/>
            </w:r>
            <w:r>
              <w:rPr>
                <w:color w:val="000000" w:themeColor="text1"/>
                <w:szCs w:val="21"/>
              </w:rPr>
              <w:t xml:space="preserve">艺设备与其的安全距离应符合本标准表4.0.4一表4.0.8的相关规定。 </w:t>
            </w:r>
          </w:p>
        </w:tc>
        <w:tc>
          <w:tcPr>
            <w:tcW w:w="2078" w:type="dxa"/>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Cs w:val="21"/>
              </w:rPr>
            </w:pPr>
            <w:r>
              <w:rPr>
                <w:color w:val="000000" w:themeColor="text1"/>
                <w:szCs w:val="21"/>
              </w:rPr>
              <w:t>《汽车加油加气加氢站技术标准》（GB50156-2021）第5.0.12条</w:t>
            </w:r>
          </w:p>
        </w:tc>
        <w:tc>
          <w:tcPr>
            <w:tcW w:w="2698" w:type="dxa"/>
            <w:tcBorders>
              <w:top w:val="single" w:color="auto" w:sz="4" w:space="0"/>
              <w:left w:val="single" w:color="auto" w:sz="4" w:space="0"/>
              <w:bottom w:val="single" w:color="auto" w:sz="4" w:space="0"/>
              <w:right w:val="single" w:color="auto" w:sz="4" w:space="0"/>
            </w:tcBorders>
            <w:vAlign w:val="center"/>
          </w:tcPr>
          <w:p>
            <w:pPr>
              <w:rPr>
                <w:snapToGrid w:val="0"/>
                <w:color w:val="000000" w:themeColor="text1"/>
                <w:kern w:val="0"/>
                <w:szCs w:val="21"/>
              </w:rPr>
            </w:pPr>
            <w:r>
              <w:rPr>
                <w:color w:val="000000" w:themeColor="text1"/>
                <w:szCs w:val="21"/>
              </w:rPr>
              <w:t>该项目周边均设置了2.2m高的围墙。</w:t>
            </w:r>
          </w:p>
        </w:tc>
        <w:tc>
          <w:tcPr>
            <w:tcW w:w="770" w:type="dxa"/>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Cs w:val="21"/>
              </w:rPr>
            </w:pPr>
            <w:r>
              <w:rPr>
                <w:color w:val="000000" w:themeColor="text1"/>
                <w:szCs w:val="21"/>
              </w:rPr>
              <w:t>符合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463" w:type="dxa"/>
            <w:tcBorders>
              <w:top w:val="single" w:color="auto" w:sz="4" w:space="0"/>
              <w:left w:val="single" w:color="auto" w:sz="4" w:space="0"/>
              <w:bottom w:val="single" w:color="auto" w:sz="4" w:space="0"/>
              <w:right w:val="single" w:color="auto" w:sz="4" w:space="0"/>
            </w:tcBorders>
            <w:vAlign w:val="center"/>
          </w:tcPr>
          <w:p>
            <w:pPr>
              <w:numPr>
                <w:ilvl w:val="0"/>
                <w:numId w:val="15"/>
              </w:numPr>
              <w:jc w:val="center"/>
              <w:rPr>
                <w:color w:val="000000" w:themeColor="text1"/>
                <w:szCs w:val="21"/>
              </w:rPr>
            </w:pPr>
          </w:p>
        </w:tc>
        <w:tc>
          <w:tcPr>
            <w:tcW w:w="3392" w:type="dxa"/>
            <w:tcBorders>
              <w:top w:val="single" w:color="auto" w:sz="4" w:space="0"/>
              <w:left w:val="single" w:color="auto" w:sz="4" w:space="0"/>
              <w:bottom w:val="single" w:color="auto" w:sz="4" w:space="0"/>
              <w:right w:val="single" w:color="auto" w:sz="4" w:space="0"/>
            </w:tcBorders>
            <w:vAlign w:val="center"/>
          </w:tcPr>
          <w:p>
            <w:pPr>
              <w:rPr>
                <w:color w:val="000000" w:themeColor="text1"/>
                <w:szCs w:val="21"/>
              </w:rPr>
            </w:pPr>
            <w:r>
              <w:rPr>
                <w:color w:val="000000" w:themeColor="text1"/>
                <w:szCs w:val="21"/>
              </w:rPr>
              <w:t xml:space="preserve">加油加气站站内设施的防火间距不应小于表 5.0.13-1和表 5.0.13一2的规定。 </w:t>
            </w:r>
          </w:p>
        </w:tc>
        <w:tc>
          <w:tcPr>
            <w:tcW w:w="2078" w:type="dxa"/>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Cs w:val="21"/>
              </w:rPr>
            </w:pPr>
            <w:r>
              <w:rPr>
                <w:color w:val="000000" w:themeColor="text1"/>
                <w:szCs w:val="21"/>
              </w:rPr>
              <w:t>《汽车加油加气加氢站技术标准》（GB50156-2021）第5.0.13条</w:t>
            </w:r>
          </w:p>
        </w:tc>
        <w:tc>
          <w:tcPr>
            <w:tcW w:w="2698" w:type="dxa"/>
            <w:tcBorders>
              <w:top w:val="single" w:color="auto" w:sz="4" w:space="0"/>
              <w:left w:val="single" w:color="auto" w:sz="4" w:space="0"/>
              <w:bottom w:val="single" w:color="auto" w:sz="4" w:space="0"/>
              <w:right w:val="single" w:color="auto" w:sz="4" w:space="0"/>
            </w:tcBorders>
            <w:vAlign w:val="center"/>
          </w:tcPr>
          <w:p>
            <w:pPr>
              <w:adjustRightInd w:val="0"/>
              <w:snapToGrid w:val="0"/>
              <w:rPr>
                <w:color w:val="000000" w:themeColor="text1"/>
                <w:szCs w:val="21"/>
              </w:rPr>
            </w:pPr>
            <w:r>
              <w:rPr>
                <w:bCs/>
                <w:color w:val="000000" w:themeColor="text1"/>
                <w:szCs w:val="21"/>
              </w:rPr>
              <w:t>该项目厂内设施之间的防火距离均符合要求。</w:t>
            </w:r>
          </w:p>
        </w:tc>
        <w:tc>
          <w:tcPr>
            <w:tcW w:w="770" w:type="dxa"/>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Cs w:val="21"/>
              </w:rPr>
            </w:pPr>
            <w:r>
              <w:rPr>
                <w:color w:val="000000" w:themeColor="text1"/>
                <w:szCs w:val="21"/>
              </w:rPr>
              <w:t>符合</w:t>
            </w:r>
          </w:p>
        </w:tc>
      </w:tr>
    </w:tbl>
    <w:p>
      <w:pPr>
        <w:spacing w:line="500" w:lineRule="exact"/>
        <w:ind w:firstLine="560" w:firstLineChars="200"/>
        <w:rPr>
          <w:rFonts w:eastAsiaTheme="minorEastAsia"/>
          <w:snapToGrid w:val="0"/>
          <w:color w:val="000000" w:themeColor="text1"/>
          <w:kern w:val="0"/>
          <w:sz w:val="28"/>
          <w:szCs w:val="28"/>
        </w:rPr>
      </w:pPr>
      <w:r>
        <w:rPr>
          <w:rFonts w:eastAsiaTheme="minorEastAsia"/>
          <w:snapToGrid w:val="0"/>
          <w:color w:val="000000" w:themeColor="text1"/>
          <w:kern w:val="0"/>
          <w:sz w:val="28"/>
          <w:szCs w:val="28"/>
        </w:rPr>
        <w:t>由上表检查结果可知，该项目总平面布置符合《工业企业总平面设计规范》（GB50187-2012）</w:t>
      </w:r>
      <w:r>
        <w:rPr>
          <w:rFonts w:hint="eastAsia" w:eastAsiaTheme="minorEastAsia"/>
          <w:snapToGrid w:val="0"/>
          <w:color w:val="000000" w:themeColor="text1"/>
          <w:kern w:val="0"/>
          <w:sz w:val="28"/>
          <w:szCs w:val="28"/>
        </w:rPr>
        <w:t>、</w:t>
      </w:r>
      <w:r>
        <w:rPr>
          <w:rFonts w:eastAsiaTheme="minorEastAsia"/>
          <w:snapToGrid w:val="0"/>
          <w:color w:val="000000" w:themeColor="text1"/>
          <w:kern w:val="0"/>
          <w:sz w:val="28"/>
          <w:szCs w:val="28"/>
        </w:rPr>
        <w:t>《建筑设计防火规范</w:t>
      </w:r>
      <w:r>
        <w:rPr>
          <w:rFonts w:hint="eastAsia" w:eastAsiaTheme="minorEastAsia"/>
          <w:snapToGrid w:val="0"/>
          <w:color w:val="000000" w:themeColor="text1"/>
          <w:kern w:val="0"/>
          <w:sz w:val="28"/>
          <w:szCs w:val="28"/>
        </w:rPr>
        <w:t>（</w:t>
      </w:r>
      <w:r>
        <w:rPr>
          <w:rFonts w:eastAsiaTheme="minorEastAsia"/>
          <w:snapToGrid w:val="0"/>
          <w:color w:val="000000" w:themeColor="text1"/>
          <w:kern w:val="0"/>
          <w:sz w:val="28"/>
          <w:szCs w:val="28"/>
        </w:rPr>
        <w:t>2018版</w:t>
      </w:r>
      <w:r>
        <w:rPr>
          <w:rFonts w:hint="eastAsia" w:eastAsiaTheme="minorEastAsia"/>
          <w:snapToGrid w:val="0"/>
          <w:color w:val="000000" w:themeColor="text1"/>
          <w:kern w:val="0"/>
          <w:sz w:val="28"/>
          <w:szCs w:val="28"/>
        </w:rPr>
        <w:t>）</w:t>
      </w:r>
      <w:r>
        <w:rPr>
          <w:rFonts w:eastAsiaTheme="minorEastAsia"/>
          <w:snapToGrid w:val="0"/>
          <w:color w:val="000000" w:themeColor="text1"/>
          <w:kern w:val="0"/>
          <w:sz w:val="28"/>
          <w:szCs w:val="28"/>
        </w:rPr>
        <w:t>》（GB50016-2014）、《汽车加油加气加氢站技术标准》（GB50156-2021）等标准、规范要求。</w:t>
      </w:r>
    </w:p>
    <w:bookmarkEnd w:id="1724"/>
    <w:p>
      <w:pPr>
        <w:spacing w:line="500" w:lineRule="exact"/>
        <w:ind w:firstLine="562" w:firstLineChars="200"/>
        <w:rPr>
          <w:rFonts w:eastAsiaTheme="minorEastAsia"/>
          <w:b/>
          <w:snapToGrid w:val="0"/>
          <w:color w:val="000000" w:themeColor="text1"/>
          <w:kern w:val="0"/>
          <w:sz w:val="28"/>
          <w:szCs w:val="28"/>
        </w:rPr>
      </w:pPr>
      <w:r>
        <w:rPr>
          <w:rFonts w:eastAsiaTheme="minorEastAsia"/>
          <w:b/>
          <w:snapToGrid w:val="0"/>
          <w:color w:val="000000" w:themeColor="text1"/>
          <w:kern w:val="0"/>
          <w:sz w:val="28"/>
          <w:szCs w:val="28"/>
        </w:rPr>
        <w:t>2</w:t>
      </w:r>
      <w:r>
        <w:rPr>
          <w:rFonts w:hint="eastAsia" w:eastAsiaTheme="minorEastAsia"/>
          <w:b/>
          <w:snapToGrid w:val="0"/>
          <w:color w:val="000000" w:themeColor="text1"/>
          <w:kern w:val="0"/>
          <w:sz w:val="28"/>
          <w:szCs w:val="28"/>
        </w:rPr>
        <w:t>.</w:t>
      </w:r>
      <w:r>
        <w:rPr>
          <w:rFonts w:eastAsiaTheme="minorEastAsia"/>
          <w:b/>
          <w:snapToGrid w:val="0"/>
          <w:color w:val="000000" w:themeColor="text1"/>
          <w:kern w:val="0"/>
          <w:sz w:val="28"/>
          <w:szCs w:val="28"/>
        </w:rPr>
        <w:t>甲醇储存、装卸系统设备、建（构）筑物的防火间距安全检查</w:t>
      </w:r>
    </w:p>
    <w:p>
      <w:pPr>
        <w:spacing w:line="500" w:lineRule="exact"/>
        <w:ind w:firstLine="560" w:firstLineChars="200"/>
        <w:rPr>
          <w:rFonts w:eastAsiaTheme="minorEastAsia"/>
          <w:snapToGrid w:val="0"/>
          <w:color w:val="000000" w:themeColor="text1"/>
          <w:kern w:val="0"/>
          <w:sz w:val="28"/>
          <w:szCs w:val="28"/>
        </w:rPr>
      </w:pPr>
      <w:r>
        <w:rPr>
          <w:rFonts w:eastAsiaTheme="minorEastAsia"/>
          <w:snapToGrid w:val="0"/>
          <w:color w:val="000000" w:themeColor="text1"/>
          <w:kern w:val="0"/>
          <w:sz w:val="28"/>
          <w:szCs w:val="28"/>
        </w:rPr>
        <w:t>根据《汽车加油加气加氢站技术标准》（GB50156-2021）</w:t>
      </w:r>
      <w:r>
        <w:rPr>
          <w:rFonts w:hint="eastAsia" w:eastAsiaTheme="minorEastAsia"/>
          <w:snapToGrid w:val="0"/>
          <w:color w:val="000000" w:themeColor="text1"/>
          <w:kern w:val="0"/>
          <w:sz w:val="28"/>
          <w:szCs w:val="28"/>
        </w:rPr>
        <w:t>、</w:t>
      </w:r>
      <w:r>
        <w:rPr>
          <w:rFonts w:eastAsiaTheme="minorEastAsia"/>
          <w:snapToGrid w:val="0"/>
          <w:color w:val="000000" w:themeColor="text1"/>
          <w:kern w:val="0"/>
          <w:sz w:val="28"/>
          <w:szCs w:val="28"/>
        </w:rPr>
        <w:t>《建筑设计防火规范</w:t>
      </w:r>
      <w:r>
        <w:rPr>
          <w:rFonts w:hint="eastAsia" w:eastAsiaTheme="minorEastAsia"/>
          <w:snapToGrid w:val="0"/>
          <w:color w:val="000000" w:themeColor="text1"/>
          <w:kern w:val="0"/>
          <w:sz w:val="28"/>
          <w:szCs w:val="28"/>
        </w:rPr>
        <w:t>（</w:t>
      </w:r>
      <w:r>
        <w:rPr>
          <w:rFonts w:eastAsiaTheme="minorEastAsia"/>
          <w:snapToGrid w:val="0"/>
          <w:color w:val="000000" w:themeColor="text1"/>
          <w:kern w:val="0"/>
          <w:sz w:val="28"/>
          <w:szCs w:val="28"/>
        </w:rPr>
        <w:t>2018版</w:t>
      </w:r>
      <w:r>
        <w:rPr>
          <w:rFonts w:hint="eastAsia" w:eastAsiaTheme="minorEastAsia"/>
          <w:snapToGrid w:val="0"/>
          <w:color w:val="000000" w:themeColor="text1"/>
          <w:kern w:val="0"/>
          <w:sz w:val="28"/>
          <w:szCs w:val="28"/>
        </w:rPr>
        <w:t>）</w:t>
      </w:r>
      <w:r>
        <w:rPr>
          <w:rFonts w:eastAsiaTheme="minorEastAsia"/>
          <w:snapToGrid w:val="0"/>
          <w:color w:val="000000" w:themeColor="text1"/>
          <w:kern w:val="0"/>
          <w:sz w:val="28"/>
          <w:szCs w:val="28"/>
        </w:rPr>
        <w:t>》（GB50016-2014）</w:t>
      </w:r>
      <w:r>
        <w:rPr>
          <w:rFonts w:hint="eastAsia" w:eastAsiaTheme="minorEastAsia"/>
          <w:snapToGrid w:val="0"/>
          <w:color w:val="000000" w:themeColor="text1"/>
          <w:kern w:val="0"/>
          <w:sz w:val="28"/>
          <w:szCs w:val="28"/>
        </w:rPr>
        <w:t>等</w:t>
      </w:r>
      <w:r>
        <w:rPr>
          <w:rFonts w:eastAsiaTheme="minorEastAsia"/>
          <w:snapToGrid w:val="0"/>
          <w:color w:val="000000" w:themeColor="text1"/>
          <w:kern w:val="0"/>
          <w:sz w:val="28"/>
          <w:szCs w:val="28"/>
        </w:rPr>
        <w:t>的要求对该项目甲醇储存、装卸设施等之间的防火间距进行安全检查，具体情况如下表所示：</w:t>
      </w:r>
    </w:p>
    <w:p>
      <w:pPr>
        <w:spacing w:line="500" w:lineRule="exact"/>
        <w:ind w:firstLine="480" w:firstLineChars="200"/>
        <w:jc w:val="center"/>
        <w:rPr>
          <w:rFonts w:eastAsiaTheme="minorEastAsia"/>
          <w:color w:val="000000" w:themeColor="text1"/>
          <w:sz w:val="24"/>
        </w:rPr>
      </w:pPr>
      <w:r>
        <w:rPr>
          <w:rFonts w:eastAsiaTheme="minorEastAsia"/>
          <w:color w:val="000000" w:themeColor="text1"/>
          <w:sz w:val="24"/>
        </w:rPr>
        <w:t>表5-6 甲醇储存、装卸设施等之间的防火间距（单位：m）检查表</w:t>
      </w:r>
    </w:p>
    <w:tbl>
      <w:tblPr>
        <w:tblStyle w:val="52"/>
        <w:tblW w:w="87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6"/>
        <w:gridCol w:w="950"/>
        <w:gridCol w:w="950"/>
        <w:gridCol w:w="2100"/>
        <w:gridCol w:w="883"/>
        <w:gridCol w:w="917"/>
        <w:gridCol w:w="21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796" w:type="dxa"/>
            <w:vMerge w:val="restart"/>
            <w:vAlign w:val="center"/>
          </w:tcPr>
          <w:p>
            <w:pPr>
              <w:autoSpaceDE w:val="0"/>
              <w:autoSpaceDN w:val="0"/>
              <w:adjustRightInd w:val="0"/>
              <w:jc w:val="center"/>
              <w:rPr>
                <w:color w:val="000000" w:themeColor="text1"/>
                <w:szCs w:val="21"/>
              </w:rPr>
            </w:pPr>
            <w:r>
              <w:rPr>
                <w:color w:val="000000" w:themeColor="text1"/>
                <w:szCs w:val="21"/>
              </w:rPr>
              <w:t>建构筑物</w:t>
            </w:r>
          </w:p>
        </w:tc>
        <w:tc>
          <w:tcPr>
            <w:tcW w:w="4000" w:type="dxa"/>
            <w:gridSpan w:val="3"/>
            <w:vAlign w:val="center"/>
          </w:tcPr>
          <w:p>
            <w:pPr>
              <w:autoSpaceDE w:val="0"/>
              <w:autoSpaceDN w:val="0"/>
              <w:adjustRightInd w:val="0"/>
              <w:jc w:val="center"/>
              <w:rPr>
                <w:color w:val="000000" w:themeColor="text1"/>
                <w:szCs w:val="21"/>
              </w:rPr>
            </w:pPr>
            <w:r>
              <w:rPr>
                <w:color w:val="000000" w:themeColor="text1"/>
                <w:szCs w:val="21"/>
              </w:rPr>
              <w:t>甲醇储罐</w:t>
            </w:r>
          </w:p>
        </w:tc>
        <w:tc>
          <w:tcPr>
            <w:tcW w:w="3970" w:type="dxa"/>
            <w:gridSpan w:val="3"/>
            <w:vAlign w:val="center"/>
          </w:tcPr>
          <w:p>
            <w:pPr>
              <w:autoSpaceDE w:val="0"/>
              <w:autoSpaceDN w:val="0"/>
              <w:adjustRightInd w:val="0"/>
              <w:jc w:val="center"/>
              <w:rPr>
                <w:color w:val="000000" w:themeColor="text1"/>
                <w:szCs w:val="21"/>
              </w:rPr>
            </w:pPr>
            <w:r>
              <w:rPr>
                <w:rFonts w:hint="eastAsia"/>
                <w:color w:val="000000" w:themeColor="text1"/>
                <w:szCs w:val="21"/>
                <w:lang w:val="en-US" w:eastAsia="zh-CN"/>
              </w:rPr>
              <w:t>加注机（</w:t>
            </w:r>
            <w:r>
              <w:rPr>
                <w:color w:val="000000" w:themeColor="text1"/>
                <w:szCs w:val="21"/>
              </w:rPr>
              <w:t>甲醇通气口</w:t>
            </w:r>
            <w:r>
              <w:rPr>
                <w:rFonts w:hint="eastAsia"/>
                <w:color w:val="000000" w:themeColor="text1"/>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796" w:type="dxa"/>
            <w:vMerge w:val="continue"/>
            <w:vAlign w:val="center"/>
          </w:tcPr>
          <w:p>
            <w:pPr>
              <w:autoSpaceDE w:val="0"/>
              <w:autoSpaceDN w:val="0"/>
              <w:adjustRightInd w:val="0"/>
              <w:jc w:val="center"/>
              <w:rPr>
                <w:color w:val="000000" w:themeColor="text1"/>
                <w:szCs w:val="21"/>
              </w:rPr>
            </w:pPr>
          </w:p>
        </w:tc>
        <w:tc>
          <w:tcPr>
            <w:tcW w:w="950" w:type="dxa"/>
            <w:vAlign w:val="center"/>
          </w:tcPr>
          <w:p>
            <w:pPr>
              <w:autoSpaceDE w:val="0"/>
              <w:autoSpaceDN w:val="0"/>
              <w:adjustRightInd w:val="0"/>
              <w:jc w:val="center"/>
              <w:rPr>
                <w:color w:val="000000" w:themeColor="text1"/>
                <w:szCs w:val="21"/>
              </w:rPr>
            </w:pPr>
            <w:r>
              <w:rPr>
                <w:color w:val="000000" w:themeColor="text1"/>
                <w:szCs w:val="21"/>
              </w:rPr>
              <w:t>实测值</w:t>
            </w:r>
          </w:p>
        </w:tc>
        <w:tc>
          <w:tcPr>
            <w:tcW w:w="950" w:type="dxa"/>
            <w:vAlign w:val="center"/>
          </w:tcPr>
          <w:p>
            <w:pPr>
              <w:autoSpaceDE w:val="0"/>
              <w:autoSpaceDN w:val="0"/>
              <w:adjustRightInd w:val="0"/>
              <w:jc w:val="center"/>
              <w:rPr>
                <w:b/>
                <w:bCs/>
                <w:color w:val="000000" w:themeColor="text1"/>
                <w:szCs w:val="21"/>
              </w:rPr>
            </w:pPr>
            <w:r>
              <w:rPr>
                <w:b/>
                <w:bCs/>
                <w:color w:val="000000" w:themeColor="text1"/>
                <w:szCs w:val="21"/>
              </w:rPr>
              <w:t>标准值</w:t>
            </w:r>
          </w:p>
        </w:tc>
        <w:tc>
          <w:tcPr>
            <w:tcW w:w="2100" w:type="dxa"/>
            <w:vAlign w:val="center"/>
          </w:tcPr>
          <w:p>
            <w:pPr>
              <w:autoSpaceDE w:val="0"/>
              <w:autoSpaceDN w:val="0"/>
              <w:adjustRightInd w:val="0"/>
              <w:jc w:val="center"/>
              <w:rPr>
                <w:color w:val="000000" w:themeColor="text1"/>
                <w:szCs w:val="21"/>
              </w:rPr>
            </w:pPr>
            <w:r>
              <w:rPr>
                <w:rFonts w:hint="eastAsia"/>
                <w:color w:val="000000" w:themeColor="text1"/>
                <w:szCs w:val="21"/>
              </w:rPr>
              <w:t>依据标准</w:t>
            </w:r>
          </w:p>
        </w:tc>
        <w:tc>
          <w:tcPr>
            <w:tcW w:w="883" w:type="dxa"/>
            <w:vAlign w:val="center"/>
          </w:tcPr>
          <w:p>
            <w:pPr>
              <w:autoSpaceDE w:val="0"/>
              <w:autoSpaceDN w:val="0"/>
              <w:adjustRightInd w:val="0"/>
              <w:jc w:val="center"/>
              <w:rPr>
                <w:color w:val="000000" w:themeColor="text1"/>
                <w:szCs w:val="21"/>
              </w:rPr>
            </w:pPr>
            <w:r>
              <w:rPr>
                <w:color w:val="000000" w:themeColor="text1"/>
                <w:szCs w:val="21"/>
              </w:rPr>
              <w:t>实测值</w:t>
            </w:r>
          </w:p>
        </w:tc>
        <w:tc>
          <w:tcPr>
            <w:tcW w:w="917" w:type="dxa"/>
            <w:vAlign w:val="center"/>
          </w:tcPr>
          <w:p>
            <w:pPr>
              <w:autoSpaceDE w:val="0"/>
              <w:autoSpaceDN w:val="0"/>
              <w:adjustRightInd w:val="0"/>
              <w:jc w:val="center"/>
              <w:rPr>
                <w:b/>
                <w:bCs/>
                <w:color w:val="000000" w:themeColor="text1"/>
                <w:szCs w:val="21"/>
              </w:rPr>
            </w:pPr>
            <w:r>
              <w:rPr>
                <w:b/>
                <w:bCs/>
                <w:color w:val="000000" w:themeColor="text1"/>
                <w:szCs w:val="21"/>
              </w:rPr>
              <w:t>标准值</w:t>
            </w:r>
          </w:p>
        </w:tc>
        <w:tc>
          <w:tcPr>
            <w:tcW w:w="2170" w:type="dxa"/>
            <w:vAlign w:val="center"/>
          </w:tcPr>
          <w:p>
            <w:pPr>
              <w:autoSpaceDE w:val="0"/>
              <w:autoSpaceDN w:val="0"/>
              <w:adjustRightInd w:val="0"/>
              <w:jc w:val="center"/>
              <w:rPr>
                <w:color w:val="000000" w:themeColor="text1"/>
                <w:szCs w:val="21"/>
              </w:rPr>
            </w:pPr>
            <w:r>
              <w:rPr>
                <w:rFonts w:hint="eastAsia"/>
                <w:color w:val="000000" w:themeColor="text1"/>
                <w:szCs w:val="21"/>
              </w:rPr>
              <w:t>依据标准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796" w:type="dxa"/>
            <w:vAlign w:val="center"/>
          </w:tcPr>
          <w:p>
            <w:pPr>
              <w:autoSpaceDE w:val="0"/>
              <w:autoSpaceDN w:val="0"/>
              <w:adjustRightInd w:val="0"/>
              <w:jc w:val="center"/>
              <w:rPr>
                <w:color w:val="000000" w:themeColor="text1"/>
                <w:szCs w:val="21"/>
              </w:rPr>
            </w:pPr>
            <w:r>
              <w:rPr>
                <w:color w:val="000000" w:themeColor="text1"/>
                <w:szCs w:val="21"/>
              </w:rPr>
              <w:t>办公楼</w:t>
            </w:r>
          </w:p>
        </w:tc>
        <w:tc>
          <w:tcPr>
            <w:tcW w:w="950" w:type="dxa"/>
            <w:vAlign w:val="center"/>
          </w:tcPr>
          <w:p>
            <w:pPr>
              <w:autoSpaceDE w:val="0"/>
              <w:autoSpaceDN w:val="0"/>
              <w:adjustRightInd w:val="0"/>
              <w:jc w:val="center"/>
              <w:rPr>
                <w:color w:val="000000" w:themeColor="text1"/>
                <w:szCs w:val="21"/>
              </w:rPr>
            </w:pPr>
            <w:r>
              <w:rPr>
                <w:rFonts w:hint="eastAsia"/>
                <w:color w:val="000000" w:themeColor="text1"/>
                <w:szCs w:val="21"/>
              </w:rPr>
              <w:t>21.5</w:t>
            </w:r>
          </w:p>
        </w:tc>
        <w:tc>
          <w:tcPr>
            <w:tcW w:w="950" w:type="dxa"/>
            <w:vAlign w:val="center"/>
          </w:tcPr>
          <w:p>
            <w:pPr>
              <w:autoSpaceDE w:val="0"/>
              <w:autoSpaceDN w:val="0"/>
              <w:adjustRightInd w:val="0"/>
              <w:jc w:val="center"/>
              <w:rPr>
                <w:b/>
                <w:bCs/>
                <w:color w:val="000000" w:themeColor="text1"/>
                <w:szCs w:val="21"/>
              </w:rPr>
            </w:pPr>
            <w:r>
              <w:rPr>
                <w:rFonts w:hint="eastAsia"/>
                <w:b/>
                <w:bCs/>
                <w:color w:val="000000" w:themeColor="text1"/>
                <w:szCs w:val="21"/>
              </w:rPr>
              <w:t>6</w:t>
            </w:r>
          </w:p>
        </w:tc>
        <w:tc>
          <w:tcPr>
            <w:tcW w:w="2100" w:type="dxa"/>
            <w:vAlign w:val="center"/>
          </w:tcPr>
          <w:p>
            <w:pPr>
              <w:autoSpaceDE w:val="0"/>
              <w:autoSpaceDN w:val="0"/>
              <w:adjustRightInd w:val="0"/>
              <w:jc w:val="center"/>
              <w:rPr>
                <w:color w:val="000000" w:themeColor="text1"/>
                <w:szCs w:val="21"/>
              </w:rPr>
            </w:pPr>
            <w:r>
              <w:rPr>
                <w:rFonts w:hint="eastAsia"/>
                <w:color w:val="000000" w:themeColor="text1"/>
                <w:szCs w:val="21"/>
              </w:rPr>
              <w:t>《建筑设计防火规范（2018年版）》（GB50016-2014）表4.2.1及注6</w:t>
            </w:r>
          </w:p>
        </w:tc>
        <w:tc>
          <w:tcPr>
            <w:tcW w:w="883" w:type="dxa"/>
            <w:vAlign w:val="center"/>
          </w:tcPr>
          <w:p>
            <w:pPr>
              <w:autoSpaceDE w:val="0"/>
              <w:autoSpaceDN w:val="0"/>
              <w:adjustRightInd w:val="0"/>
              <w:jc w:val="center"/>
              <w:rPr>
                <w:color w:val="000000" w:themeColor="text1"/>
                <w:szCs w:val="21"/>
              </w:rPr>
            </w:pPr>
            <w:r>
              <w:rPr>
                <w:rFonts w:hint="eastAsia"/>
                <w:color w:val="000000" w:themeColor="text1"/>
                <w:szCs w:val="21"/>
              </w:rPr>
              <w:t>24</w:t>
            </w:r>
          </w:p>
        </w:tc>
        <w:tc>
          <w:tcPr>
            <w:tcW w:w="917" w:type="dxa"/>
            <w:vAlign w:val="center"/>
          </w:tcPr>
          <w:p>
            <w:pPr>
              <w:autoSpaceDE w:val="0"/>
              <w:autoSpaceDN w:val="0"/>
              <w:adjustRightInd w:val="0"/>
              <w:jc w:val="center"/>
              <w:rPr>
                <w:rFonts w:hint="default" w:eastAsia="宋体"/>
                <w:b/>
                <w:bCs/>
                <w:color w:val="000000" w:themeColor="text1"/>
                <w:szCs w:val="21"/>
                <w:lang w:val="en-US" w:eastAsia="zh-CN"/>
              </w:rPr>
            </w:pPr>
            <w:r>
              <w:rPr>
                <w:rFonts w:hint="eastAsia"/>
                <w:b/>
                <w:bCs/>
                <w:color w:val="000000" w:themeColor="text1"/>
                <w:szCs w:val="21"/>
                <w:lang w:val="en-US" w:eastAsia="zh-CN"/>
              </w:rPr>
              <w:t>5（4）</w:t>
            </w:r>
          </w:p>
        </w:tc>
        <w:tc>
          <w:tcPr>
            <w:tcW w:w="2170" w:type="dxa"/>
            <w:vAlign w:val="center"/>
          </w:tcPr>
          <w:p>
            <w:pPr>
              <w:autoSpaceDE w:val="0"/>
              <w:autoSpaceDN w:val="0"/>
              <w:adjustRightInd w:val="0"/>
              <w:jc w:val="center"/>
              <w:rPr>
                <w:color w:val="000000" w:themeColor="text1"/>
                <w:szCs w:val="21"/>
              </w:rPr>
            </w:pPr>
            <w:r>
              <w:rPr>
                <w:color w:val="000000" w:themeColor="text1"/>
                <w:szCs w:val="21"/>
              </w:rPr>
              <w:t>《汽车加油加气</w:t>
            </w:r>
            <w:r>
              <w:rPr>
                <w:rFonts w:hint="eastAsia"/>
                <w:color w:val="000000" w:themeColor="text1"/>
                <w:szCs w:val="21"/>
              </w:rPr>
              <w:t>加氢站技术标准</w:t>
            </w:r>
            <w:r>
              <w:rPr>
                <w:color w:val="000000" w:themeColor="text1"/>
                <w:szCs w:val="21"/>
              </w:rPr>
              <w:t>》（GB50156-2021）中表5.0.13-1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796" w:type="dxa"/>
            <w:vAlign w:val="center"/>
          </w:tcPr>
          <w:p>
            <w:pPr>
              <w:autoSpaceDE w:val="0"/>
              <w:autoSpaceDN w:val="0"/>
              <w:adjustRightInd w:val="0"/>
              <w:jc w:val="center"/>
              <w:rPr>
                <w:color w:val="000000" w:themeColor="text1"/>
                <w:szCs w:val="21"/>
              </w:rPr>
            </w:pPr>
            <w:r>
              <w:rPr>
                <w:color w:val="000000" w:themeColor="text1"/>
                <w:szCs w:val="21"/>
              </w:rPr>
              <w:t>辅助用房</w:t>
            </w:r>
          </w:p>
        </w:tc>
        <w:tc>
          <w:tcPr>
            <w:tcW w:w="950" w:type="dxa"/>
            <w:vAlign w:val="center"/>
          </w:tcPr>
          <w:p>
            <w:pPr>
              <w:autoSpaceDE w:val="0"/>
              <w:autoSpaceDN w:val="0"/>
              <w:adjustRightInd w:val="0"/>
              <w:jc w:val="center"/>
              <w:rPr>
                <w:color w:val="000000" w:themeColor="text1"/>
                <w:szCs w:val="21"/>
              </w:rPr>
            </w:pPr>
            <w:r>
              <w:rPr>
                <w:rFonts w:hint="eastAsia"/>
                <w:color w:val="000000" w:themeColor="text1"/>
                <w:szCs w:val="21"/>
              </w:rPr>
              <w:t>14</w:t>
            </w:r>
          </w:p>
        </w:tc>
        <w:tc>
          <w:tcPr>
            <w:tcW w:w="950" w:type="dxa"/>
            <w:vAlign w:val="center"/>
          </w:tcPr>
          <w:p>
            <w:pPr>
              <w:autoSpaceDE w:val="0"/>
              <w:autoSpaceDN w:val="0"/>
              <w:adjustRightInd w:val="0"/>
              <w:jc w:val="center"/>
              <w:rPr>
                <w:b/>
                <w:bCs/>
                <w:color w:val="000000" w:themeColor="text1"/>
                <w:szCs w:val="21"/>
              </w:rPr>
            </w:pPr>
            <w:r>
              <w:rPr>
                <w:rFonts w:hint="eastAsia"/>
                <w:b/>
                <w:bCs/>
                <w:color w:val="000000" w:themeColor="text1"/>
                <w:szCs w:val="21"/>
              </w:rPr>
              <w:t>6</w:t>
            </w:r>
          </w:p>
        </w:tc>
        <w:tc>
          <w:tcPr>
            <w:tcW w:w="2100" w:type="dxa"/>
            <w:vAlign w:val="center"/>
          </w:tcPr>
          <w:p>
            <w:pPr>
              <w:autoSpaceDE w:val="0"/>
              <w:autoSpaceDN w:val="0"/>
              <w:adjustRightInd w:val="0"/>
              <w:jc w:val="center"/>
              <w:rPr>
                <w:color w:val="000000" w:themeColor="text1"/>
                <w:szCs w:val="21"/>
              </w:rPr>
            </w:pPr>
            <w:r>
              <w:rPr>
                <w:rFonts w:hint="eastAsia"/>
                <w:color w:val="000000" w:themeColor="text1"/>
                <w:szCs w:val="21"/>
              </w:rPr>
              <w:t>《建筑设计防火规范（2018年版）》（GB50016-2014）表4.2.1及注6</w:t>
            </w:r>
          </w:p>
        </w:tc>
        <w:tc>
          <w:tcPr>
            <w:tcW w:w="883" w:type="dxa"/>
            <w:vAlign w:val="center"/>
          </w:tcPr>
          <w:p>
            <w:pPr>
              <w:autoSpaceDE w:val="0"/>
              <w:autoSpaceDN w:val="0"/>
              <w:adjustRightInd w:val="0"/>
              <w:jc w:val="center"/>
              <w:rPr>
                <w:color w:val="000000" w:themeColor="text1"/>
                <w:szCs w:val="21"/>
              </w:rPr>
            </w:pPr>
            <w:r>
              <w:rPr>
                <w:rFonts w:hint="eastAsia"/>
                <w:color w:val="000000" w:themeColor="text1"/>
                <w:szCs w:val="21"/>
              </w:rPr>
              <w:t>16.5</w:t>
            </w:r>
          </w:p>
        </w:tc>
        <w:tc>
          <w:tcPr>
            <w:tcW w:w="917" w:type="dxa"/>
            <w:vAlign w:val="center"/>
          </w:tcPr>
          <w:p>
            <w:pPr>
              <w:autoSpaceDE w:val="0"/>
              <w:autoSpaceDN w:val="0"/>
              <w:adjustRightInd w:val="0"/>
              <w:jc w:val="center"/>
              <w:rPr>
                <w:b/>
                <w:bCs/>
                <w:color w:val="000000" w:themeColor="text1"/>
                <w:szCs w:val="21"/>
              </w:rPr>
            </w:pPr>
            <w:r>
              <w:rPr>
                <w:rFonts w:hint="eastAsia"/>
                <w:b/>
                <w:bCs/>
                <w:color w:val="000000" w:themeColor="text1"/>
                <w:szCs w:val="21"/>
                <w:lang w:val="en-US" w:eastAsia="zh-CN"/>
              </w:rPr>
              <w:t>-（</w:t>
            </w:r>
            <w:r>
              <w:rPr>
                <w:b/>
                <w:bCs/>
                <w:color w:val="000000" w:themeColor="text1"/>
                <w:szCs w:val="21"/>
              </w:rPr>
              <w:t>4</w:t>
            </w:r>
            <w:r>
              <w:rPr>
                <w:rFonts w:hint="eastAsia"/>
                <w:b/>
                <w:bCs/>
                <w:color w:val="000000" w:themeColor="text1"/>
                <w:szCs w:val="21"/>
                <w:lang w:val="en-US" w:eastAsia="zh-CN"/>
              </w:rPr>
              <w:t>）</w:t>
            </w:r>
          </w:p>
        </w:tc>
        <w:tc>
          <w:tcPr>
            <w:tcW w:w="2170" w:type="dxa"/>
            <w:vAlign w:val="center"/>
          </w:tcPr>
          <w:p>
            <w:pPr>
              <w:autoSpaceDE w:val="0"/>
              <w:autoSpaceDN w:val="0"/>
              <w:adjustRightInd w:val="0"/>
              <w:jc w:val="center"/>
              <w:rPr>
                <w:color w:val="000000" w:themeColor="text1"/>
                <w:szCs w:val="21"/>
              </w:rPr>
            </w:pPr>
            <w:r>
              <w:rPr>
                <w:color w:val="000000" w:themeColor="text1"/>
                <w:szCs w:val="21"/>
              </w:rPr>
              <w:t>《汽车加油加气</w:t>
            </w:r>
            <w:r>
              <w:rPr>
                <w:rFonts w:hint="eastAsia"/>
                <w:color w:val="000000" w:themeColor="text1"/>
                <w:szCs w:val="21"/>
              </w:rPr>
              <w:t>加氢站技术标准</w:t>
            </w:r>
            <w:r>
              <w:rPr>
                <w:color w:val="000000" w:themeColor="text1"/>
                <w:szCs w:val="21"/>
              </w:rPr>
              <w:t>》（GB50156-2021）中表5.0.13-1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796" w:type="dxa"/>
            <w:vAlign w:val="center"/>
          </w:tcPr>
          <w:p>
            <w:pPr>
              <w:autoSpaceDE w:val="0"/>
              <w:autoSpaceDN w:val="0"/>
              <w:adjustRightInd w:val="0"/>
              <w:jc w:val="center"/>
              <w:rPr>
                <w:color w:val="000000" w:themeColor="text1"/>
                <w:szCs w:val="21"/>
              </w:rPr>
            </w:pPr>
            <w:r>
              <w:rPr>
                <w:color w:val="000000" w:themeColor="text1"/>
                <w:szCs w:val="21"/>
              </w:rPr>
              <w:t>围墙</w:t>
            </w:r>
          </w:p>
        </w:tc>
        <w:tc>
          <w:tcPr>
            <w:tcW w:w="950" w:type="dxa"/>
            <w:vAlign w:val="center"/>
          </w:tcPr>
          <w:p>
            <w:pPr>
              <w:autoSpaceDE w:val="0"/>
              <w:autoSpaceDN w:val="0"/>
              <w:adjustRightInd w:val="0"/>
              <w:jc w:val="center"/>
              <w:rPr>
                <w:color w:val="000000" w:themeColor="text1"/>
                <w:szCs w:val="21"/>
              </w:rPr>
            </w:pPr>
            <w:r>
              <w:rPr>
                <w:rFonts w:hint="eastAsia"/>
                <w:color w:val="000000" w:themeColor="text1"/>
                <w:szCs w:val="21"/>
              </w:rPr>
              <w:t>3.9</w:t>
            </w:r>
          </w:p>
        </w:tc>
        <w:tc>
          <w:tcPr>
            <w:tcW w:w="950" w:type="dxa"/>
            <w:vAlign w:val="center"/>
          </w:tcPr>
          <w:p>
            <w:pPr>
              <w:autoSpaceDE w:val="0"/>
              <w:autoSpaceDN w:val="0"/>
              <w:adjustRightInd w:val="0"/>
              <w:jc w:val="center"/>
              <w:rPr>
                <w:b/>
                <w:bCs/>
                <w:color w:val="000000" w:themeColor="text1"/>
                <w:szCs w:val="21"/>
              </w:rPr>
            </w:pPr>
            <w:r>
              <w:rPr>
                <w:rFonts w:hint="eastAsia"/>
                <w:b/>
                <w:bCs/>
                <w:color w:val="000000" w:themeColor="text1"/>
                <w:szCs w:val="21"/>
              </w:rPr>
              <w:t>2</w:t>
            </w:r>
          </w:p>
        </w:tc>
        <w:tc>
          <w:tcPr>
            <w:tcW w:w="2100" w:type="dxa"/>
            <w:vAlign w:val="center"/>
          </w:tcPr>
          <w:p>
            <w:pPr>
              <w:autoSpaceDE w:val="0"/>
              <w:autoSpaceDN w:val="0"/>
              <w:adjustRightInd w:val="0"/>
              <w:jc w:val="center"/>
              <w:rPr>
                <w:color w:val="000000" w:themeColor="text1"/>
                <w:szCs w:val="21"/>
              </w:rPr>
            </w:pPr>
            <w:r>
              <w:rPr>
                <w:color w:val="000000" w:themeColor="text1"/>
                <w:szCs w:val="21"/>
              </w:rPr>
              <w:t>《汽车加油加气</w:t>
            </w:r>
            <w:r>
              <w:rPr>
                <w:rFonts w:hint="eastAsia"/>
                <w:color w:val="000000" w:themeColor="text1"/>
                <w:szCs w:val="21"/>
              </w:rPr>
              <w:t>加氢站技术标准</w:t>
            </w:r>
            <w:r>
              <w:rPr>
                <w:color w:val="000000" w:themeColor="text1"/>
                <w:szCs w:val="21"/>
              </w:rPr>
              <w:t>》（GB50156-2021）中表5.0.13-1</w:t>
            </w:r>
          </w:p>
        </w:tc>
        <w:tc>
          <w:tcPr>
            <w:tcW w:w="883" w:type="dxa"/>
            <w:vAlign w:val="center"/>
          </w:tcPr>
          <w:p>
            <w:pPr>
              <w:autoSpaceDE w:val="0"/>
              <w:autoSpaceDN w:val="0"/>
              <w:adjustRightInd w:val="0"/>
              <w:jc w:val="center"/>
              <w:rPr>
                <w:color w:val="000000" w:themeColor="text1"/>
                <w:szCs w:val="21"/>
              </w:rPr>
            </w:pPr>
            <w:r>
              <w:rPr>
                <w:rFonts w:hint="eastAsia"/>
                <w:color w:val="000000" w:themeColor="text1"/>
                <w:szCs w:val="21"/>
              </w:rPr>
              <w:t>5.9</w:t>
            </w:r>
          </w:p>
        </w:tc>
        <w:tc>
          <w:tcPr>
            <w:tcW w:w="917" w:type="dxa"/>
            <w:vAlign w:val="center"/>
          </w:tcPr>
          <w:p>
            <w:pPr>
              <w:autoSpaceDE w:val="0"/>
              <w:autoSpaceDN w:val="0"/>
              <w:adjustRightInd w:val="0"/>
              <w:jc w:val="center"/>
              <w:rPr>
                <w:b/>
                <w:bCs/>
                <w:color w:val="000000" w:themeColor="text1"/>
                <w:szCs w:val="21"/>
              </w:rPr>
            </w:pPr>
            <w:r>
              <w:rPr>
                <w:rFonts w:hint="eastAsia"/>
                <w:b/>
                <w:bCs/>
                <w:color w:val="000000" w:themeColor="text1"/>
                <w:szCs w:val="21"/>
                <w:lang w:val="en-US" w:eastAsia="zh-CN"/>
              </w:rPr>
              <w:t>-（</w:t>
            </w:r>
            <w:r>
              <w:rPr>
                <w:b/>
                <w:bCs/>
                <w:color w:val="000000" w:themeColor="text1"/>
                <w:szCs w:val="21"/>
              </w:rPr>
              <w:t>2</w:t>
            </w:r>
            <w:r>
              <w:rPr>
                <w:rFonts w:hint="eastAsia"/>
                <w:b/>
                <w:bCs/>
                <w:color w:val="000000" w:themeColor="text1"/>
                <w:szCs w:val="21"/>
                <w:lang w:val="en-US" w:eastAsia="zh-CN"/>
              </w:rPr>
              <w:t>）</w:t>
            </w:r>
          </w:p>
        </w:tc>
        <w:tc>
          <w:tcPr>
            <w:tcW w:w="2170" w:type="dxa"/>
            <w:vAlign w:val="center"/>
          </w:tcPr>
          <w:p>
            <w:pPr>
              <w:autoSpaceDE w:val="0"/>
              <w:autoSpaceDN w:val="0"/>
              <w:adjustRightInd w:val="0"/>
              <w:jc w:val="center"/>
              <w:rPr>
                <w:color w:val="000000" w:themeColor="text1"/>
                <w:szCs w:val="21"/>
              </w:rPr>
            </w:pPr>
            <w:r>
              <w:rPr>
                <w:color w:val="000000" w:themeColor="text1"/>
                <w:szCs w:val="21"/>
              </w:rPr>
              <w:t>《汽车加油加气</w:t>
            </w:r>
            <w:r>
              <w:rPr>
                <w:rFonts w:hint="eastAsia"/>
                <w:color w:val="000000" w:themeColor="text1"/>
                <w:szCs w:val="21"/>
              </w:rPr>
              <w:t>加氢站技术标准</w:t>
            </w:r>
            <w:r>
              <w:rPr>
                <w:color w:val="000000" w:themeColor="text1"/>
                <w:szCs w:val="21"/>
              </w:rPr>
              <w:t>》（GB50156-2021）中表5.0.13-1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796" w:type="dxa"/>
            <w:vAlign w:val="center"/>
          </w:tcPr>
          <w:p>
            <w:pPr>
              <w:autoSpaceDE w:val="0"/>
              <w:autoSpaceDN w:val="0"/>
              <w:adjustRightInd w:val="0"/>
              <w:jc w:val="center"/>
              <w:rPr>
                <w:color w:val="000000" w:themeColor="text1"/>
                <w:szCs w:val="21"/>
              </w:rPr>
            </w:pPr>
            <w:r>
              <w:rPr>
                <w:color w:val="000000" w:themeColor="text1"/>
                <w:szCs w:val="21"/>
              </w:rPr>
              <w:t>甲醇罐</w:t>
            </w:r>
          </w:p>
        </w:tc>
        <w:tc>
          <w:tcPr>
            <w:tcW w:w="950" w:type="dxa"/>
            <w:vAlign w:val="center"/>
          </w:tcPr>
          <w:p>
            <w:pPr>
              <w:autoSpaceDE w:val="0"/>
              <w:autoSpaceDN w:val="0"/>
              <w:adjustRightInd w:val="0"/>
              <w:jc w:val="center"/>
              <w:rPr>
                <w:color w:val="000000" w:themeColor="text1"/>
                <w:szCs w:val="21"/>
              </w:rPr>
            </w:pPr>
            <w:r>
              <w:rPr>
                <w:rFonts w:hint="eastAsia"/>
                <w:color w:val="000000" w:themeColor="text1"/>
                <w:szCs w:val="21"/>
              </w:rPr>
              <w:t>0.5</w:t>
            </w:r>
          </w:p>
        </w:tc>
        <w:tc>
          <w:tcPr>
            <w:tcW w:w="950" w:type="dxa"/>
            <w:vAlign w:val="center"/>
          </w:tcPr>
          <w:p>
            <w:pPr>
              <w:autoSpaceDE w:val="0"/>
              <w:autoSpaceDN w:val="0"/>
              <w:adjustRightInd w:val="0"/>
              <w:jc w:val="center"/>
              <w:rPr>
                <w:b/>
                <w:bCs/>
                <w:color w:val="000000" w:themeColor="text1"/>
                <w:szCs w:val="21"/>
              </w:rPr>
            </w:pPr>
            <w:r>
              <w:rPr>
                <w:rFonts w:hint="eastAsia"/>
                <w:b/>
                <w:bCs/>
                <w:color w:val="000000" w:themeColor="text1"/>
                <w:szCs w:val="21"/>
              </w:rPr>
              <w:t>0.5</w:t>
            </w:r>
          </w:p>
        </w:tc>
        <w:tc>
          <w:tcPr>
            <w:tcW w:w="2100" w:type="dxa"/>
            <w:vAlign w:val="center"/>
          </w:tcPr>
          <w:p>
            <w:pPr>
              <w:autoSpaceDE w:val="0"/>
              <w:autoSpaceDN w:val="0"/>
              <w:adjustRightInd w:val="0"/>
              <w:jc w:val="center"/>
              <w:rPr>
                <w:color w:val="000000" w:themeColor="text1"/>
                <w:szCs w:val="21"/>
              </w:rPr>
            </w:pPr>
            <w:r>
              <w:rPr>
                <w:color w:val="000000" w:themeColor="text1"/>
                <w:szCs w:val="21"/>
              </w:rPr>
              <w:t>《汽车加油加气</w:t>
            </w:r>
            <w:r>
              <w:rPr>
                <w:rFonts w:hint="eastAsia"/>
                <w:color w:val="000000" w:themeColor="text1"/>
                <w:szCs w:val="21"/>
              </w:rPr>
              <w:t>加氢站技术标准</w:t>
            </w:r>
            <w:r>
              <w:rPr>
                <w:color w:val="000000" w:themeColor="text1"/>
                <w:szCs w:val="21"/>
              </w:rPr>
              <w:t>》（GB50156-2021）中表5.0.13-1</w:t>
            </w:r>
          </w:p>
        </w:tc>
        <w:tc>
          <w:tcPr>
            <w:tcW w:w="883" w:type="dxa"/>
            <w:vAlign w:val="center"/>
          </w:tcPr>
          <w:p>
            <w:pPr>
              <w:autoSpaceDE w:val="0"/>
              <w:autoSpaceDN w:val="0"/>
              <w:adjustRightInd w:val="0"/>
              <w:jc w:val="center"/>
              <w:rPr>
                <w:color w:val="000000" w:themeColor="text1"/>
                <w:szCs w:val="21"/>
              </w:rPr>
            </w:pPr>
            <w:r>
              <w:rPr>
                <w:color w:val="000000" w:themeColor="text1"/>
                <w:szCs w:val="21"/>
              </w:rPr>
              <w:t>--</w:t>
            </w:r>
          </w:p>
        </w:tc>
        <w:tc>
          <w:tcPr>
            <w:tcW w:w="917" w:type="dxa"/>
            <w:vAlign w:val="center"/>
          </w:tcPr>
          <w:p>
            <w:pPr>
              <w:autoSpaceDE w:val="0"/>
              <w:autoSpaceDN w:val="0"/>
              <w:adjustRightInd w:val="0"/>
              <w:jc w:val="center"/>
              <w:rPr>
                <w:b/>
                <w:bCs/>
                <w:color w:val="000000" w:themeColor="text1"/>
                <w:szCs w:val="21"/>
              </w:rPr>
            </w:pPr>
            <w:r>
              <w:rPr>
                <w:b/>
                <w:bCs/>
                <w:color w:val="000000" w:themeColor="text1"/>
                <w:szCs w:val="21"/>
              </w:rPr>
              <w:t>--</w:t>
            </w:r>
          </w:p>
        </w:tc>
        <w:tc>
          <w:tcPr>
            <w:tcW w:w="2170" w:type="dxa"/>
            <w:vAlign w:val="center"/>
          </w:tcPr>
          <w:p>
            <w:pPr>
              <w:autoSpaceDE w:val="0"/>
              <w:autoSpaceDN w:val="0"/>
              <w:adjustRightInd w:val="0"/>
              <w:jc w:val="center"/>
              <w:rPr>
                <w:color w:val="000000" w:themeColor="text1"/>
                <w:szCs w:val="21"/>
              </w:rPr>
            </w:pPr>
            <w:r>
              <w:rPr>
                <w:rFonts w:hint="eastAsia"/>
                <w:color w:val="000000" w:themeColor="text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796" w:type="dxa"/>
            <w:vAlign w:val="center"/>
          </w:tcPr>
          <w:p>
            <w:pPr>
              <w:autoSpaceDE w:val="0"/>
              <w:autoSpaceDN w:val="0"/>
              <w:adjustRightInd w:val="0"/>
              <w:jc w:val="center"/>
              <w:rPr>
                <w:color w:val="000000" w:themeColor="text1"/>
                <w:szCs w:val="21"/>
              </w:rPr>
            </w:pPr>
            <w:r>
              <w:rPr>
                <w:color w:val="000000" w:themeColor="text1"/>
                <w:szCs w:val="21"/>
              </w:rPr>
              <w:t>备注</w:t>
            </w:r>
          </w:p>
        </w:tc>
        <w:tc>
          <w:tcPr>
            <w:tcW w:w="7970" w:type="dxa"/>
            <w:gridSpan w:val="6"/>
            <w:vAlign w:val="center"/>
          </w:tcPr>
          <w:p>
            <w:pPr>
              <w:autoSpaceDE w:val="0"/>
              <w:autoSpaceDN w:val="0"/>
              <w:adjustRightInd w:val="0"/>
              <w:jc w:val="left"/>
              <w:rPr>
                <w:color w:val="000000" w:themeColor="text1"/>
                <w:szCs w:val="21"/>
              </w:rPr>
            </w:pPr>
            <w:r>
              <w:rPr>
                <w:color w:val="000000" w:themeColor="text1"/>
                <w:szCs w:val="21"/>
              </w:rPr>
              <w:t>间距起算点：通气管——中心线；储罐——罐外壁；建筑物——最凸出外缘</w:t>
            </w:r>
            <w:r>
              <w:rPr>
                <w:rFonts w:hint="eastAsia"/>
                <w:color w:val="000000" w:themeColor="text1"/>
                <w:szCs w:val="21"/>
              </w:rPr>
              <w:t>；表中“--”表示无防火间距要求，加粗部分为标准值</w:t>
            </w:r>
            <w:r>
              <w:rPr>
                <w:color w:val="000000" w:themeColor="text1"/>
                <w:szCs w:val="21"/>
              </w:rPr>
              <w:t>。</w:t>
            </w:r>
          </w:p>
        </w:tc>
      </w:tr>
    </w:tbl>
    <w:p>
      <w:pPr>
        <w:spacing w:line="500" w:lineRule="exact"/>
        <w:ind w:firstLine="560" w:firstLineChars="200"/>
        <w:rPr>
          <w:rFonts w:ascii="宋体" w:hAnsi="宋体" w:cs="宋体"/>
          <w:snapToGrid w:val="0"/>
          <w:color w:val="000000" w:themeColor="text1"/>
          <w:kern w:val="0"/>
          <w:sz w:val="28"/>
          <w:szCs w:val="28"/>
        </w:rPr>
      </w:pPr>
      <w:bookmarkStart w:id="1725" w:name="_Toc7222"/>
      <w:r>
        <w:rPr>
          <w:rFonts w:hint="eastAsia" w:ascii="宋体" w:hAnsi="宋体" w:cs="宋体"/>
          <w:snapToGrid w:val="0"/>
          <w:color w:val="000000" w:themeColor="text1"/>
          <w:kern w:val="0"/>
          <w:sz w:val="28"/>
          <w:szCs w:val="28"/>
        </w:rPr>
        <w:t>由上表检查结果可知，除甲醇储罐及甲醇罐通气口与其西面和南面的围墙防护间距不足外，该项目甲醇储存、装卸设施等的防火间距符合</w:t>
      </w:r>
      <w:r>
        <w:rPr>
          <w:rFonts w:hint="eastAsia" w:ascii="宋体" w:hAnsi="宋体" w:cs="宋体"/>
          <w:color w:val="000000" w:themeColor="text1"/>
          <w:sz w:val="28"/>
          <w:szCs w:val="28"/>
        </w:rPr>
        <w:t>《建筑设计防火规范（2018年版）》（GB50016-2014）、</w:t>
      </w:r>
      <w:r>
        <w:rPr>
          <w:rFonts w:hint="eastAsia" w:ascii="宋体" w:hAnsi="宋体" w:cs="宋体"/>
          <w:snapToGrid w:val="0"/>
          <w:color w:val="000000" w:themeColor="text1"/>
          <w:kern w:val="0"/>
          <w:sz w:val="28"/>
          <w:szCs w:val="28"/>
        </w:rPr>
        <w:t>《汽车加油加气加氢站技术标准》（GB50156-2021）等标准规范的要求。</w:t>
      </w:r>
    </w:p>
    <w:bookmarkEnd w:id="1725"/>
    <w:p>
      <w:pPr>
        <w:pStyle w:val="19"/>
        <w:spacing w:afterLines="100" w:line="500" w:lineRule="exact"/>
        <w:rPr>
          <w:rFonts w:ascii="黑体" w:hAnsi="宋体" w:eastAsia="黑体"/>
          <w:color w:val="000000" w:themeColor="text1"/>
          <w:kern w:val="3"/>
          <w:sz w:val="28"/>
          <w:szCs w:val="28"/>
        </w:rPr>
      </w:pPr>
      <w:bookmarkStart w:id="1726" w:name="_Toc4736"/>
      <w:bookmarkStart w:id="1727" w:name="_Toc8063"/>
      <w:bookmarkStart w:id="1728" w:name="_Toc24138"/>
      <w:bookmarkStart w:id="1729" w:name="_Toc7609"/>
      <w:bookmarkStart w:id="1730" w:name="_Toc19020"/>
      <w:bookmarkStart w:id="1731" w:name="_Toc29970"/>
      <w:bookmarkStart w:id="1732" w:name="_Toc3965"/>
      <w:bookmarkStart w:id="1733" w:name="_Toc26282"/>
      <w:bookmarkStart w:id="1734" w:name="_Toc30610"/>
      <w:bookmarkStart w:id="1735" w:name="_Toc20987"/>
      <w:r>
        <w:rPr>
          <w:rFonts w:hint="eastAsia" w:ascii="黑体" w:hAnsi="宋体" w:eastAsia="黑体"/>
          <w:color w:val="000000" w:themeColor="text1"/>
          <w:kern w:val="3"/>
          <w:sz w:val="28"/>
          <w:szCs w:val="28"/>
        </w:rPr>
        <w:t>5.3.3评价单元小结</w:t>
      </w:r>
      <w:bookmarkEnd w:id="1726"/>
      <w:bookmarkEnd w:id="1727"/>
      <w:bookmarkEnd w:id="1728"/>
      <w:bookmarkEnd w:id="1729"/>
      <w:bookmarkEnd w:id="1730"/>
      <w:bookmarkEnd w:id="1731"/>
      <w:bookmarkEnd w:id="1732"/>
      <w:bookmarkEnd w:id="1733"/>
      <w:bookmarkEnd w:id="1734"/>
      <w:bookmarkEnd w:id="1735"/>
    </w:p>
    <w:p>
      <w:pPr>
        <w:spacing w:line="500" w:lineRule="exact"/>
        <w:ind w:firstLine="560" w:firstLineChars="200"/>
        <w:rPr>
          <w:rFonts w:eastAsiaTheme="minorEastAsia"/>
          <w:snapToGrid w:val="0"/>
          <w:color w:val="000000" w:themeColor="text1"/>
          <w:kern w:val="0"/>
          <w:sz w:val="28"/>
          <w:szCs w:val="28"/>
        </w:rPr>
      </w:pPr>
      <w:r>
        <w:rPr>
          <w:rFonts w:eastAsiaTheme="minorEastAsia"/>
          <w:snapToGrid w:val="0"/>
          <w:color w:val="000000" w:themeColor="text1"/>
          <w:kern w:val="0"/>
          <w:sz w:val="28"/>
          <w:szCs w:val="28"/>
        </w:rPr>
        <w:t>由上述分析评价结果可知：</w:t>
      </w:r>
    </w:p>
    <w:p>
      <w:pPr>
        <w:spacing w:line="500" w:lineRule="exact"/>
        <w:ind w:firstLine="560" w:firstLineChars="200"/>
        <w:rPr>
          <w:rFonts w:ascii="宋体" w:hAnsi="宋体" w:cs="宋体"/>
          <w:snapToGrid w:val="0"/>
          <w:color w:val="000000" w:themeColor="text1"/>
          <w:kern w:val="0"/>
          <w:sz w:val="28"/>
          <w:szCs w:val="28"/>
        </w:rPr>
      </w:pPr>
      <w:r>
        <w:rPr>
          <w:rFonts w:eastAsiaTheme="minorEastAsia"/>
          <w:snapToGrid w:val="0"/>
          <w:color w:val="000000" w:themeColor="text1"/>
          <w:kern w:val="0"/>
          <w:sz w:val="28"/>
          <w:szCs w:val="28"/>
        </w:rPr>
        <w:t>1</w:t>
      </w:r>
      <w:r>
        <w:rPr>
          <w:rFonts w:hint="eastAsia" w:eastAsiaTheme="minorEastAsia"/>
          <w:snapToGrid w:val="0"/>
          <w:color w:val="000000" w:themeColor="text1"/>
          <w:kern w:val="0"/>
          <w:sz w:val="28"/>
          <w:szCs w:val="28"/>
        </w:rPr>
        <w:t>.</w:t>
      </w:r>
      <w:r>
        <w:rPr>
          <w:rFonts w:hint="eastAsia" w:ascii="宋体" w:hAnsi="宋体" w:cs="宋体"/>
          <w:snapToGrid w:val="0"/>
          <w:color w:val="000000" w:themeColor="text1"/>
          <w:kern w:val="0"/>
          <w:sz w:val="28"/>
          <w:szCs w:val="28"/>
        </w:rPr>
        <w:t>该项目甲醇储存设施与厂外周边环境的防火间距符合</w:t>
      </w:r>
      <w:r>
        <w:rPr>
          <w:rFonts w:hint="eastAsia" w:ascii="宋体" w:hAnsi="宋体" w:cs="宋体"/>
          <w:color w:val="000000" w:themeColor="text1"/>
          <w:sz w:val="28"/>
          <w:szCs w:val="21"/>
        </w:rPr>
        <w:t>《危险化学品安全管理条例》（中华人民共和国国务院令第591号，2015年修订）</w:t>
      </w:r>
      <w:r>
        <w:rPr>
          <w:rFonts w:hint="eastAsia" w:ascii="宋体" w:hAnsi="宋体" w:cs="宋体"/>
          <w:color w:val="000000" w:themeColor="text1"/>
          <w:sz w:val="28"/>
        </w:rPr>
        <w:t>、《工业企业总平面设计规范》（GB50187-2012）</w:t>
      </w:r>
      <w:r>
        <w:rPr>
          <w:rFonts w:hint="eastAsia" w:ascii="宋体" w:hAnsi="宋体" w:cs="宋体"/>
          <w:color w:val="000000" w:themeColor="text1"/>
          <w:sz w:val="28"/>
          <w:szCs w:val="28"/>
        </w:rPr>
        <w:t>、</w:t>
      </w:r>
      <w:r>
        <w:rPr>
          <w:rFonts w:hint="eastAsia" w:ascii="宋体" w:hAnsi="宋体" w:cs="宋体"/>
          <w:snapToGrid w:val="0"/>
          <w:color w:val="000000" w:themeColor="text1"/>
          <w:kern w:val="0"/>
          <w:sz w:val="28"/>
          <w:szCs w:val="28"/>
        </w:rPr>
        <w:t>《建筑设计防火规范（2018年版）》（GB50016-2014）、《汽车加油加气加氢站技术标准》（GB50156-2021）等有关标准规范的要求。</w:t>
      </w:r>
    </w:p>
    <w:p>
      <w:pPr>
        <w:spacing w:line="500" w:lineRule="exact"/>
        <w:ind w:firstLine="560" w:firstLineChars="200"/>
        <w:rPr>
          <w:rFonts w:ascii="宋体" w:hAnsi="宋体" w:cs="宋体"/>
          <w:color w:val="000000" w:themeColor="text1"/>
          <w:sz w:val="28"/>
        </w:rPr>
      </w:pPr>
      <w:r>
        <w:rPr>
          <w:rFonts w:hint="eastAsia" w:ascii="宋体" w:hAnsi="宋体" w:cs="宋体"/>
          <w:snapToGrid w:val="0"/>
          <w:color w:val="000000" w:themeColor="text1"/>
          <w:kern w:val="28"/>
          <w:sz w:val="28"/>
          <w:szCs w:val="28"/>
        </w:rPr>
        <w:t>2.该项目总平面布置以及甲醇储存、装卸设施的防火间距</w:t>
      </w:r>
      <w:r>
        <w:rPr>
          <w:rFonts w:hint="eastAsia" w:ascii="宋体" w:hAnsi="宋体" w:cs="宋体"/>
          <w:snapToGrid w:val="0"/>
          <w:color w:val="000000" w:themeColor="text1"/>
          <w:kern w:val="0"/>
          <w:sz w:val="28"/>
          <w:szCs w:val="20"/>
        </w:rPr>
        <w:t>均符合《建筑设计防火规范（2018年版）》（GB50016-2014）、《汽车加油加气加氢站技术标准》（GB50156-2021）等相关标准、规范的要求。</w:t>
      </w:r>
    </w:p>
    <w:p>
      <w:pPr>
        <w:pStyle w:val="19"/>
        <w:spacing w:afterLines="100" w:line="500" w:lineRule="exact"/>
        <w:jc w:val="center"/>
        <w:rPr>
          <w:rFonts w:ascii="楷体_GB2312" w:hAnsi="宋体" w:eastAsia="楷体_GB2312"/>
          <w:color w:val="000000" w:themeColor="text1"/>
          <w:kern w:val="3"/>
        </w:rPr>
      </w:pPr>
      <w:bookmarkStart w:id="1736" w:name="_Toc22940"/>
      <w:bookmarkStart w:id="1737" w:name="_Toc23563"/>
      <w:bookmarkStart w:id="1738" w:name="_Toc9033"/>
      <w:bookmarkStart w:id="1739" w:name="_Toc7561"/>
      <w:bookmarkStart w:id="1740" w:name="_Toc31478"/>
      <w:bookmarkStart w:id="1741" w:name="_Toc9107"/>
      <w:bookmarkStart w:id="1742" w:name="_Toc20644"/>
      <w:bookmarkStart w:id="1743" w:name="_Toc21227"/>
      <w:bookmarkStart w:id="1744" w:name="_Toc13619"/>
      <w:bookmarkStart w:id="1745" w:name="_Toc14897"/>
      <w:bookmarkStart w:id="1746" w:name="_Toc12524"/>
      <w:bookmarkStart w:id="1747" w:name="_Toc18133"/>
      <w:bookmarkStart w:id="1748" w:name="_Toc4876"/>
      <w:bookmarkStart w:id="1749" w:name="_Toc19547_WPSOffice_Level2"/>
      <w:bookmarkStart w:id="1750" w:name="_Toc22420"/>
      <w:bookmarkStart w:id="1751" w:name="_Toc11173"/>
      <w:r>
        <w:rPr>
          <w:rFonts w:hint="eastAsia" w:ascii="楷体_GB2312" w:hAnsi="宋体" w:eastAsia="楷体_GB2312"/>
          <w:color w:val="000000" w:themeColor="text1"/>
          <w:kern w:val="3"/>
        </w:rPr>
        <w:t>5.4甲醇储存工艺设备、设施单元分析评价</w:t>
      </w:r>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p>
    <w:p>
      <w:pPr>
        <w:pStyle w:val="19"/>
        <w:spacing w:afterLines="100" w:line="500" w:lineRule="exact"/>
        <w:rPr>
          <w:rFonts w:ascii="黑体" w:hAnsi="宋体" w:eastAsia="黑体"/>
          <w:color w:val="000000" w:themeColor="text1"/>
          <w:kern w:val="3"/>
          <w:sz w:val="28"/>
          <w:szCs w:val="28"/>
        </w:rPr>
      </w:pPr>
      <w:bookmarkStart w:id="1752" w:name="_Toc25253"/>
      <w:bookmarkStart w:id="1753" w:name="_Toc7977"/>
      <w:bookmarkStart w:id="1754" w:name="_Toc26415"/>
      <w:bookmarkStart w:id="1755" w:name="_Toc8719"/>
      <w:bookmarkStart w:id="1756" w:name="_Toc31228"/>
      <w:bookmarkStart w:id="1757" w:name="_Toc4822"/>
      <w:bookmarkStart w:id="1758" w:name="_Toc445750300"/>
      <w:bookmarkStart w:id="1759" w:name="_Toc2501"/>
      <w:bookmarkStart w:id="1760" w:name="_Toc19125"/>
      <w:bookmarkStart w:id="1761" w:name="_Toc28677"/>
      <w:bookmarkStart w:id="1762" w:name="_Toc3736"/>
      <w:r>
        <w:rPr>
          <w:rFonts w:hint="eastAsia" w:ascii="黑体" w:hAnsi="宋体" w:eastAsia="黑体"/>
          <w:color w:val="000000" w:themeColor="text1"/>
          <w:kern w:val="3"/>
          <w:sz w:val="28"/>
          <w:szCs w:val="28"/>
        </w:rPr>
        <w:t>5.4.1甲醇储存工艺设备、设施安全检查表</w:t>
      </w:r>
      <w:bookmarkEnd w:id="1752"/>
      <w:bookmarkEnd w:id="1753"/>
      <w:bookmarkEnd w:id="1754"/>
      <w:bookmarkEnd w:id="1755"/>
      <w:bookmarkEnd w:id="1756"/>
      <w:bookmarkEnd w:id="1757"/>
      <w:bookmarkEnd w:id="1758"/>
      <w:bookmarkEnd w:id="1759"/>
      <w:bookmarkEnd w:id="1760"/>
      <w:bookmarkEnd w:id="1761"/>
      <w:bookmarkEnd w:id="1762"/>
    </w:p>
    <w:bookmarkEnd w:id="1649"/>
    <w:bookmarkEnd w:id="1650"/>
    <w:p>
      <w:pPr>
        <w:adjustRightInd w:val="0"/>
        <w:snapToGrid w:val="0"/>
        <w:spacing w:line="500" w:lineRule="exact"/>
        <w:ind w:firstLine="560" w:firstLineChars="200"/>
        <w:jc w:val="left"/>
        <w:rPr>
          <w:rFonts w:eastAsiaTheme="minorEastAsia"/>
          <w:snapToGrid w:val="0"/>
          <w:color w:val="000000" w:themeColor="text1"/>
          <w:kern w:val="0"/>
          <w:sz w:val="28"/>
          <w:szCs w:val="28"/>
        </w:rPr>
      </w:pPr>
      <w:bookmarkStart w:id="1763" w:name="_Toc445750304"/>
      <w:r>
        <w:rPr>
          <w:rFonts w:eastAsiaTheme="minorEastAsia"/>
          <w:snapToGrid w:val="0"/>
          <w:color w:val="000000" w:themeColor="text1"/>
          <w:kern w:val="0"/>
          <w:sz w:val="28"/>
          <w:szCs w:val="28"/>
        </w:rPr>
        <w:t>根据</w:t>
      </w:r>
      <w:r>
        <w:rPr>
          <w:rFonts w:eastAsiaTheme="minorEastAsia"/>
          <w:color w:val="000000" w:themeColor="text1"/>
          <w:sz w:val="28"/>
          <w:szCs w:val="28"/>
        </w:rPr>
        <w:t>《汽车加油加气加氢站技术标准》（GB50156-2021）的要求，对该项目甲醇储罐区进行安</w:t>
      </w:r>
      <w:r>
        <w:rPr>
          <w:rFonts w:eastAsiaTheme="minorEastAsia"/>
          <w:snapToGrid w:val="0"/>
          <w:color w:val="000000" w:themeColor="text1"/>
          <w:kern w:val="0"/>
          <w:sz w:val="28"/>
          <w:szCs w:val="28"/>
        </w:rPr>
        <w:t>全分析评价，具体情况如下表所示：</w:t>
      </w:r>
      <w:bookmarkStart w:id="1764" w:name="_Toc21488"/>
      <w:bookmarkStart w:id="1765" w:name="_Toc18680"/>
      <w:bookmarkStart w:id="1766" w:name="_Toc13888"/>
      <w:bookmarkStart w:id="1767" w:name="_Toc5938"/>
      <w:bookmarkStart w:id="1768" w:name="_Toc18970"/>
      <w:bookmarkStart w:id="1769" w:name="_Toc30160"/>
    </w:p>
    <w:p>
      <w:pPr>
        <w:pStyle w:val="19"/>
        <w:spacing w:afterLines="100" w:line="500" w:lineRule="exact"/>
        <w:rPr>
          <w:rFonts w:ascii="黑体" w:hAnsi="宋体" w:eastAsia="黑体"/>
          <w:color w:val="000000" w:themeColor="text1"/>
          <w:kern w:val="3"/>
          <w:sz w:val="28"/>
          <w:szCs w:val="28"/>
        </w:rPr>
      </w:pPr>
      <w:r>
        <w:rPr>
          <w:rFonts w:hint="eastAsia" w:ascii="黑体" w:hAnsi="宋体" w:eastAsia="黑体"/>
          <w:color w:val="000000" w:themeColor="text1"/>
          <w:kern w:val="3"/>
          <w:sz w:val="28"/>
          <w:szCs w:val="28"/>
        </w:rPr>
        <w:t>5.4.1.1储罐区分析评价</w:t>
      </w:r>
      <w:bookmarkEnd w:id="1764"/>
      <w:bookmarkEnd w:id="1765"/>
      <w:bookmarkEnd w:id="1766"/>
      <w:bookmarkEnd w:id="1767"/>
      <w:bookmarkEnd w:id="1768"/>
      <w:bookmarkEnd w:id="1769"/>
    </w:p>
    <w:p>
      <w:pPr>
        <w:adjustRightInd w:val="0"/>
        <w:snapToGrid w:val="0"/>
        <w:spacing w:line="500" w:lineRule="exact"/>
        <w:ind w:firstLine="480" w:firstLineChars="200"/>
        <w:jc w:val="center"/>
        <w:rPr>
          <w:color w:val="000000" w:themeColor="text1"/>
        </w:rPr>
      </w:pPr>
      <w:r>
        <w:rPr>
          <w:color w:val="000000" w:themeColor="text1"/>
          <w:sz w:val="24"/>
        </w:rPr>
        <w:t xml:space="preserve">表5-8 </w:t>
      </w:r>
      <w:r>
        <w:rPr>
          <w:rFonts w:hint="eastAsia"/>
          <w:color w:val="000000" w:themeColor="text1"/>
          <w:sz w:val="24"/>
        </w:rPr>
        <w:t>甲醇储存工艺设备、设施安全</w:t>
      </w:r>
      <w:r>
        <w:rPr>
          <w:color w:val="000000" w:themeColor="text1"/>
          <w:sz w:val="24"/>
        </w:rPr>
        <w:t>检查表</w:t>
      </w:r>
    </w:p>
    <w:tbl>
      <w:tblPr>
        <w:tblStyle w:val="52"/>
        <w:tblW w:w="940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13"/>
        <w:gridCol w:w="3683"/>
        <w:gridCol w:w="2192"/>
        <w:gridCol w:w="2201"/>
        <w:gridCol w:w="71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blHeader/>
          <w:jc w:val="center"/>
        </w:trPr>
        <w:tc>
          <w:tcPr>
            <w:tcW w:w="61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
                <w:bCs/>
                <w:color w:val="000000" w:themeColor="text1"/>
                <w:szCs w:val="21"/>
              </w:rPr>
            </w:pPr>
            <w:r>
              <w:rPr>
                <w:rFonts w:hint="eastAsia" w:ascii="宋体" w:hAnsi="宋体" w:cs="宋体"/>
                <w:b/>
                <w:bCs/>
                <w:color w:val="000000" w:themeColor="text1"/>
                <w:szCs w:val="21"/>
              </w:rPr>
              <w:t>序号</w:t>
            </w:r>
          </w:p>
        </w:tc>
        <w:tc>
          <w:tcPr>
            <w:tcW w:w="368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
                <w:bCs/>
                <w:color w:val="000000" w:themeColor="text1"/>
                <w:szCs w:val="21"/>
              </w:rPr>
            </w:pPr>
            <w:r>
              <w:rPr>
                <w:rFonts w:hint="eastAsia" w:ascii="宋体" w:hAnsi="宋体" w:cs="宋体"/>
                <w:b/>
                <w:bCs/>
                <w:color w:val="000000" w:themeColor="text1"/>
                <w:szCs w:val="21"/>
              </w:rPr>
              <w:t>检查内容</w:t>
            </w:r>
          </w:p>
        </w:tc>
        <w:tc>
          <w:tcPr>
            <w:tcW w:w="219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
                <w:bCs/>
                <w:color w:val="000000" w:themeColor="text1"/>
                <w:szCs w:val="21"/>
              </w:rPr>
            </w:pPr>
            <w:r>
              <w:rPr>
                <w:rFonts w:hint="eastAsia" w:ascii="宋体" w:hAnsi="宋体" w:cs="宋体"/>
                <w:b/>
                <w:bCs/>
                <w:color w:val="000000" w:themeColor="text1"/>
                <w:szCs w:val="21"/>
              </w:rPr>
              <w:t>标准依据</w:t>
            </w:r>
          </w:p>
        </w:tc>
        <w:tc>
          <w:tcPr>
            <w:tcW w:w="220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
                <w:bCs/>
                <w:color w:val="000000" w:themeColor="text1"/>
                <w:szCs w:val="21"/>
              </w:rPr>
            </w:pPr>
            <w:r>
              <w:rPr>
                <w:rFonts w:hint="eastAsia" w:ascii="宋体" w:hAnsi="宋体" w:cs="宋体"/>
                <w:b/>
                <w:bCs/>
                <w:color w:val="000000" w:themeColor="text1"/>
                <w:szCs w:val="21"/>
              </w:rPr>
              <w:t>实际情况</w:t>
            </w:r>
          </w:p>
        </w:tc>
        <w:tc>
          <w:tcPr>
            <w:tcW w:w="71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
                <w:bCs/>
                <w:color w:val="000000" w:themeColor="text1"/>
                <w:szCs w:val="21"/>
              </w:rPr>
            </w:pPr>
            <w:r>
              <w:rPr>
                <w:rFonts w:hint="eastAsia" w:ascii="宋体" w:hAnsi="宋体" w:cs="宋体"/>
                <w:b/>
                <w:bCs/>
                <w:color w:val="000000" w:themeColor="text1"/>
                <w:szCs w:val="21"/>
              </w:rPr>
              <w:t>检查结果</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13" w:type="dxa"/>
            <w:tcBorders>
              <w:top w:val="single" w:color="auto" w:sz="4" w:space="0"/>
              <w:left w:val="single" w:color="auto" w:sz="4" w:space="0"/>
              <w:bottom w:val="single" w:color="auto" w:sz="4" w:space="0"/>
              <w:right w:val="single" w:color="auto" w:sz="4" w:space="0"/>
            </w:tcBorders>
            <w:vAlign w:val="center"/>
          </w:tcPr>
          <w:p>
            <w:pPr>
              <w:numPr>
                <w:ilvl w:val="0"/>
                <w:numId w:val="16"/>
              </w:numPr>
              <w:jc w:val="center"/>
              <w:rPr>
                <w:rFonts w:ascii="宋体" w:hAnsi="宋体" w:cs="宋体"/>
                <w:color w:val="000000" w:themeColor="text1"/>
                <w:szCs w:val="21"/>
              </w:rPr>
            </w:pPr>
          </w:p>
        </w:tc>
        <w:tc>
          <w:tcPr>
            <w:tcW w:w="3683"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themeColor="text1"/>
                <w:szCs w:val="21"/>
              </w:rPr>
            </w:pPr>
            <w:r>
              <w:rPr>
                <w:rFonts w:hint="eastAsia" w:ascii="宋体" w:hAnsi="宋体" w:cs="宋体"/>
                <w:color w:val="000000" w:themeColor="text1"/>
                <w:szCs w:val="21"/>
              </w:rPr>
              <w:t>汽车加油站的储油罐，应采用卧式油罐。</w:t>
            </w:r>
          </w:p>
        </w:tc>
        <w:tc>
          <w:tcPr>
            <w:tcW w:w="219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themeColor="text1"/>
                <w:szCs w:val="21"/>
              </w:rPr>
            </w:pPr>
            <w:r>
              <w:rPr>
                <w:rFonts w:hint="eastAsia" w:ascii="宋体" w:hAnsi="宋体" w:cs="宋体"/>
                <w:color w:val="000000" w:themeColor="text1"/>
                <w:szCs w:val="21"/>
              </w:rPr>
              <w:t>《汽车加油加气加氢站技术标准》（GB50156-2021）</w:t>
            </w:r>
          </w:p>
          <w:p>
            <w:pPr>
              <w:jc w:val="center"/>
              <w:rPr>
                <w:rFonts w:ascii="宋体" w:hAnsi="宋体" w:cs="宋体"/>
                <w:color w:val="000000" w:themeColor="text1"/>
                <w:szCs w:val="21"/>
              </w:rPr>
            </w:pPr>
            <w:r>
              <w:rPr>
                <w:rFonts w:hint="eastAsia" w:ascii="宋体" w:hAnsi="宋体" w:cs="宋体"/>
                <w:color w:val="000000" w:themeColor="text1"/>
                <w:szCs w:val="21"/>
              </w:rPr>
              <w:t>第6.1.2条</w:t>
            </w:r>
          </w:p>
        </w:tc>
        <w:tc>
          <w:tcPr>
            <w:tcW w:w="220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themeColor="text1"/>
                <w:szCs w:val="21"/>
              </w:rPr>
            </w:pPr>
            <w:r>
              <w:rPr>
                <w:rFonts w:hint="eastAsia" w:ascii="宋体" w:hAnsi="宋体" w:cs="宋体"/>
                <w:color w:val="000000" w:themeColor="text1"/>
                <w:szCs w:val="21"/>
              </w:rPr>
              <w:t>该项目两个储罐均采用卧式储罐。</w:t>
            </w:r>
          </w:p>
        </w:tc>
        <w:tc>
          <w:tcPr>
            <w:tcW w:w="71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themeColor="text1"/>
                <w:szCs w:val="21"/>
              </w:rPr>
            </w:pPr>
            <w:r>
              <w:rPr>
                <w:rFonts w:hint="eastAsia" w:ascii="宋体" w:hAnsi="宋体" w:cs="宋体"/>
                <w:color w:val="000000" w:themeColor="text1"/>
                <w:szCs w:val="21"/>
              </w:rPr>
              <w:t>符合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13" w:type="dxa"/>
            <w:tcBorders>
              <w:top w:val="single" w:color="auto" w:sz="4" w:space="0"/>
              <w:left w:val="single" w:color="auto" w:sz="4" w:space="0"/>
              <w:bottom w:val="single" w:color="auto" w:sz="4" w:space="0"/>
              <w:right w:val="single" w:color="auto" w:sz="4" w:space="0"/>
            </w:tcBorders>
            <w:vAlign w:val="center"/>
          </w:tcPr>
          <w:p>
            <w:pPr>
              <w:numPr>
                <w:ilvl w:val="0"/>
                <w:numId w:val="16"/>
              </w:numPr>
              <w:jc w:val="center"/>
              <w:rPr>
                <w:rFonts w:ascii="宋体" w:hAnsi="宋体" w:cs="宋体"/>
                <w:color w:val="000000" w:themeColor="text1"/>
                <w:szCs w:val="21"/>
              </w:rPr>
            </w:pPr>
          </w:p>
        </w:tc>
        <w:tc>
          <w:tcPr>
            <w:tcW w:w="3683"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themeColor="text1"/>
                <w:szCs w:val="21"/>
              </w:rPr>
            </w:pPr>
            <w:r>
              <w:rPr>
                <w:rFonts w:hint="eastAsia" w:ascii="宋体" w:hAnsi="宋体" w:cs="宋体"/>
                <w:color w:val="000000" w:themeColor="text1"/>
                <w:szCs w:val="21"/>
              </w:rPr>
              <w:t>油罐应采用钢制人孔盖。</w:t>
            </w:r>
          </w:p>
        </w:tc>
        <w:tc>
          <w:tcPr>
            <w:tcW w:w="219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themeColor="text1"/>
                <w:szCs w:val="21"/>
              </w:rPr>
            </w:pPr>
            <w:r>
              <w:rPr>
                <w:rFonts w:hint="eastAsia" w:ascii="宋体" w:hAnsi="宋体" w:cs="宋体"/>
                <w:color w:val="000000" w:themeColor="text1"/>
                <w:szCs w:val="21"/>
              </w:rPr>
              <w:t>《汽车加油加气加氢站技术标准》（GB50156-2021）</w:t>
            </w:r>
          </w:p>
          <w:p>
            <w:pPr>
              <w:jc w:val="center"/>
              <w:rPr>
                <w:rFonts w:ascii="宋体" w:hAnsi="宋体" w:cs="宋体"/>
                <w:color w:val="000000" w:themeColor="text1"/>
                <w:szCs w:val="21"/>
              </w:rPr>
            </w:pPr>
            <w:r>
              <w:rPr>
                <w:rFonts w:hint="eastAsia" w:ascii="宋体" w:hAnsi="宋体" w:cs="宋体"/>
                <w:color w:val="000000" w:themeColor="text1"/>
                <w:szCs w:val="21"/>
              </w:rPr>
              <w:t>第6.1.11条</w:t>
            </w:r>
          </w:p>
        </w:tc>
        <w:tc>
          <w:tcPr>
            <w:tcW w:w="220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themeColor="text1"/>
                <w:szCs w:val="21"/>
              </w:rPr>
            </w:pPr>
            <w:r>
              <w:rPr>
                <w:rFonts w:hint="eastAsia" w:ascii="宋体" w:hAnsi="宋体" w:cs="宋体"/>
                <w:color w:val="000000" w:themeColor="text1"/>
                <w:szCs w:val="21"/>
              </w:rPr>
              <w:t>该项目储罐采用钢制人孔盖。</w:t>
            </w:r>
          </w:p>
        </w:tc>
        <w:tc>
          <w:tcPr>
            <w:tcW w:w="71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themeColor="text1"/>
                <w:szCs w:val="21"/>
              </w:rPr>
            </w:pPr>
            <w:r>
              <w:rPr>
                <w:rFonts w:hint="eastAsia" w:ascii="宋体" w:hAnsi="宋体" w:cs="宋体"/>
                <w:color w:val="000000" w:themeColor="text1"/>
                <w:szCs w:val="21"/>
              </w:rPr>
              <w:t>符合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13" w:type="dxa"/>
            <w:tcBorders>
              <w:top w:val="single" w:color="auto" w:sz="4" w:space="0"/>
              <w:left w:val="single" w:color="auto" w:sz="4" w:space="0"/>
              <w:bottom w:val="single" w:color="auto" w:sz="4" w:space="0"/>
              <w:right w:val="single" w:color="auto" w:sz="4" w:space="0"/>
            </w:tcBorders>
            <w:vAlign w:val="center"/>
          </w:tcPr>
          <w:p>
            <w:pPr>
              <w:numPr>
                <w:ilvl w:val="0"/>
                <w:numId w:val="16"/>
              </w:numPr>
              <w:jc w:val="center"/>
              <w:rPr>
                <w:rFonts w:ascii="宋体" w:hAnsi="宋体" w:cs="宋体"/>
                <w:color w:val="000000" w:themeColor="text1"/>
                <w:szCs w:val="21"/>
              </w:rPr>
            </w:pPr>
          </w:p>
        </w:tc>
        <w:tc>
          <w:tcPr>
            <w:tcW w:w="3683"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themeColor="text1"/>
                <w:szCs w:val="21"/>
              </w:rPr>
            </w:pPr>
            <w:r>
              <w:rPr>
                <w:rFonts w:hint="eastAsia" w:ascii="宋体" w:hAnsi="宋体" w:cs="宋体"/>
                <w:color w:val="000000" w:themeColor="text1"/>
                <w:szCs w:val="21"/>
              </w:rPr>
              <w:t>当埋地油罐受地下水或雨水作用有上浮的可能时，应采取防止油罐上浮的措施。</w:t>
            </w:r>
          </w:p>
        </w:tc>
        <w:tc>
          <w:tcPr>
            <w:tcW w:w="219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themeColor="text1"/>
                <w:szCs w:val="21"/>
              </w:rPr>
            </w:pPr>
            <w:r>
              <w:rPr>
                <w:rFonts w:hint="eastAsia" w:ascii="宋体" w:hAnsi="宋体" w:cs="宋体"/>
                <w:color w:val="000000" w:themeColor="text1"/>
                <w:szCs w:val="21"/>
              </w:rPr>
              <w:t>《汽车加油加气加氢站技术标准》（GB50156-2021）</w:t>
            </w:r>
          </w:p>
          <w:p>
            <w:pPr>
              <w:jc w:val="center"/>
              <w:rPr>
                <w:rFonts w:ascii="宋体" w:hAnsi="宋体" w:cs="宋体"/>
                <w:color w:val="000000" w:themeColor="text1"/>
                <w:szCs w:val="21"/>
              </w:rPr>
            </w:pPr>
            <w:r>
              <w:rPr>
                <w:rFonts w:hint="eastAsia" w:ascii="宋体" w:hAnsi="宋体" w:cs="宋体"/>
                <w:color w:val="000000" w:themeColor="text1"/>
                <w:szCs w:val="21"/>
              </w:rPr>
              <w:t>第6.1.13条</w:t>
            </w:r>
          </w:p>
        </w:tc>
        <w:tc>
          <w:tcPr>
            <w:tcW w:w="220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themeColor="text1"/>
                <w:szCs w:val="21"/>
              </w:rPr>
            </w:pPr>
            <w:r>
              <w:rPr>
                <w:rFonts w:hint="eastAsia" w:ascii="宋体" w:hAnsi="宋体" w:cs="宋体"/>
                <w:color w:val="000000" w:themeColor="text1"/>
                <w:szCs w:val="21"/>
              </w:rPr>
              <w:t>储罐埋地前已采取防止储罐上浮的措施。</w:t>
            </w:r>
          </w:p>
        </w:tc>
        <w:tc>
          <w:tcPr>
            <w:tcW w:w="71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themeColor="text1"/>
                <w:szCs w:val="21"/>
              </w:rPr>
            </w:pPr>
            <w:r>
              <w:rPr>
                <w:rFonts w:hint="eastAsia" w:ascii="宋体" w:hAnsi="宋体" w:cs="宋体"/>
                <w:color w:val="000000" w:themeColor="text1"/>
                <w:szCs w:val="21"/>
              </w:rPr>
              <w:t>符合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13" w:type="dxa"/>
            <w:tcBorders>
              <w:top w:val="single" w:color="auto" w:sz="4" w:space="0"/>
              <w:left w:val="single" w:color="auto" w:sz="4" w:space="0"/>
              <w:bottom w:val="single" w:color="auto" w:sz="4" w:space="0"/>
              <w:right w:val="single" w:color="auto" w:sz="4" w:space="0"/>
            </w:tcBorders>
            <w:vAlign w:val="center"/>
          </w:tcPr>
          <w:p>
            <w:pPr>
              <w:numPr>
                <w:ilvl w:val="0"/>
                <w:numId w:val="16"/>
              </w:numPr>
              <w:jc w:val="center"/>
              <w:rPr>
                <w:rFonts w:ascii="宋体" w:hAnsi="宋体" w:cs="宋体"/>
                <w:color w:val="000000" w:themeColor="text1"/>
                <w:szCs w:val="21"/>
              </w:rPr>
            </w:pPr>
          </w:p>
        </w:tc>
        <w:tc>
          <w:tcPr>
            <w:tcW w:w="3683"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themeColor="text1"/>
                <w:szCs w:val="21"/>
              </w:rPr>
            </w:pPr>
            <w:r>
              <w:rPr>
                <w:rFonts w:hint="eastAsia" w:ascii="宋体" w:hAnsi="宋体" w:cs="宋体"/>
                <w:color w:val="000000" w:themeColor="text1"/>
                <w:szCs w:val="21"/>
              </w:rPr>
              <w:t>设有油气回收系统的加油加气站，其站内油罐应设带有高液位报警功能的液位监测系统。单层油罐的液位监测系统尚应具备渗漏检测功能，其渗漏检测分辨率不宜大于0.8L/h。</w:t>
            </w:r>
          </w:p>
        </w:tc>
        <w:tc>
          <w:tcPr>
            <w:tcW w:w="219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themeColor="text1"/>
                <w:szCs w:val="21"/>
              </w:rPr>
            </w:pPr>
            <w:r>
              <w:rPr>
                <w:rFonts w:hint="eastAsia" w:ascii="宋体" w:hAnsi="宋体" w:cs="宋体"/>
                <w:color w:val="000000" w:themeColor="text1"/>
                <w:szCs w:val="21"/>
              </w:rPr>
              <w:t>《汽车加油加气加氢站技术标准》（GB50156-2021）</w:t>
            </w:r>
          </w:p>
          <w:p>
            <w:pPr>
              <w:jc w:val="center"/>
              <w:rPr>
                <w:rFonts w:ascii="宋体" w:hAnsi="宋体" w:cs="宋体"/>
                <w:color w:val="000000" w:themeColor="text1"/>
                <w:szCs w:val="21"/>
              </w:rPr>
            </w:pPr>
            <w:r>
              <w:rPr>
                <w:rFonts w:hint="eastAsia" w:ascii="宋体" w:hAnsi="宋体" w:cs="宋体"/>
                <w:color w:val="000000" w:themeColor="text1"/>
                <w:szCs w:val="21"/>
              </w:rPr>
              <w:t>第6.1.16条</w:t>
            </w:r>
          </w:p>
        </w:tc>
        <w:tc>
          <w:tcPr>
            <w:tcW w:w="220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themeColor="text1"/>
                <w:szCs w:val="21"/>
              </w:rPr>
            </w:pPr>
            <w:r>
              <w:rPr>
                <w:rFonts w:hint="eastAsia" w:ascii="宋体" w:hAnsi="宋体" w:cs="宋体"/>
                <w:color w:val="000000" w:themeColor="text1"/>
                <w:szCs w:val="21"/>
              </w:rPr>
              <w:t>该项目设有高液位报警仪。但现场检查液位报警仪已经失效。</w:t>
            </w:r>
          </w:p>
        </w:tc>
        <w:tc>
          <w:tcPr>
            <w:tcW w:w="71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themeColor="text1"/>
                <w:szCs w:val="21"/>
              </w:rPr>
            </w:pPr>
            <w:r>
              <w:rPr>
                <w:rFonts w:hint="eastAsia" w:ascii="宋体" w:hAnsi="宋体" w:cs="宋体"/>
                <w:color w:val="000000" w:themeColor="text1"/>
                <w:szCs w:val="21"/>
              </w:rPr>
              <w:t>不符合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13" w:type="dxa"/>
            <w:tcBorders>
              <w:top w:val="single" w:color="auto" w:sz="4" w:space="0"/>
              <w:left w:val="single" w:color="auto" w:sz="4" w:space="0"/>
              <w:bottom w:val="single" w:color="auto" w:sz="4" w:space="0"/>
              <w:right w:val="single" w:color="auto" w:sz="4" w:space="0"/>
            </w:tcBorders>
            <w:vAlign w:val="center"/>
          </w:tcPr>
          <w:p>
            <w:pPr>
              <w:numPr>
                <w:ilvl w:val="0"/>
                <w:numId w:val="16"/>
              </w:numPr>
              <w:jc w:val="center"/>
              <w:rPr>
                <w:rFonts w:ascii="宋体" w:hAnsi="宋体" w:cs="宋体"/>
                <w:color w:val="000000" w:themeColor="text1"/>
                <w:szCs w:val="21"/>
              </w:rPr>
            </w:pPr>
          </w:p>
        </w:tc>
        <w:tc>
          <w:tcPr>
            <w:tcW w:w="3683"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themeColor="text1"/>
                <w:szCs w:val="21"/>
              </w:rPr>
            </w:pPr>
            <w:r>
              <w:rPr>
                <w:rFonts w:hint="eastAsia" w:ascii="宋体" w:hAnsi="宋体" w:cs="宋体"/>
                <w:color w:val="000000" w:themeColor="text1"/>
                <w:szCs w:val="21"/>
              </w:rPr>
              <w:t>与土壤接触的钢制油罐外表面，其防腐设计应符合现行行业标准《石油化工设备和管道涂料防腐蚀技术规范》SH 3022的有关规定，且防腐等级不应低于加强级。</w:t>
            </w:r>
          </w:p>
        </w:tc>
        <w:tc>
          <w:tcPr>
            <w:tcW w:w="219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themeColor="text1"/>
                <w:szCs w:val="21"/>
              </w:rPr>
            </w:pPr>
            <w:r>
              <w:rPr>
                <w:rFonts w:hint="eastAsia" w:ascii="宋体" w:hAnsi="宋体" w:cs="宋体"/>
                <w:color w:val="000000" w:themeColor="text1"/>
                <w:szCs w:val="21"/>
              </w:rPr>
              <w:t>《汽车加油加气加氢站技术标准》（GB50156-2021）</w:t>
            </w:r>
          </w:p>
          <w:p>
            <w:pPr>
              <w:jc w:val="center"/>
              <w:rPr>
                <w:rFonts w:ascii="宋体" w:hAnsi="宋体" w:cs="宋体"/>
                <w:color w:val="000000" w:themeColor="text1"/>
                <w:szCs w:val="21"/>
              </w:rPr>
            </w:pPr>
            <w:r>
              <w:rPr>
                <w:rFonts w:hint="eastAsia" w:ascii="宋体" w:hAnsi="宋体" w:cs="宋体"/>
                <w:color w:val="000000" w:themeColor="text1"/>
                <w:szCs w:val="21"/>
              </w:rPr>
              <w:t>第6.1.17条</w:t>
            </w:r>
          </w:p>
        </w:tc>
        <w:tc>
          <w:tcPr>
            <w:tcW w:w="2201"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宋体" w:hAnsi="宋体" w:cs="宋体"/>
                <w:color w:val="000000" w:themeColor="text1"/>
                <w:szCs w:val="21"/>
              </w:rPr>
            </w:pPr>
            <w:r>
              <w:rPr>
                <w:rFonts w:hint="eastAsia" w:ascii="宋体" w:hAnsi="宋体" w:cs="宋体"/>
                <w:color w:val="000000" w:themeColor="text1"/>
                <w:szCs w:val="21"/>
              </w:rPr>
              <w:t>业主介绍该项目的储罐在埋地前进行了加强级防腐处理。</w:t>
            </w:r>
          </w:p>
        </w:tc>
        <w:tc>
          <w:tcPr>
            <w:tcW w:w="71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themeColor="text1"/>
                <w:szCs w:val="21"/>
              </w:rPr>
            </w:pPr>
            <w:r>
              <w:rPr>
                <w:rFonts w:hint="eastAsia" w:ascii="宋体" w:hAnsi="宋体" w:cs="宋体"/>
                <w:color w:val="000000" w:themeColor="text1"/>
                <w:szCs w:val="21"/>
              </w:rPr>
              <w:t>符合</w:t>
            </w:r>
          </w:p>
        </w:tc>
      </w:tr>
      <w:bookmarkEnd w:id="1763"/>
    </w:tbl>
    <w:p>
      <w:pPr>
        <w:pStyle w:val="19"/>
        <w:spacing w:afterLines="100" w:line="500" w:lineRule="exact"/>
        <w:rPr>
          <w:rFonts w:ascii="黑体" w:hAnsi="宋体" w:eastAsia="黑体"/>
          <w:color w:val="000000" w:themeColor="text1"/>
          <w:kern w:val="3"/>
          <w:sz w:val="28"/>
          <w:szCs w:val="28"/>
        </w:rPr>
      </w:pPr>
      <w:bookmarkStart w:id="1770" w:name="_Toc441247056"/>
      <w:bookmarkStart w:id="1771" w:name="_Toc27791"/>
      <w:bookmarkStart w:id="1772" w:name="_Toc8569"/>
      <w:bookmarkStart w:id="1773" w:name="_Toc13809"/>
      <w:bookmarkStart w:id="1774" w:name="_Toc23051"/>
      <w:bookmarkStart w:id="1775" w:name="_Toc472506217"/>
      <w:bookmarkStart w:id="1776" w:name="_Toc505070420"/>
      <w:bookmarkStart w:id="1777" w:name="_Toc27694"/>
      <w:bookmarkStart w:id="1778" w:name="_Toc31714"/>
      <w:bookmarkStart w:id="1779" w:name="_Toc27852"/>
      <w:bookmarkStart w:id="1780" w:name="_Toc31381"/>
      <w:bookmarkStart w:id="1781" w:name="_Toc18615"/>
      <w:bookmarkStart w:id="1782" w:name="_Toc16334"/>
      <w:bookmarkStart w:id="1783" w:name="_Toc2486"/>
      <w:bookmarkStart w:id="1784" w:name="_Toc1738"/>
      <w:bookmarkStart w:id="1785" w:name="_Toc5247"/>
      <w:bookmarkStart w:id="1786" w:name="_Toc5962"/>
      <w:bookmarkStart w:id="1787" w:name="_Toc13733"/>
      <w:bookmarkStart w:id="1788" w:name="_Toc3144"/>
      <w:bookmarkStart w:id="1789" w:name="_Toc23346"/>
      <w:bookmarkStart w:id="1790" w:name="_Toc445750302"/>
      <w:bookmarkStart w:id="1791" w:name="_Toc18687"/>
      <w:bookmarkStart w:id="1792" w:name="_Toc26650"/>
      <w:bookmarkStart w:id="1793" w:name="_Toc6099"/>
      <w:bookmarkStart w:id="1794" w:name="_Toc3676"/>
      <w:bookmarkStart w:id="1795" w:name="_Toc19705"/>
      <w:r>
        <w:rPr>
          <w:rFonts w:hint="eastAsia" w:ascii="黑体" w:hAnsi="宋体" w:eastAsia="黑体"/>
          <w:color w:val="000000" w:themeColor="text1"/>
          <w:kern w:val="3"/>
          <w:sz w:val="28"/>
          <w:szCs w:val="28"/>
        </w:rPr>
        <w:t>5.4.1.2工艺系统分析评价</w:t>
      </w:r>
      <w:bookmarkEnd w:id="1770"/>
      <w:bookmarkEnd w:id="1771"/>
      <w:bookmarkEnd w:id="1772"/>
      <w:bookmarkEnd w:id="1773"/>
      <w:bookmarkEnd w:id="1774"/>
      <w:bookmarkEnd w:id="1775"/>
      <w:bookmarkEnd w:id="1776"/>
      <w:bookmarkEnd w:id="1777"/>
      <w:bookmarkEnd w:id="1778"/>
      <w:bookmarkEnd w:id="1779"/>
    </w:p>
    <w:p>
      <w:pPr>
        <w:adjustRightInd w:val="0"/>
        <w:snapToGrid w:val="0"/>
        <w:jc w:val="center"/>
        <w:rPr>
          <w:color w:val="000000" w:themeColor="text1"/>
          <w:sz w:val="24"/>
        </w:rPr>
      </w:pPr>
      <w:r>
        <w:rPr>
          <w:color w:val="000000" w:themeColor="text1"/>
          <w:sz w:val="24"/>
        </w:rPr>
        <w:t>表5-9 工艺系统安全检查表</w:t>
      </w:r>
    </w:p>
    <w:tbl>
      <w:tblPr>
        <w:tblStyle w:val="52"/>
        <w:tblW w:w="940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52"/>
        <w:gridCol w:w="3360"/>
        <w:gridCol w:w="2163"/>
        <w:gridCol w:w="2554"/>
        <w:gridCol w:w="77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blHeader/>
          <w:jc w:val="center"/>
        </w:trPr>
        <w:tc>
          <w:tcPr>
            <w:tcW w:w="552" w:type="dxa"/>
            <w:tcBorders>
              <w:top w:val="single" w:color="auto" w:sz="4" w:space="0"/>
              <w:left w:val="single" w:color="auto" w:sz="4" w:space="0"/>
              <w:bottom w:val="single" w:color="auto" w:sz="4" w:space="0"/>
              <w:right w:val="single" w:color="auto" w:sz="4" w:space="0"/>
            </w:tcBorders>
            <w:vAlign w:val="center"/>
          </w:tcPr>
          <w:p>
            <w:pPr>
              <w:jc w:val="center"/>
              <w:rPr>
                <w:b/>
                <w:bCs/>
                <w:color w:val="000000" w:themeColor="text1"/>
                <w:szCs w:val="21"/>
              </w:rPr>
            </w:pPr>
            <w:r>
              <w:rPr>
                <w:b/>
                <w:bCs/>
                <w:color w:val="000000" w:themeColor="text1"/>
                <w:szCs w:val="21"/>
              </w:rPr>
              <w:t>序号</w:t>
            </w:r>
          </w:p>
        </w:tc>
        <w:tc>
          <w:tcPr>
            <w:tcW w:w="3360" w:type="dxa"/>
            <w:tcBorders>
              <w:top w:val="single" w:color="auto" w:sz="4" w:space="0"/>
              <w:left w:val="single" w:color="auto" w:sz="4" w:space="0"/>
              <w:bottom w:val="single" w:color="auto" w:sz="4" w:space="0"/>
              <w:right w:val="single" w:color="auto" w:sz="4" w:space="0"/>
            </w:tcBorders>
            <w:vAlign w:val="center"/>
          </w:tcPr>
          <w:p>
            <w:pPr>
              <w:jc w:val="center"/>
              <w:rPr>
                <w:b/>
                <w:bCs/>
                <w:color w:val="000000" w:themeColor="text1"/>
                <w:szCs w:val="21"/>
              </w:rPr>
            </w:pPr>
            <w:r>
              <w:rPr>
                <w:b/>
                <w:bCs/>
                <w:color w:val="000000" w:themeColor="text1"/>
                <w:szCs w:val="21"/>
              </w:rPr>
              <w:t>检查内容</w:t>
            </w:r>
          </w:p>
        </w:tc>
        <w:tc>
          <w:tcPr>
            <w:tcW w:w="2163" w:type="dxa"/>
            <w:tcBorders>
              <w:top w:val="single" w:color="auto" w:sz="4" w:space="0"/>
              <w:left w:val="single" w:color="auto" w:sz="4" w:space="0"/>
              <w:bottom w:val="single" w:color="auto" w:sz="4" w:space="0"/>
              <w:right w:val="single" w:color="auto" w:sz="4" w:space="0"/>
            </w:tcBorders>
            <w:vAlign w:val="center"/>
          </w:tcPr>
          <w:p>
            <w:pPr>
              <w:jc w:val="center"/>
              <w:rPr>
                <w:b/>
                <w:bCs/>
                <w:color w:val="000000" w:themeColor="text1"/>
                <w:szCs w:val="21"/>
              </w:rPr>
            </w:pPr>
            <w:r>
              <w:rPr>
                <w:b/>
                <w:bCs/>
                <w:color w:val="000000" w:themeColor="text1"/>
                <w:szCs w:val="21"/>
              </w:rPr>
              <w:t>标准依据</w:t>
            </w:r>
          </w:p>
        </w:tc>
        <w:tc>
          <w:tcPr>
            <w:tcW w:w="2554" w:type="dxa"/>
            <w:tcBorders>
              <w:top w:val="single" w:color="auto" w:sz="4" w:space="0"/>
              <w:left w:val="single" w:color="auto" w:sz="4" w:space="0"/>
              <w:bottom w:val="single" w:color="auto" w:sz="4" w:space="0"/>
              <w:right w:val="single" w:color="auto" w:sz="4" w:space="0"/>
            </w:tcBorders>
            <w:vAlign w:val="center"/>
          </w:tcPr>
          <w:p>
            <w:pPr>
              <w:jc w:val="center"/>
              <w:rPr>
                <w:b/>
                <w:bCs/>
                <w:color w:val="000000" w:themeColor="text1"/>
                <w:szCs w:val="21"/>
              </w:rPr>
            </w:pPr>
            <w:r>
              <w:rPr>
                <w:b/>
                <w:bCs/>
                <w:color w:val="000000" w:themeColor="text1"/>
                <w:szCs w:val="21"/>
              </w:rPr>
              <w:t>实际情况</w:t>
            </w:r>
          </w:p>
        </w:tc>
        <w:tc>
          <w:tcPr>
            <w:tcW w:w="772" w:type="dxa"/>
            <w:tcBorders>
              <w:top w:val="single" w:color="auto" w:sz="4" w:space="0"/>
              <w:left w:val="single" w:color="auto" w:sz="4" w:space="0"/>
              <w:bottom w:val="single" w:color="auto" w:sz="4" w:space="0"/>
              <w:right w:val="single" w:color="auto" w:sz="4" w:space="0"/>
            </w:tcBorders>
            <w:vAlign w:val="center"/>
          </w:tcPr>
          <w:p>
            <w:pPr>
              <w:jc w:val="center"/>
              <w:rPr>
                <w:b/>
                <w:bCs/>
                <w:color w:val="000000" w:themeColor="text1"/>
                <w:szCs w:val="21"/>
              </w:rPr>
            </w:pPr>
            <w:r>
              <w:rPr>
                <w:b/>
                <w:bCs/>
                <w:color w:val="000000" w:themeColor="text1"/>
                <w:szCs w:val="21"/>
              </w:rPr>
              <w:t>检查结果</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552" w:type="dxa"/>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Cs w:val="21"/>
              </w:rPr>
            </w:pPr>
            <w:r>
              <w:rPr>
                <w:color w:val="000000" w:themeColor="text1"/>
                <w:szCs w:val="21"/>
              </w:rPr>
              <w:t>1</w:t>
            </w:r>
          </w:p>
        </w:tc>
        <w:tc>
          <w:tcPr>
            <w:tcW w:w="3360" w:type="dxa"/>
            <w:tcBorders>
              <w:top w:val="single" w:color="auto" w:sz="4" w:space="0"/>
              <w:left w:val="single" w:color="auto" w:sz="4" w:space="0"/>
              <w:bottom w:val="single" w:color="auto" w:sz="4" w:space="0"/>
              <w:right w:val="single" w:color="auto" w:sz="4" w:space="0"/>
            </w:tcBorders>
            <w:vAlign w:val="center"/>
          </w:tcPr>
          <w:p>
            <w:pPr>
              <w:rPr>
                <w:color w:val="000000" w:themeColor="text1"/>
                <w:szCs w:val="21"/>
              </w:rPr>
            </w:pPr>
            <w:r>
              <w:rPr>
                <w:color w:val="000000" w:themeColor="text1"/>
                <w:szCs w:val="21"/>
              </w:rPr>
              <w:t xml:space="preserve">汽油和柴油油罐车卸油必须采用密闭卸油方式。汽油油罐车应具有卸油油气回收系统。 </w:t>
            </w:r>
          </w:p>
        </w:tc>
        <w:tc>
          <w:tcPr>
            <w:tcW w:w="2163" w:type="dxa"/>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Cs w:val="21"/>
              </w:rPr>
            </w:pPr>
            <w:r>
              <w:rPr>
                <w:color w:val="000000" w:themeColor="text1"/>
                <w:szCs w:val="21"/>
              </w:rPr>
              <w:t>《汽车加油加气加氢站技术标准》（GB50156-2021）</w:t>
            </w:r>
          </w:p>
          <w:p>
            <w:pPr>
              <w:jc w:val="center"/>
              <w:rPr>
                <w:color w:val="000000" w:themeColor="text1"/>
                <w:szCs w:val="21"/>
              </w:rPr>
            </w:pPr>
            <w:r>
              <w:rPr>
                <w:color w:val="000000" w:themeColor="text1"/>
                <w:szCs w:val="21"/>
              </w:rPr>
              <w:t>第6.3.1条</w:t>
            </w:r>
          </w:p>
        </w:tc>
        <w:tc>
          <w:tcPr>
            <w:tcW w:w="2554" w:type="dxa"/>
            <w:tcBorders>
              <w:top w:val="single" w:color="auto" w:sz="4" w:space="0"/>
              <w:left w:val="single" w:color="auto" w:sz="4" w:space="0"/>
              <w:bottom w:val="single" w:color="auto" w:sz="4" w:space="0"/>
              <w:right w:val="single" w:color="auto" w:sz="4" w:space="0"/>
            </w:tcBorders>
            <w:vAlign w:val="center"/>
          </w:tcPr>
          <w:p>
            <w:pPr>
              <w:rPr>
                <w:color w:val="000000" w:themeColor="text1"/>
                <w:szCs w:val="21"/>
              </w:rPr>
            </w:pPr>
            <w:r>
              <w:rPr>
                <w:color w:val="000000" w:themeColor="text1"/>
                <w:szCs w:val="21"/>
              </w:rPr>
              <w:t>该项目采用密闭卸车方式。</w:t>
            </w:r>
          </w:p>
        </w:tc>
        <w:tc>
          <w:tcPr>
            <w:tcW w:w="772" w:type="dxa"/>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Cs w:val="21"/>
              </w:rPr>
            </w:pPr>
            <w:r>
              <w:rPr>
                <w:color w:val="000000" w:themeColor="text1"/>
                <w:szCs w:val="21"/>
              </w:rPr>
              <w:t>符合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552" w:type="dxa"/>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Cs w:val="21"/>
              </w:rPr>
            </w:pPr>
            <w:r>
              <w:rPr>
                <w:color w:val="000000" w:themeColor="text1"/>
                <w:szCs w:val="21"/>
              </w:rPr>
              <w:t>2</w:t>
            </w:r>
          </w:p>
        </w:tc>
        <w:tc>
          <w:tcPr>
            <w:tcW w:w="3360" w:type="dxa"/>
            <w:tcBorders>
              <w:top w:val="single" w:color="auto" w:sz="4" w:space="0"/>
              <w:left w:val="single" w:color="auto" w:sz="4" w:space="0"/>
              <w:bottom w:val="single" w:color="auto" w:sz="4" w:space="0"/>
              <w:right w:val="single" w:color="auto" w:sz="4" w:space="0"/>
            </w:tcBorders>
            <w:vAlign w:val="center"/>
          </w:tcPr>
          <w:p>
            <w:pPr>
              <w:rPr>
                <w:color w:val="000000" w:themeColor="text1"/>
                <w:szCs w:val="21"/>
              </w:rPr>
            </w:pPr>
            <w:r>
              <w:rPr>
                <w:color w:val="000000" w:themeColor="text1"/>
                <w:szCs w:val="21"/>
              </w:rPr>
              <w:t>每个油罐应各自设置卸油管道和卸油接口。各卸油接口及油气回收接口，应有明显的标识。</w:t>
            </w:r>
          </w:p>
        </w:tc>
        <w:tc>
          <w:tcPr>
            <w:tcW w:w="2163" w:type="dxa"/>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Cs w:val="21"/>
              </w:rPr>
            </w:pPr>
            <w:r>
              <w:rPr>
                <w:color w:val="000000" w:themeColor="text1"/>
                <w:szCs w:val="21"/>
              </w:rPr>
              <w:t>《汽车加油加气加氢站技术标准》（GB50156-2021）</w:t>
            </w:r>
          </w:p>
          <w:p>
            <w:pPr>
              <w:jc w:val="center"/>
              <w:rPr>
                <w:color w:val="000000" w:themeColor="text1"/>
                <w:szCs w:val="21"/>
              </w:rPr>
            </w:pPr>
            <w:r>
              <w:rPr>
                <w:color w:val="000000" w:themeColor="text1"/>
                <w:szCs w:val="21"/>
              </w:rPr>
              <w:t>第6.3.2条</w:t>
            </w:r>
          </w:p>
        </w:tc>
        <w:tc>
          <w:tcPr>
            <w:tcW w:w="2554" w:type="dxa"/>
            <w:tcBorders>
              <w:top w:val="single" w:color="auto" w:sz="4" w:space="0"/>
              <w:left w:val="single" w:color="auto" w:sz="4" w:space="0"/>
              <w:bottom w:val="single" w:color="auto" w:sz="4" w:space="0"/>
              <w:right w:val="single" w:color="auto" w:sz="4" w:space="0"/>
            </w:tcBorders>
            <w:vAlign w:val="center"/>
          </w:tcPr>
          <w:p>
            <w:pPr>
              <w:rPr>
                <w:color w:val="000000" w:themeColor="text1"/>
                <w:szCs w:val="21"/>
              </w:rPr>
            </w:pPr>
            <w:r>
              <w:rPr>
                <w:color w:val="000000" w:themeColor="text1"/>
                <w:szCs w:val="21"/>
              </w:rPr>
              <w:t>该项目的每个储罐均各自设置输送管道及输送口。</w:t>
            </w:r>
          </w:p>
        </w:tc>
        <w:tc>
          <w:tcPr>
            <w:tcW w:w="772" w:type="dxa"/>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Cs w:val="21"/>
              </w:rPr>
            </w:pPr>
            <w:r>
              <w:rPr>
                <w:color w:val="000000" w:themeColor="text1"/>
                <w:szCs w:val="21"/>
              </w:rPr>
              <w:t>符合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552" w:type="dxa"/>
            <w:tcBorders>
              <w:top w:val="single" w:color="auto" w:sz="4" w:space="0"/>
              <w:left w:val="single" w:color="auto" w:sz="4" w:space="0"/>
              <w:bottom w:val="single" w:color="auto" w:sz="4" w:space="0"/>
              <w:right w:val="single" w:color="auto" w:sz="4" w:space="0"/>
            </w:tcBorders>
            <w:vAlign w:val="center"/>
          </w:tcPr>
          <w:p>
            <w:pPr>
              <w:widowControl/>
              <w:jc w:val="center"/>
              <w:rPr>
                <w:color w:val="000000" w:themeColor="text1"/>
                <w:szCs w:val="21"/>
              </w:rPr>
            </w:pPr>
            <w:r>
              <w:rPr>
                <w:color w:val="000000" w:themeColor="text1"/>
                <w:szCs w:val="21"/>
              </w:rPr>
              <w:t>3</w:t>
            </w:r>
          </w:p>
        </w:tc>
        <w:tc>
          <w:tcPr>
            <w:tcW w:w="3360" w:type="dxa"/>
            <w:tcBorders>
              <w:top w:val="single" w:color="auto" w:sz="4" w:space="0"/>
              <w:left w:val="single" w:color="auto" w:sz="4" w:space="0"/>
              <w:bottom w:val="single" w:color="auto" w:sz="4" w:space="0"/>
              <w:right w:val="single" w:color="auto" w:sz="4" w:space="0"/>
            </w:tcBorders>
            <w:vAlign w:val="center"/>
          </w:tcPr>
          <w:p>
            <w:pPr>
              <w:rPr>
                <w:color w:val="000000" w:themeColor="text1"/>
                <w:szCs w:val="21"/>
              </w:rPr>
            </w:pPr>
            <w:r>
              <w:rPr>
                <w:color w:val="000000" w:themeColor="text1"/>
                <w:szCs w:val="21"/>
              </w:rPr>
              <w:t>卸油接口应装设快速接头及密封盖。</w:t>
            </w:r>
          </w:p>
        </w:tc>
        <w:tc>
          <w:tcPr>
            <w:tcW w:w="2163" w:type="dxa"/>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Cs w:val="21"/>
              </w:rPr>
            </w:pPr>
            <w:r>
              <w:rPr>
                <w:color w:val="000000" w:themeColor="text1"/>
                <w:szCs w:val="21"/>
              </w:rPr>
              <w:t>《汽车加油加气加氢站技术标准》（GB50156-2021）</w:t>
            </w:r>
          </w:p>
          <w:p>
            <w:pPr>
              <w:jc w:val="center"/>
              <w:rPr>
                <w:color w:val="000000" w:themeColor="text1"/>
                <w:szCs w:val="21"/>
              </w:rPr>
            </w:pPr>
            <w:r>
              <w:rPr>
                <w:color w:val="000000" w:themeColor="text1"/>
                <w:szCs w:val="21"/>
              </w:rPr>
              <w:t>第6.3.3条</w:t>
            </w:r>
          </w:p>
        </w:tc>
        <w:tc>
          <w:tcPr>
            <w:tcW w:w="2554" w:type="dxa"/>
            <w:tcBorders>
              <w:top w:val="single" w:color="auto" w:sz="4" w:space="0"/>
              <w:left w:val="single" w:color="auto" w:sz="4" w:space="0"/>
              <w:bottom w:val="single" w:color="auto" w:sz="4" w:space="0"/>
              <w:right w:val="single" w:color="auto" w:sz="4" w:space="0"/>
            </w:tcBorders>
            <w:vAlign w:val="center"/>
          </w:tcPr>
          <w:p>
            <w:pPr>
              <w:rPr>
                <w:color w:val="000000" w:themeColor="text1"/>
                <w:szCs w:val="21"/>
              </w:rPr>
            </w:pPr>
            <w:r>
              <w:rPr>
                <w:color w:val="000000" w:themeColor="text1"/>
                <w:szCs w:val="21"/>
              </w:rPr>
              <w:t>该项目设有快速接头及密封盖。</w:t>
            </w:r>
          </w:p>
        </w:tc>
        <w:tc>
          <w:tcPr>
            <w:tcW w:w="772" w:type="dxa"/>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Cs w:val="21"/>
              </w:rPr>
            </w:pPr>
            <w:r>
              <w:rPr>
                <w:color w:val="000000" w:themeColor="text1"/>
                <w:szCs w:val="21"/>
              </w:rPr>
              <w:t>符合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552" w:type="dxa"/>
            <w:tcBorders>
              <w:top w:val="single" w:color="auto" w:sz="4" w:space="0"/>
              <w:left w:val="single" w:color="auto" w:sz="4" w:space="0"/>
              <w:bottom w:val="single" w:color="auto" w:sz="4" w:space="0"/>
              <w:right w:val="single" w:color="auto" w:sz="4" w:space="0"/>
            </w:tcBorders>
            <w:vAlign w:val="center"/>
          </w:tcPr>
          <w:p>
            <w:pPr>
              <w:widowControl/>
              <w:jc w:val="center"/>
              <w:rPr>
                <w:color w:val="000000" w:themeColor="text1"/>
                <w:szCs w:val="21"/>
              </w:rPr>
            </w:pPr>
            <w:r>
              <w:rPr>
                <w:color w:val="000000" w:themeColor="text1"/>
                <w:szCs w:val="21"/>
              </w:rPr>
              <w:t>7</w:t>
            </w:r>
          </w:p>
        </w:tc>
        <w:tc>
          <w:tcPr>
            <w:tcW w:w="3360" w:type="dxa"/>
            <w:tcBorders>
              <w:top w:val="single" w:color="auto" w:sz="4" w:space="0"/>
              <w:left w:val="single" w:color="auto" w:sz="4" w:space="0"/>
              <w:bottom w:val="single" w:color="auto" w:sz="4" w:space="0"/>
              <w:right w:val="single" w:color="auto" w:sz="4" w:space="0"/>
            </w:tcBorders>
            <w:vAlign w:val="center"/>
          </w:tcPr>
          <w:p>
            <w:pPr>
              <w:rPr>
                <w:color w:val="000000" w:themeColor="text1"/>
                <w:szCs w:val="21"/>
              </w:rPr>
            </w:pPr>
            <w:r>
              <w:rPr>
                <w:color w:val="000000" w:themeColor="text1"/>
                <w:szCs w:val="21"/>
              </w:rPr>
              <w:t>油罐的接合管设置应符合下列规定：1.接合管应为金属材质。2.接合管应设在油罐的顶部，其中进油接合管、出油接合管或潜油泵安装口，应设在人孔盖上。3.进油管应伸至罐内距罐底50mm～100mm处。进油立管的底端应为45°斜管口或T形管口。进油管管壁上不得有与油罐气相空间相通的开口。4.罐内潜油泵的入油口或通往自吸式加油机管道的罐内底阀，应高于罐底150mm～200mm。5.油罐的量油孔应设带锁的量油帽。量油孔下部的接合管宜向下伸至罐内距罐底200mm处，并应有检尺时使接合管内液位与罐内液位相一致的技术措施。6.油罐人孔井内的管道及设备，应保证油罐人孔盖的可拆装性。7.人孔盖上的接合管与引出井外管道的连接，宜采用金属软管过渡连接（包括潜油泵出油管）。</w:t>
            </w:r>
          </w:p>
        </w:tc>
        <w:tc>
          <w:tcPr>
            <w:tcW w:w="2163" w:type="dxa"/>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Cs w:val="21"/>
              </w:rPr>
            </w:pPr>
            <w:r>
              <w:rPr>
                <w:color w:val="000000" w:themeColor="text1"/>
                <w:szCs w:val="21"/>
              </w:rPr>
              <w:t>《汽车加油加气加氢站技术标准》（GB50156-2021）</w:t>
            </w:r>
          </w:p>
          <w:p>
            <w:pPr>
              <w:jc w:val="center"/>
              <w:rPr>
                <w:color w:val="000000" w:themeColor="text1"/>
                <w:szCs w:val="21"/>
              </w:rPr>
            </w:pPr>
            <w:r>
              <w:rPr>
                <w:color w:val="000000" w:themeColor="text1"/>
                <w:szCs w:val="21"/>
              </w:rPr>
              <w:t>第6.3.8条</w:t>
            </w:r>
          </w:p>
        </w:tc>
        <w:tc>
          <w:tcPr>
            <w:tcW w:w="2554" w:type="dxa"/>
            <w:tcBorders>
              <w:top w:val="single" w:color="auto" w:sz="4" w:space="0"/>
              <w:left w:val="single" w:color="auto" w:sz="4" w:space="0"/>
              <w:bottom w:val="single" w:color="auto" w:sz="4" w:space="0"/>
              <w:right w:val="single" w:color="auto" w:sz="4" w:space="0"/>
            </w:tcBorders>
            <w:vAlign w:val="center"/>
          </w:tcPr>
          <w:p>
            <w:pPr>
              <w:rPr>
                <w:color w:val="000000" w:themeColor="text1"/>
                <w:szCs w:val="21"/>
              </w:rPr>
            </w:pPr>
            <w:r>
              <w:rPr>
                <w:color w:val="000000" w:themeColor="text1"/>
                <w:szCs w:val="21"/>
              </w:rPr>
              <w:t>该项目的接合管为金属材质；接合管设置在储罐的顶部，其中进口接合管、出口接合管均设在人孔盖上；进口管伸至罐内距罐底0.1m处。</w:t>
            </w:r>
          </w:p>
        </w:tc>
        <w:tc>
          <w:tcPr>
            <w:tcW w:w="772" w:type="dxa"/>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Cs w:val="21"/>
              </w:rPr>
            </w:pPr>
            <w:r>
              <w:rPr>
                <w:color w:val="000000" w:themeColor="text1"/>
                <w:szCs w:val="21"/>
              </w:rPr>
              <w:t>符合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552" w:type="dxa"/>
            <w:tcBorders>
              <w:top w:val="single" w:color="auto" w:sz="4" w:space="0"/>
              <w:left w:val="single" w:color="auto" w:sz="4" w:space="0"/>
              <w:bottom w:val="single" w:color="auto" w:sz="4" w:space="0"/>
              <w:right w:val="single" w:color="auto" w:sz="4" w:space="0"/>
            </w:tcBorders>
            <w:vAlign w:val="center"/>
          </w:tcPr>
          <w:p>
            <w:pPr>
              <w:widowControl/>
              <w:jc w:val="center"/>
              <w:rPr>
                <w:color w:val="000000" w:themeColor="text1"/>
                <w:szCs w:val="21"/>
              </w:rPr>
            </w:pPr>
            <w:r>
              <w:rPr>
                <w:color w:val="000000" w:themeColor="text1"/>
                <w:szCs w:val="21"/>
              </w:rPr>
              <w:t>8</w:t>
            </w:r>
          </w:p>
        </w:tc>
        <w:tc>
          <w:tcPr>
            <w:tcW w:w="3360" w:type="dxa"/>
            <w:tcBorders>
              <w:top w:val="single" w:color="auto" w:sz="4" w:space="0"/>
              <w:left w:val="single" w:color="auto" w:sz="4" w:space="0"/>
              <w:bottom w:val="single" w:color="auto" w:sz="4" w:space="0"/>
              <w:right w:val="single" w:color="auto" w:sz="4" w:space="0"/>
            </w:tcBorders>
            <w:vAlign w:val="center"/>
          </w:tcPr>
          <w:p>
            <w:pPr>
              <w:rPr>
                <w:color w:val="000000" w:themeColor="text1"/>
                <w:szCs w:val="21"/>
              </w:rPr>
            </w:pPr>
            <w:r>
              <w:rPr>
                <w:color w:val="000000" w:themeColor="text1"/>
                <w:szCs w:val="21"/>
              </w:rPr>
              <w:t>汽油罐与柴油罐的通气管应分开设置。通气管管口高出地面的高度不应小于4m。沿建（构）筑物的墙（柱）向上敷设的通气管，其管口应高出建筑物的顶面1.5m及以上。通气管管口应设置阻火器。</w:t>
            </w:r>
          </w:p>
        </w:tc>
        <w:tc>
          <w:tcPr>
            <w:tcW w:w="2163" w:type="dxa"/>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Cs w:val="21"/>
              </w:rPr>
            </w:pPr>
            <w:r>
              <w:rPr>
                <w:color w:val="000000" w:themeColor="text1"/>
                <w:szCs w:val="21"/>
              </w:rPr>
              <w:t>《汽车加油加气加氢站技术标准》（GB50156-2021）</w:t>
            </w:r>
          </w:p>
          <w:p>
            <w:pPr>
              <w:jc w:val="center"/>
              <w:rPr>
                <w:color w:val="000000" w:themeColor="text1"/>
                <w:szCs w:val="21"/>
              </w:rPr>
            </w:pPr>
            <w:r>
              <w:rPr>
                <w:color w:val="000000" w:themeColor="text1"/>
                <w:szCs w:val="21"/>
              </w:rPr>
              <w:t>第6.3.9条</w:t>
            </w:r>
          </w:p>
        </w:tc>
        <w:tc>
          <w:tcPr>
            <w:tcW w:w="2554" w:type="dxa"/>
            <w:tcBorders>
              <w:top w:val="single" w:color="auto" w:sz="4" w:space="0"/>
              <w:left w:val="single" w:color="auto" w:sz="4" w:space="0"/>
              <w:bottom w:val="single" w:color="auto" w:sz="4" w:space="0"/>
              <w:right w:val="single" w:color="auto" w:sz="4" w:space="0"/>
            </w:tcBorders>
            <w:vAlign w:val="center"/>
          </w:tcPr>
          <w:p>
            <w:pPr>
              <w:rPr>
                <w:color w:val="000000" w:themeColor="text1"/>
                <w:szCs w:val="21"/>
              </w:rPr>
            </w:pPr>
            <w:r>
              <w:rPr>
                <w:color w:val="000000" w:themeColor="text1"/>
                <w:szCs w:val="21"/>
              </w:rPr>
              <w:t>每个储罐单独设置通气管，通气管高出地面4m，通气管的公称直径为50mm，管口安装了阻火器。</w:t>
            </w:r>
          </w:p>
        </w:tc>
        <w:tc>
          <w:tcPr>
            <w:tcW w:w="772" w:type="dxa"/>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Cs w:val="21"/>
              </w:rPr>
            </w:pPr>
            <w:r>
              <w:rPr>
                <w:color w:val="000000" w:themeColor="text1"/>
                <w:szCs w:val="21"/>
              </w:rPr>
              <w:t>符合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552" w:type="dxa"/>
            <w:tcBorders>
              <w:top w:val="single" w:color="auto" w:sz="4" w:space="0"/>
              <w:left w:val="single" w:color="auto" w:sz="4" w:space="0"/>
              <w:bottom w:val="single" w:color="auto" w:sz="4" w:space="0"/>
              <w:right w:val="single" w:color="auto" w:sz="4" w:space="0"/>
            </w:tcBorders>
            <w:vAlign w:val="center"/>
          </w:tcPr>
          <w:p>
            <w:pPr>
              <w:widowControl/>
              <w:jc w:val="center"/>
              <w:rPr>
                <w:color w:val="000000" w:themeColor="text1"/>
                <w:szCs w:val="21"/>
              </w:rPr>
            </w:pPr>
            <w:r>
              <w:rPr>
                <w:color w:val="000000" w:themeColor="text1"/>
                <w:szCs w:val="21"/>
              </w:rPr>
              <w:t>9</w:t>
            </w:r>
          </w:p>
        </w:tc>
        <w:tc>
          <w:tcPr>
            <w:tcW w:w="3360" w:type="dxa"/>
            <w:tcBorders>
              <w:top w:val="single" w:color="auto" w:sz="4" w:space="0"/>
              <w:left w:val="single" w:color="auto" w:sz="4" w:space="0"/>
              <w:bottom w:val="single" w:color="auto" w:sz="4" w:space="0"/>
              <w:right w:val="single" w:color="auto" w:sz="4" w:space="0"/>
            </w:tcBorders>
            <w:vAlign w:val="center"/>
          </w:tcPr>
          <w:p>
            <w:pPr>
              <w:rPr>
                <w:color w:val="000000" w:themeColor="text1"/>
                <w:szCs w:val="21"/>
              </w:rPr>
            </w:pPr>
            <w:r>
              <w:rPr>
                <w:color w:val="000000" w:themeColor="text1"/>
                <w:szCs w:val="21"/>
              </w:rPr>
              <w:t>通气管的公称直径不应小于50mm。</w:t>
            </w:r>
          </w:p>
        </w:tc>
        <w:tc>
          <w:tcPr>
            <w:tcW w:w="2163" w:type="dxa"/>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Cs w:val="21"/>
              </w:rPr>
            </w:pPr>
            <w:r>
              <w:rPr>
                <w:color w:val="000000" w:themeColor="text1"/>
                <w:szCs w:val="21"/>
              </w:rPr>
              <w:t>《汽车加油加气加氢站技术标准》（GB50156-2021）</w:t>
            </w:r>
          </w:p>
          <w:p>
            <w:pPr>
              <w:jc w:val="center"/>
              <w:rPr>
                <w:color w:val="000000" w:themeColor="text1"/>
                <w:szCs w:val="21"/>
              </w:rPr>
            </w:pPr>
            <w:r>
              <w:rPr>
                <w:color w:val="000000" w:themeColor="text1"/>
                <w:szCs w:val="21"/>
              </w:rPr>
              <w:t>第6.3.10条</w:t>
            </w:r>
          </w:p>
        </w:tc>
        <w:tc>
          <w:tcPr>
            <w:tcW w:w="2554" w:type="dxa"/>
            <w:tcBorders>
              <w:top w:val="single" w:color="auto" w:sz="4" w:space="0"/>
              <w:left w:val="single" w:color="auto" w:sz="4" w:space="0"/>
              <w:bottom w:val="single" w:color="auto" w:sz="4" w:space="0"/>
              <w:right w:val="single" w:color="auto" w:sz="4" w:space="0"/>
            </w:tcBorders>
            <w:vAlign w:val="center"/>
          </w:tcPr>
          <w:p>
            <w:pPr>
              <w:rPr>
                <w:color w:val="000000" w:themeColor="text1"/>
                <w:szCs w:val="21"/>
              </w:rPr>
            </w:pPr>
            <w:r>
              <w:rPr>
                <w:color w:val="000000" w:themeColor="text1"/>
                <w:szCs w:val="21"/>
              </w:rPr>
              <w:t>通气管的公称直径为50mm。</w:t>
            </w:r>
          </w:p>
        </w:tc>
        <w:tc>
          <w:tcPr>
            <w:tcW w:w="772" w:type="dxa"/>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Cs w:val="21"/>
              </w:rPr>
            </w:pPr>
            <w:r>
              <w:rPr>
                <w:color w:val="000000" w:themeColor="text1"/>
                <w:szCs w:val="21"/>
              </w:rPr>
              <w:t>符合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552" w:type="dxa"/>
            <w:tcBorders>
              <w:top w:val="single" w:color="auto" w:sz="4" w:space="0"/>
              <w:left w:val="single" w:color="auto" w:sz="4" w:space="0"/>
              <w:bottom w:val="single" w:color="auto" w:sz="4" w:space="0"/>
              <w:right w:val="single" w:color="auto" w:sz="4" w:space="0"/>
            </w:tcBorders>
            <w:vAlign w:val="center"/>
          </w:tcPr>
          <w:p>
            <w:pPr>
              <w:widowControl/>
              <w:jc w:val="center"/>
              <w:rPr>
                <w:color w:val="000000" w:themeColor="text1"/>
                <w:szCs w:val="21"/>
              </w:rPr>
            </w:pPr>
            <w:r>
              <w:rPr>
                <w:color w:val="000000" w:themeColor="text1"/>
                <w:szCs w:val="21"/>
              </w:rPr>
              <w:t>10</w:t>
            </w:r>
          </w:p>
        </w:tc>
        <w:tc>
          <w:tcPr>
            <w:tcW w:w="3360" w:type="dxa"/>
            <w:tcBorders>
              <w:top w:val="single" w:color="auto" w:sz="4" w:space="0"/>
              <w:left w:val="single" w:color="auto" w:sz="4" w:space="0"/>
              <w:bottom w:val="single" w:color="auto" w:sz="4" w:space="0"/>
              <w:right w:val="single" w:color="auto" w:sz="4" w:space="0"/>
            </w:tcBorders>
            <w:vAlign w:val="center"/>
          </w:tcPr>
          <w:p>
            <w:pPr>
              <w:rPr>
                <w:color w:val="000000" w:themeColor="text1"/>
                <w:szCs w:val="21"/>
              </w:rPr>
            </w:pPr>
            <w:r>
              <w:rPr>
                <w:color w:val="000000" w:themeColor="text1"/>
                <w:szCs w:val="21"/>
              </w:rPr>
              <w:t>加油站工艺管道的选用，应符合下列规定：1）油罐通气管道和露出地面的管道，应采用符合现行国家标准《输送流体用无缝钢管》GB/T 8163的无缝钢管；2）其他管道应采用输送流体用无缝钢管或适于输送油品的热塑性塑料管道。所采用的热塑性塑料管道应有质量证明文件。非烃类车用燃料不得采用不导静电的热塑性塑料管道；3）无缝钢管的公称壁厚不应小于4mm，埋地钢管的连接应采用焊接；4）热塑性塑料管道的主体结构层应为无孔隙聚乙烯材料，壁厚不应小于4mm。埋地部分的热塑性塑料管道应采用配套的专用连接管件电熔连接；5）导静电热塑性塑料管道导静电衬层的体电阻率应小于10</w:t>
            </w:r>
            <w:r>
              <w:rPr>
                <w:color w:val="000000" w:themeColor="text1"/>
                <w:szCs w:val="21"/>
                <w:vertAlign w:val="superscript"/>
              </w:rPr>
              <w:t>8</w:t>
            </w:r>
            <w:r>
              <w:rPr>
                <w:color w:val="000000" w:themeColor="text1"/>
                <w:szCs w:val="21"/>
              </w:rPr>
              <w:t>Ω•m，表面电阻率应小于10</w:t>
            </w:r>
            <w:r>
              <w:rPr>
                <w:color w:val="000000" w:themeColor="text1"/>
                <w:szCs w:val="21"/>
                <w:vertAlign w:val="superscript"/>
              </w:rPr>
              <w:t>10</w:t>
            </w:r>
            <w:r>
              <w:rPr>
                <w:color w:val="000000" w:themeColor="text1"/>
                <w:szCs w:val="21"/>
              </w:rPr>
              <w:t>Ω；6）不导静电热塑性塑料管道主体结构层的介电击穿强度应大于100kV；7）柴油尾气处理液加注设备的管道，应采用奥氏体不锈钢管道或能满足输送柴油尾气处理液的其他管道。</w:t>
            </w:r>
          </w:p>
        </w:tc>
        <w:tc>
          <w:tcPr>
            <w:tcW w:w="2163" w:type="dxa"/>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Cs w:val="21"/>
              </w:rPr>
            </w:pPr>
            <w:r>
              <w:rPr>
                <w:color w:val="000000" w:themeColor="text1"/>
                <w:szCs w:val="21"/>
              </w:rPr>
              <w:t>《汽车加油加气加氢站技术标准》（GB50156-2021）</w:t>
            </w:r>
          </w:p>
          <w:p>
            <w:pPr>
              <w:jc w:val="center"/>
              <w:rPr>
                <w:color w:val="000000" w:themeColor="text1"/>
                <w:szCs w:val="21"/>
              </w:rPr>
            </w:pPr>
            <w:r>
              <w:rPr>
                <w:color w:val="000000" w:themeColor="text1"/>
                <w:szCs w:val="21"/>
              </w:rPr>
              <w:t>第6.3.12条</w:t>
            </w:r>
          </w:p>
        </w:tc>
        <w:tc>
          <w:tcPr>
            <w:tcW w:w="2554" w:type="dxa"/>
            <w:tcBorders>
              <w:top w:val="single" w:color="auto" w:sz="4" w:space="0"/>
              <w:left w:val="single" w:color="auto" w:sz="4" w:space="0"/>
              <w:bottom w:val="single" w:color="auto" w:sz="4" w:space="0"/>
              <w:right w:val="single" w:color="auto" w:sz="4" w:space="0"/>
            </w:tcBorders>
            <w:vAlign w:val="center"/>
          </w:tcPr>
          <w:p>
            <w:pPr>
              <w:rPr>
                <w:color w:val="000000" w:themeColor="text1"/>
                <w:szCs w:val="21"/>
              </w:rPr>
            </w:pPr>
            <w:r>
              <w:rPr>
                <w:color w:val="000000" w:themeColor="text1"/>
                <w:szCs w:val="21"/>
              </w:rPr>
              <w:t>该项目通气管和露出地面的管道采用符合现行国家标准《输送流体用无缝钢管》（GB/T8163）的无缝钢管，无缝钢管的公称壁厚符合要求，埋地钢管的连接采用焊接。</w:t>
            </w:r>
          </w:p>
        </w:tc>
        <w:tc>
          <w:tcPr>
            <w:tcW w:w="772" w:type="dxa"/>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Cs w:val="21"/>
              </w:rPr>
            </w:pPr>
            <w:r>
              <w:rPr>
                <w:color w:val="000000" w:themeColor="text1"/>
                <w:szCs w:val="21"/>
              </w:rPr>
              <w:t>符合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552" w:type="dxa"/>
            <w:tcBorders>
              <w:top w:val="single" w:color="auto" w:sz="4" w:space="0"/>
              <w:left w:val="single" w:color="auto" w:sz="4" w:space="0"/>
              <w:bottom w:val="single" w:color="auto" w:sz="4" w:space="0"/>
              <w:right w:val="single" w:color="auto" w:sz="4" w:space="0"/>
            </w:tcBorders>
            <w:vAlign w:val="center"/>
          </w:tcPr>
          <w:p>
            <w:pPr>
              <w:widowControl/>
              <w:jc w:val="center"/>
              <w:rPr>
                <w:color w:val="000000" w:themeColor="text1"/>
                <w:szCs w:val="21"/>
              </w:rPr>
            </w:pPr>
            <w:r>
              <w:rPr>
                <w:color w:val="000000" w:themeColor="text1"/>
                <w:szCs w:val="21"/>
              </w:rPr>
              <w:t>11</w:t>
            </w:r>
          </w:p>
        </w:tc>
        <w:tc>
          <w:tcPr>
            <w:tcW w:w="3360" w:type="dxa"/>
            <w:tcBorders>
              <w:top w:val="single" w:color="auto" w:sz="4" w:space="0"/>
              <w:left w:val="single" w:color="auto" w:sz="4" w:space="0"/>
              <w:bottom w:val="single" w:color="auto" w:sz="4" w:space="0"/>
              <w:right w:val="single" w:color="auto" w:sz="4" w:space="0"/>
            </w:tcBorders>
            <w:vAlign w:val="center"/>
          </w:tcPr>
          <w:p>
            <w:pPr>
              <w:rPr>
                <w:color w:val="000000" w:themeColor="text1"/>
                <w:szCs w:val="21"/>
              </w:rPr>
            </w:pPr>
            <w:r>
              <w:rPr>
                <w:color w:val="000000" w:themeColor="text1"/>
                <w:szCs w:val="21"/>
              </w:rPr>
              <w:t>油罐车卸油时用的卸油连通软管、油气回收连通软管，应采用导静电耐油软管，其体电阻率应小于10</w:t>
            </w:r>
            <w:r>
              <w:rPr>
                <w:color w:val="000000" w:themeColor="text1"/>
                <w:szCs w:val="21"/>
                <w:vertAlign w:val="superscript"/>
              </w:rPr>
              <w:t>8</w:t>
            </w:r>
            <w:r>
              <w:rPr>
                <w:color w:val="000000" w:themeColor="text1"/>
                <w:szCs w:val="21"/>
              </w:rPr>
              <w:t>Ω•m，表面电阻率应小于10</w:t>
            </w:r>
            <w:r>
              <w:rPr>
                <w:color w:val="000000" w:themeColor="text1"/>
                <w:szCs w:val="21"/>
                <w:vertAlign w:val="superscript"/>
              </w:rPr>
              <w:t>10</w:t>
            </w:r>
            <w:r>
              <w:rPr>
                <w:color w:val="000000" w:themeColor="text1"/>
                <w:szCs w:val="21"/>
              </w:rPr>
              <w:t>Ω，或采用内附金属丝（网）的橡胶软管。</w:t>
            </w:r>
          </w:p>
        </w:tc>
        <w:tc>
          <w:tcPr>
            <w:tcW w:w="2163" w:type="dxa"/>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Cs w:val="21"/>
              </w:rPr>
            </w:pPr>
            <w:r>
              <w:rPr>
                <w:color w:val="000000" w:themeColor="text1"/>
                <w:szCs w:val="21"/>
              </w:rPr>
              <w:t>《汽车加油加气加氢站技术标准》（GB50156-2021）</w:t>
            </w:r>
          </w:p>
          <w:p>
            <w:pPr>
              <w:jc w:val="center"/>
              <w:rPr>
                <w:color w:val="000000" w:themeColor="text1"/>
                <w:szCs w:val="21"/>
              </w:rPr>
            </w:pPr>
            <w:r>
              <w:rPr>
                <w:color w:val="000000" w:themeColor="text1"/>
                <w:szCs w:val="21"/>
              </w:rPr>
              <w:t>第6.3.13条</w:t>
            </w:r>
          </w:p>
        </w:tc>
        <w:tc>
          <w:tcPr>
            <w:tcW w:w="2554" w:type="dxa"/>
            <w:tcBorders>
              <w:top w:val="single" w:color="auto" w:sz="4" w:space="0"/>
              <w:left w:val="single" w:color="auto" w:sz="4" w:space="0"/>
              <w:bottom w:val="single" w:color="auto" w:sz="4" w:space="0"/>
              <w:right w:val="single" w:color="auto" w:sz="4" w:space="0"/>
            </w:tcBorders>
            <w:vAlign w:val="center"/>
          </w:tcPr>
          <w:p>
            <w:pPr>
              <w:rPr>
                <w:color w:val="000000" w:themeColor="text1"/>
                <w:szCs w:val="21"/>
              </w:rPr>
            </w:pPr>
            <w:r>
              <w:rPr>
                <w:color w:val="000000" w:themeColor="text1"/>
                <w:szCs w:val="21"/>
              </w:rPr>
              <w:t>该项目卸车时用的卸甲醇连通软管采用导静电耐油胶管，电阻率符合要求。</w:t>
            </w:r>
          </w:p>
        </w:tc>
        <w:tc>
          <w:tcPr>
            <w:tcW w:w="772" w:type="dxa"/>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Cs w:val="21"/>
              </w:rPr>
            </w:pPr>
            <w:r>
              <w:rPr>
                <w:color w:val="000000" w:themeColor="text1"/>
                <w:szCs w:val="21"/>
              </w:rPr>
              <w:t>符合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552" w:type="dxa"/>
            <w:tcBorders>
              <w:top w:val="single" w:color="auto" w:sz="4" w:space="0"/>
              <w:left w:val="single" w:color="auto" w:sz="4" w:space="0"/>
              <w:bottom w:val="single" w:color="auto" w:sz="4" w:space="0"/>
              <w:right w:val="single" w:color="auto" w:sz="4" w:space="0"/>
            </w:tcBorders>
            <w:vAlign w:val="center"/>
          </w:tcPr>
          <w:p>
            <w:pPr>
              <w:widowControl/>
              <w:jc w:val="center"/>
              <w:rPr>
                <w:color w:val="000000" w:themeColor="text1"/>
                <w:szCs w:val="21"/>
              </w:rPr>
            </w:pPr>
            <w:r>
              <w:rPr>
                <w:color w:val="000000" w:themeColor="text1"/>
                <w:szCs w:val="21"/>
              </w:rPr>
              <w:t>12</w:t>
            </w:r>
          </w:p>
        </w:tc>
        <w:tc>
          <w:tcPr>
            <w:tcW w:w="3360" w:type="dxa"/>
            <w:tcBorders>
              <w:top w:val="single" w:color="auto" w:sz="4" w:space="0"/>
              <w:left w:val="single" w:color="auto" w:sz="4" w:space="0"/>
              <w:bottom w:val="single" w:color="auto" w:sz="4" w:space="0"/>
              <w:right w:val="single" w:color="auto" w:sz="4" w:space="0"/>
            </w:tcBorders>
            <w:vAlign w:val="center"/>
          </w:tcPr>
          <w:p>
            <w:pPr>
              <w:rPr>
                <w:color w:val="000000" w:themeColor="text1"/>
                <w:szCs w:val="21"/>
              </w:rPr>
            </w:pPr>
            <w:r>
              <w:rPr>
                <w:color w:val="000000" w:themeColor="text1"/>
                <w:szCs w:val="21"/>
              </w:rPr>
              <w:t>加油站内的工艺管道除必须露出地面的以外，均应埋地敷设。当采用管沟敷设时，管沟必须用中性沙子或细土填满、填实。</w:t>
            </w:r>
          </w:p>
        </w:tc>
        <w:tc>
          <w:tcPr>
            <w:tcW w:w="2163" w:type="dxa"/>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Cs w:val="21"/>
              </w:rPr>
            </w:pPr>
            <w:r>
              <w:rPr>
                <w:color w:val="000000" w:themeColor="text1"/>
                <w:szCs w:val="21"/>
              </w:rPr>
              <w:t>《汽车加油加气加氢站技术标准》（GB50156-2021）</w:t>
            </w:r>
          </w:p>
          <w:p>
            <w:pPr>
              <w:jc w:val="center"/>
              <w:rPr>
                <w:color w:val="000000" w:themeColor="text1"/>
                <w:szCs w:val="21"/>
              </w:rPr>
            </w:pPr>
            <w:r>
              <w:rPr>
                <w:color w:val="000000" w:themeColor="text1"/>
                <w:szCs w:val="21"/>
              </w:rPr>
              <w:t>第6.3.14条</w:t>
            </w:r>
          </w:p>
        </w:tc>
        <w:tc>
          <w:tcPr>
            <w:tcW w:w="2554" w:type="dxa"/>
            <w:tcBorders>
              <w:top w:val="single" w:color="auto" w:sz="4" w:space="0"/>
              <w:left w:val="single" w:color="auto" w:sz="4" w:space="0"/>
              <w:bottom w:val="single" w:color="auto" w:sz="4" w:space="0"/>
              <w:right w:val="single" w:color="auto" w:sz="4" w:space="0"/>
            </w:tcBorders>
            <w:vAlign w:val="center"/>
          </w:tcPr>
          <w:p>
            <w:pPr>
              <w:rPr>
                <w:color w:val="000000" w:themeColor="text1"/>
                <w:szCs w:val="21"/>
              </w:rPr>
            </w:pPr>
            <w:r>
              <w:rPr>
                <w:color w:val="000000" w:themeColor="text1"/>
                <w:szCs w:val="21"/>
              </w:rPr>
              <w:t>该项目的工艺管道除必须露出地面的以外，均埋地敷设。</w:t>
            </w:r>
          </w:p>
        </w:tc>
        <w:tc>
          <w:tcPr>
            <w:tcW w:w="772" w:type="dxa"/>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Cs w:val="21"/>
              </w:rPr>
            </w:pPr>
            <w:r>
              <w:rPr>
                <w:color w:val="000000" w:themeColor="text1"/>
                <w:szCs w:val="21"/>
              </w:rPr>
              <w:t>符合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552" w:type="dxa"/>
            <w:tcBorders>
              <w:top w:val="single" w:color="auto" w:sz="4" w:space="0"/>
              <w:left w:val="single" w:color="auto" w:sz="4" w:space="0"/>
              <w:bottom w:val="single" w:color="auto" w:sz="4" w:space="0"/>
              <w:right w:val="single" w:color="auto" w:sz="4" w:space="0"/>
            </w:tcBorders>
            <w:vAlign w:val="center"/>
          </w:tcPr>
          <w:p>
            <w:pPr>
              <w:widowControl/>
              <w:jc w:val="center"/>
              <w:rPr>
                <w:color w:val="000000" w:themeColor="text1"/>
                <w:szCs w:val="21"/>
              </w:rPr>
            </w:pPr>
            <w:r>
              <w:rPr>
                <w:color w:val="000000" w:themeColor="text1"/>
                <w:szCs w:val="21"/>
              </w:rPr>
              <w:t>13</w:t>
            </w:r>
          </w:p>
        </w:tc>
        <w:tc>
          <w:tcPr>
            <w:tcW w:w="3360" w:type="dxa"/>
            <w:tcBorders>
              <w:top w:val="single" w:color="auto" w:sz="4" w:space="0"/>
              <w:left w:val="single" w:color="auto" w:sz="4" w:space="0"/>
              <w:bottom w:val="single" w:color="auto" w:sz="4" w:space="0"/>
              <w:right w:val="single" w:color="auto" w:sz="4" w:space="0"/>
            </w:tcBorders>
            <w:vAlign w:val="center"/>
          </w:tcPr>
          <w:p>
            <w:pPr>
              <w:rPr>
                <w:color w:val="000000" w:themeColor="text1"/>
                <w:szCs w:val="21"/>
              </w:rPr>
            </w:pPr>
            <w:r>
              <w:rPr>
                <w:color w:val="000000" w:themeColor="text1"/>
                <w:szCs w:val="21"/>
              </w:rPr>
              <w:t>卸油管道、卸油油气回收管道、加油油气回收管道和油罐通气管横管，应坡向埋地油罐。卸油管道的坡度不应小于2‰，卸油油气回收管道、加油油气回收管道和油罐通气管横管的坡度，不应小于1%。</w:t>
            </w:r>
          </w:p>
        </w:tc>
        <w:tc>
          <w:tcPr>
            <w:tcW w:w="2163" w:type="dxa"/>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Cs w:val="21"/>
              </w:rPr>
            </w:pPr>
            <w:r>
              <w:rPr>
                <w:color w:val="000000" w:themeColor="text1"/>
                <w:szCs w:val="21"/>
              </w:rPr>
              <w:t>《汽车加油加气加氢站技术标准》（GB50156-2021）</w:t>
            </w:r>
          </w:p>
          <w:p>
            <w:pPr>
              <w:jc w:val="center"/>
              <w:rPr>
                <w:color w:val="000000" w:themeColor="text1"/>
                <w:szCs w:val="21"/>
              </w:rPr>
            </w:pPr>
            <w:r>
              <w:rPr>
                <w:color w:val="000000" w:themeColor="text1"/>
                <w:szCs w:val="21"/>
              </w:rPr>
              <w:t>第6.3.16条</w:t>
            </w:r>
          </w:p>
        </w:tc>
        <w:tc>
          <w:tcPr>
            <w:tcW w:w="2554" w:type="dxa"/>
            <w:tcBorders>
              <w:top w:val="single" w:color="auto" w:sz="4" w:space="0"/>
              <w:left w:val="single" w:color="auto" w:sz="4" w:space="0"/>
              <w:bottom w:val="single" w:color="auto" w:sz="4" w:space="0"/>
              <w:right w:val="single" w:color="auto" w:sz="4" w:space="0"/>
            </w:tcBorders>
            <w:vAlign w:val="center"/>
          </w:tcPr>
          <w:p>
            <w:pPr>
              <w:rPr>
                <w:color w:val="000000" w:themeColor="text1"/>
                <w:szCs w:val="21"/>
              </w:rPr>
            </w:pPr>
            <w:r>
              <w:rPr>
                <w:color w:val="000000" w:themeColor="text1"/>
                <w:szCs w:val="21"/>
              </w:rPr>
              <w:t>该项目卸甲醇管道的坡度约为2‰，储罐通气管横管的坡度约为1%。</w:t>
            </w:r>
          </w:p>
        </w:tc>
        <w:tc>
          <w:tcPr>
            <w:tcW w:w="772" w:type="dxa"/>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Cs w:val="21"/>
              </w:rPr>
            </w:pPr>
            <w:r>
              <w:rPr>
                <w:color w:val="000000" w:themeColor="text1"/>
                <w:szCs w:val="21"/>
              </w:rPr>
              <w:t>符合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552" w:type="dxa"/>
            <w:tcBorders>
              <w:top w:val="single" w:color="auto" w:sz="4" w:space="0"/>
              <w:left w:val="single" w:color="auto" w:sz="4" w:space="0"/>
              <w:bottom w:val="single" w:color="auto" w:sz="4" w:space="0"/>
              <w:right w:val="single" w:color="auto" w:sz="4" w:space="0"/>
            </w:tcBorders>
            <w:vAlign w:val="center"/>
          </w:tcPr>
          <w:p>
            <w:pPr>
              <w:widowControl/>
              <w:jc w:val="center"/>
              <w:rPr>
                <w:color w:val="000000" w:themeColor="text1"/>
                <w:szCs w:val="21"/>
              </w:rPr>
            </w:pPr>
            <w:r>
              <w:rPr>
                <w:color w:val="000000" w:themeColor="text1"/>
                <w:szCs w:val="21"/>
              </w:rPr>
              <w:t>14</w:t>
            </w:r>
          </w:p>
        </w:tc>
        <w:tc>
          <w:tcPr>
            <w:tcW w:w="3360" w:type="dxa"/>
            <w:tcBorders>
              <w:top w:val="single" w:color="auto" w:sz="4" w:space="0"/>
              <w:left w:val="single" w:color="auto" w:sz="4" w:space="0"/>
              <w:bottom w:val="single" w:color="auto" w:sz="4" w:space="0"/>
              <w:right w:val="single" w:color="auto" w:sz="4" w:space="0"/>
            </w:tcBorders>
            <w:vAlign w:val="center"/>
          </w:tcPr>
          <w:p>
            <w:pPr>
              <w:rPr>
                <w:color w:val="000000" w:themeColor="text1"/>
                <w:szCs w:val="21"/>
              </w:rPr>
            </w:pPr>
            <w:r>
              <w:rPr>
                <w:color w:val="000000" w:themeColor="text1"/>
                <w:szCs w:val="21"/>
              </w:rPr>
              <w:t>埋地工艺管道的埋设深度不得小于0.4m。敷设在混凝土场地或道路下面的管道，管顶低于混凝土层下表面不得小于0.2m。管道周围应回填不小于100mm厚的中性沙子或细土。</w:t>
            </w:r>
          </w:p>
        </w:tc>
        <w:tc>
          <w:tcPr>
            <w:tcW w:w="2163" w:type="dxa"/>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Cs w:val="21"/>
              </w:rPr>
            </w:pPr>
            <w:r>
              <w:rPr>
                <w:color w:val="000000" w:themeColor="text1"/>
                <w:szCs w:val="21"/>
              </w:rPr>
              <w:t>《汽车加油加气加氢站技术标准》（GB50156-2021）</w:t>
            </w:r>
          </w:p>
          <w:p>
            <w:pPr>
              <w:jc w:val="center"/>
              <w:rPr>
                <w:color w:val="000000" w:themeColor="text1"/>
                <w:szCs w:val="21"/>
              </w:rPr>
            </w:pPr>
            <w:r>
              <w:rPr>
                <w:color w:val="000000" w:themeColor="text1"/>
                <w:szCs w:val="21"/>
              </w:rPr>
              <w:t>第6.3.17条</w:t>
            </w:r>
          </w:p>
        </w:tc>
        <w:tc>
          <w:tcPr>
            <w:tcW w:w="2554" w:type="dxa"/>
            <w:tcBorders>
              <w:top w:val="single" w:color="auto" w:sz="4" w:space="0"/>
              <w:left w:val="single" w:color="auto" w:sz="4" w:space="0"/>
              <w:bottom w:val="single" w:color="auto" w:sz="4" w:space="0"/>
              <w:right w:val="single" w:color="auto" w:sz="4" w:space="0"/>
            </w:tcBorders>
            <w:vAlign w:val="center"/>
          </w:tcPr>
          <w:p>
            <w:pPr>
              <w:rPr>
                <w:color w:val="000000" w:themeColor="text1"/>
                <w:szCs w:val="21"/>
              </w:rPr>
            </w:pPr>
            <w:r>
              <w:rPr>
                <w:color w:val="000000" w:themeColor="text1"/>
                <w:szCs w:val="21"/>
              </w:rPr>
              <w:t>埋地工艺管道的埋设深度约为0.4m。敷设在混凝土场地或道路下面的管道，管顶低于混凝土层下表面0.2m。管道周围回填约0.1m的中性细土。</w:t>
            </w:r>
          </w:p>
        </w:tc>
        <w:tc>
          <w:tcPr>
            <w:tcW w:w="772" w:type="dxa"/>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Cs w:val="21"/>
              </w:rPr>
            </w:pPr>
            <w:r>
              <w:rPr>
                <w:color w:val="000000" w:themeColor="text1"/>
                <w:szCs w:val="21"/>
              </w:rPr>
              <w:t>符合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552" w:type="dxa"/>
            <w:tcBorders>
              <w:top w:val="single" w:color="auto" w:sz="4" w:space="0"/>
              <w:left w:val="single" w:color="auto" w:sz="4" w:space="0"/>
              <w:bottom w:val="single" w:color="auto" w:sz="4" w:space="0"/>
              <w:right w:val="single" w:color="auto" w:sz="4" w:space="0"/>
            </w:tcBorders>
            <w:vAlign w:val="center"/>
          </w:tcPr>
          <w:p>
            <w:pPr>
              <w:widowControl/>
              <w:jc w:val="center"/>
              <w:rPr>
                <w:color w:val="000000" w:themeColor="text1"/>
                <w:szCs w:val="21"/>
              </w:rPr>
            </w:pPr>
            <w:r>
              <w:rPr>
                <w:color w:val="000000" w:themeColor="text1"/>
                <w:szCs w:val="21"/>
              </w:rPr>
              <w:t>15</w:t>
            </w:r>
          </w:p>
        </w:tc>
        <w:tc>
          <w:tcPr>
            <w:tcW w:w="3360" w:type="dxa"/>
            <w:tcBorders>
              <w:top w:val="single" w:color="auto" w:sz="4" w:space="0"/>
              <w:left w:val="single" w:color="auto" w:sz="4" w:space="0"/>
              <w:bottom w:val="single" w:color="auto" w:sz="4" w:space="0"/>
              <w:right w:val="single" w:color="auto" w:sz="4" w:space="0"/>
            </w:tcBorders>
            <w:vAlign w:val="center"/>
          </w:tcPr>
          <w:p>
            <w:pPr>
              <w:rPr>
                <w:color w:val="000000" w:themeColor="text1"/>
                <w:szCs w:val="21"/>
              </w:rPr>
            </w:pPr>
            <w:r>
              <w:rPr>
                <w:color w:val="000000" w:themeColor="text1"/>
                <w:szCs w:val="21"/>
              </w:rPr>
              <w:t>工艺管道不应穿过或跨越站房等与其无直接关系的建（构）筑物；与管沟、电缆沟和排水沟相交叉时，应采取相应的防护措施。</w:t>
            </w:r>
          </w:p>
        </w:tc>
        <w:tc>
          <w:tcPr>
            <w:tcW w:w="2163" w:type="dxa"/>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Cs w:val="21"/>
              </w:rPr>
            </w:pPr>
            <w:r>
              <w:rPr>
                <w:color w:val="000000" w:themeColor="text1"/>
                <w:szCs w:val="21"/>
              </w:rPr>
              <w:t>《汽车加油加气加氢站技术标准》（GB50156-2021）</w:t>
            </w:r>
          </w:p>
          <w:p>
            <w:pPr>
              <w:jc w:val="center"/>
              <w:rPr>
                <w:color w:val="000000" w:themeColor="text1"/>
                <w:szCs w:val="21"/>
              </w:rPr>
            </w:pPr>
            <w:r>
              <w:rPr>
                <w:color w:val="000000" w:themeColor="text1"/>
                <w:szCs w:val="21"/>
              </w:rPr>
              <w:t>第6.3.18条</w:t>
            </w:r>
          </w:p>
        </w:tc>
        <w:tc>
          <w:tcPr>
            <w:tcW w:w="2554" w:type="dxa"/>
            <w:tcBorders>
              <w:top w:val="single" w:color="auto" w:sz="4" w:space="0"/>
              <w:left w:val="single" w:color="auto" w:sz="4" w:space="0"/>
              <w:bottom w:val="single" w:color="auto" w:sz="4" w:space="0"/>
              <w:right w:val="single" w:color="auto" w:sz="4" w:space="0"/>
            </w:tcBorders>
            <w:vAlign w:val="center"/>
          </w:tcPr>
          <w:p>
            <w:pPr>
              <w:rPr>
                <w:color w:val="000000" w:themeColor="text1"/>
                <w:szCs w:val="21"/>
              </w:rPr>
            </w:pPr>
            <w:r>
              <w:rPr>
                <w:color w:val="000000" w:themeColor="text1"/>
                <w:szCs w:val="21"/>
              </w:rPr>
              <w:t>工艺管道未穿过或跨越站房等与其无关的建（构）筑物。与管沟、和排水沟交叉时，采取必要的保护措施。</w:t>
            </w:r>
          </w:p>
        </w:tc>
        <w:tc>
          <w:tcPr>
            <w:tcW w:w="772" w:type="dxa"/>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Cs w:val="21"/>
              </w:rPr>
            </w:pPr>
            <w:r>
              <w:rPr>
                <w:color w:val="000000" w:themeColor="text1"/>
                <w:szCs w:val="21"/>
              </w:rPr>
              <w:t>符合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552" w:type="dxa"/>
            <w:tcBorders>
              <w:top w:val="single" w:color="auto" w:sz="4" w:space="0"/>
              <w:left w:val="single" w:color="auto" w:sz="4" w:space="0"/>
              <w:bottom w:val="single" w:color="auto" w:sz="4" w:space="0"/>
              <w:right w:val="single" w:color="auto" w:sz="4" w:space="0"/>
            </w:tcBorders>
            <w:vAlign w:val="center"/>
          </w:tcPr>
          <w:p>
            <w:pPr>
              <w:widowControl/>
              <w:jc w:val="center"/>
              <w:rPr>
                <w:color w:val="000000" w:themeColor="text1"/>
                <w:szCs w:val="21"/>
              </w:rPr>
            </w:pPr>
            <w:r>
              <w:rPr>
                <w:color w:val="000000" w:themeColor="text1"/>
                <w:szCs w:val="21"/>
              </w:rPr>
              <w:t>14</w:t>
            </w:r>
          </w:p>
        </w:tc>
        <w:tc>
          <w:tcPr>
            <w:tcW w:w="3360" w:type="dxa"/>
            <w:tcBorders>
              <w:top w:val="single" w:color="auto" w:sz="4" w:space="0"/>
              <w:left w:val="single" w:color="auto" w:sz="4" w:space="0"/>
              <w:bottom w:val="single" w:color="auto" w:sz="4" w:space="0"/>
              <w:right w:val="single" w:color="auto" w:sz="4" w:space="0"/>
            </w:tcBorders>
            <w:vAlign w:val="center"/>
          </w:tcPr>
          <w:p>
            <w:pPr>
              <w:rPr>
                <w:color w:val="000000" w:themeColor="text1"/>
                <w:szCs w:val="21"/>
              </w:rPr>
            </w:pPr>
            <w:r>
              <w:rPr>
                <w:color w:val="000000" w:themeColor="text1"/>
                <w:szCs w:val="21"/>
              </w:rPr>
              <w:t>埋地钢质管道外表面的防腐设计，应符合现行国家标准《钢质管道外腐蚀控制规范》GB/T21447的有关规定。</w:t>
            </w:r>
          </w:p>
        </w:tc>
        <w:tc>
          <w:tcPr>
            <w:tcW w:w="2163" w:type="dxa"/>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Cs w:val="21"/>
              </w:rPr>
            </w:pPr>
            <w:r>
              <w:rPr>
                <w:color w:val="000000" w:themeColor="text1"/>
                <w:szCs w:val="21"/>
              </w:rPr>
              <w:t>《汽车加油加气加氢站技术标准》（GB50156-2021）</w:t>
            </w:r>
          </w:p>
          <w:p>
            <w:pPr>
              <w:jc w:val="center"/>
              <w:rPr>
                <w:color w:val="000000" w:themeColor="text1"/>
                <w:szCs w:val="21"/>
              </w:rPr>
            </w:pPr>
            <w:r>
              <w:rPr>
                <w:color w:val="000000" w:themeColor="text1"/>
                <w:szCs w:val="21"/>
              </w:rPr>
              <w:t>第6.3.20条</w:t>
            </w:r>
          </w:p>
        </w:tc>
        <w:tc>
          <w:tcPr>
            <w:tcW w:w="2554" w:type="dxa"/>
            <w:tcBorders>
              <w:top w:val="single" w:color="auto" w:sz="4" w:space="0"/>
              <w:left w:val="single" w:color="auto" w:sz="4" w:space="0"/>
              <w:bottom w:val="single" w:color="auto" w:sz="4" w:space="0"/>
              <w:right w:val="single" w:color="auto" w:sz="4" w:space="0"/>
            </w:tcBorders>
            <w:vAlign w:val="center"/>
          </w:tcPr>
          <w:p>
            <w:pPr>
              <w:rPr>
                <w:color w:val="000000" w:themeColor="text1"/>
                <w:szCs w:val="21"/>
              </w:rPr>
            </w:pPr>
            <w:r>
              <w:rPr>
                <w:color w:val="000000" w:themeColor="text1"/>
                <w:szCs w:val="21"/>
              </w:rPr>
              <w:t>钢质管道的外表面埋地前已进行了相关的防护处理，符合《钢质管道外腐蚀控制规范》的要求。</w:t>
            </w:r>
          </w:p>
        </w:tc>
        <w:tc>
          <w:tcPr>
            <w:tcW w:w="772" w:type="dxa"/>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Cs w:val="21"/>
              </w:rPr>
            </w:pPr>
            <w:r>
              <w:rPr>
                <w:color w:val="000000" w:themeColor="text1"/>
                <w:szCs w:val="21"/>
              </w:rPr>
              <w:t>符合</w:t>
            </w:r>
          </w:p>
        </w:tc>
      </w:tr>
    </w:tbl>
    <w:p>
      <w:pPr>
        <w:pStyle w:val="19"/>
        <w:spacing w:afterLines="100" w:line="500" w:lineRule="exact"/>
        <w:rPr>
          <w:rFonts w:ascii="黑体" w:hAnsi="宋体" w:eastAsia="黑体"/>
          <w:color w:val="000000" w:themeColor="text1"/>
          <w:kern w:val="3"/>
          <w:sz w:val="28"/>
          <w:szCs w:val="28"/>
        </w:rPr>
      </w:pPr>
      <w:bookmarkStart w:id="1796" w:name="_Toc32429"/>
      <w:bookmarkStart w:id="1797" w:name="_Toc1630"/>
      <w:bookmarkStart w:id="1798" w:name="_Toc14703"/>
      <w:bookmarkStart w:id="1799" w:name="_Toc16950"/>
      <w:bookmarkStart w:id="1800" w:name="_Toc30723"/>
      <w:bookmarkStart w:id="1801" w:name="_Toc8960"/>
      <w:bookmarkStart w:id="1802" w:name="_Toc29643"/>
      <w:bookmarkStart w:id="1803" w:name="_Toc12323"/>
      <w:bookmarkStart w:id="1804" w:name="_Toc26802"/>
      <w:bookmarkStart w:id="1805" w:name="_Toc13392"/>
      <w:r>
        <w:rPr>
          <w:rFonts w:hint="eastAsia" w:ascii="黑体" w:hAnsi="宋体" w:eastAsia="黑体"/>
          <w:color w:val="000000" w:themeColor="text1"/>
          <w:kern w:val="3"/>
          <w:sz w:val="28"/>
          <w:szCs w:val="28"/>
        </w:rPr>
        <w:t>5.4.2评价单元小结</w:t>
      </w:r>
      <w:bookmarkEnd w:id="1796"/>
      <w:bookmarkEnd w:id="1797"/>
      <w:bookmarkEnd w:id="1798"/>
      <w:bookmarkEnd w:id="1799"/>
      <w:bookmarkEnd w:id="1800"/>
      <w:bookmarkEnd w:id="1801"/>
      <w:bookmarkEnd w:id="1802"/>
      <w:bookmarkEnd w:id="1803"/>
      <w:bookmarkEnd w:id="1804"/>
      <w:bookmarkEnd w:id="1805"/>
    </w:p>
    <w:p>
      <w:pPr>
        <w:adjustRightInd w:val="0"/>
        <w:snapToGrid w:val="0"/>
        <w:spacing w:line="500" w:lineRule="exact"/>
        <w:ind w:firstLine="560" w:firstLineChars="200"/>
        <w:rPr>
          <w:rFonts w:eastAsiaTheme="minorEastAsia"/>
          <w:snapToGrid w:val="0"/>
          <w:color w:val="000000" w:themeColor="text1"/>
          <w:kern w:val="0"/>
          <w:sz w:val="28"/>
          <w:szCs w:val="28"/>
        </w:rPr>
      </w:pPr>
      <w:r>
        <w:rPr>
          <w:rFonts w:eastAsiaTheme="minorEastAsia"/>
          <w:snapToGrid w:val="0"/>
          <w:color w:val="000000" w:themeColor="text1"/>
          <w:kern w:val="0"/>
          <w:sz w:val="28"/>
          <w:szCs w:val="28"/>
        </w:rPr>
        <w:t>由上述分析评价结果可知，</w:t>
      </w:r>
      <w:r>
        <w:rPr>
          <w:rFonts w:hint="eastAsia" w:eastAsiaTheme="minorEastAsia"/>
          <w:snapToGrid w:val="0"/>
          <w:color w:val="000000" w:themeColor="text1"/>
          <w:kern w:val="0"/>
          <w:sz w:val="28"/>
          <w:szCs w:val="28"/>
        </w:rPr>
        <w:t>该项目</w:t>
      </w:r>
      <w:r>
        <w:rPr>
          <w:rFonts w:eastAsiaTheme="minorEastAsia"/>
          <w:snapToGrid w:val="0"/>
          <w:color w:val="000000" w:themeColor="text1"/>
          <w:kern w:val="0"/>
          <w:sz w:val="28"/>
          <w:szCs w:val="28"/>
        </w:rPr>
        <w:t>埋地甲醇罐操作井盖无介质流向标识；未采用声光报警器；</w:t>
      </w:r>
      <w:r>
        <w:rPr>
          <w:rFonts w:hint="eastAsia" w:eastAsiaTheme="minorEastAsia"/>
          <w:snapToGrid w:val="0"/>
          <w:color w:val="000000" w:themeColor="text1"/>
          <w:kern w:val="0"/>
          <w:sz w:val="28"/>
          <w:szCs w:val="28"/>
        </w:rPr>
        <w:t>液位仪失效</w:t>
      </w:r>
      <w:r>
        <w:rPr>
          <w:rFonts w:eastAsiaTheme="minorEastAsia"/>
          <w:snapToGrid w:val="0"/>
          <w:color w:val="000000" w:themeColor="text1"/>
          <w:kern w:val="0"/>
          <w:sz w:val="28"/>
          <w:szCs w:val="28"/>
        </w:rPr>
        <w:t>；消防沙池消防铲等配备不足；消防沙池有杂草，需要及时清除；卸</w:t>
      </w:r>
      <w:r>
        <w:rPr>
          <w:rFonts w:hint="eastAsia" w:eastAsiaTheme="minorEastAsia"/>
          <w:snapToGrid w:val="0"/>
          <w:color w:val="000000" w:themeColor="text1"/>
          <w:kern w:val="0"/>
          <w:sz w:val="28"/>
          <w:szCs w:val="28"/>
        </w:rPr>
        <w:t>车区域有积水及杂物外</w:t>
      </w:r>
      <w:r>
        <w:rPr>
          <w:rFonts w:eastAsiaTheme="minorEastAsia"/>
          <w:snapToGrid w:val="0"/>
          <w:color w:val="000000" w:themeColor="text1"/>
          <w:kern w:val="0"/>
          <w:sz w:val="28"/>
          <w:szCs w:val="28"/>
        </w:rPr>
        <w:t>，该项目甲醇储存工艺设备、设施符合《汽车加油加气加氢站技术标准》（GB50156-2021）</w:t>
      </w:r>
      <w:r>
        <w:rPr>
          <w:rFonts w:hint="eastAsia" w:eastAsiaTheme="minorEastAsia"/>
          <w:snapToGrid w:val="0"/>
          <w:color w:val="000000" w:themeColor="text1"/>
          <w:kern w:val="0"/>
          <w:sz w:val="28"/>
          <w:szCs w:val="28"/>
        </w:rPr>
        <w:t>中的</w:t>
      </w:r>
      <w:r>
        <w:rPr>
          <w:rFonts w:eastAsiaTheme="minorEastAsia"/>
          <w:snapToGrid w:val="0"/>
          <w:color w:val="000000" w:themeColor="text1"/>
          <w:kern w:val="0"/>
          <w:sz w:val="28"/>
          <w:szCs w:val="28"/>
        </w:rPr>
        <w:t>要求。</w:t>
      </w:r>
    </w:p>
    <w:p>
      <w:pPr>
        <w:pStyle w:val="19"/>
        <w:spacing w:afterLines="100" w:line="500" w:lineRule="exact"/>
        <w:jc w:val="center"/>
        <w:rPr>
          <w:rFonts w:ascii="楷体_GB2312" w:hAnsi="宋体" w:eastAsia="楷体_GB2312"/>
          <w:color w:val="000000" w:themeColor="text1"/>
          <w:kern w:val="3"/>
        </w:rPr>
      </w:pPr>
      <w:bookmarkStart w:id="1806" w:name="_Toc11125_WPSOffice_Level2"/>
      <w:r>
        <w:rPr>
          <w:rFonts w:hint="eastAsia" w:ascii="楷体_GB2312" w:hAnsi="宋体" w:eastAsia="楷体_GB2312"/>
          <w:color w:val="000000" w:themeColor="text1"/>
          <w:kern w:val="3"/>
        </w:rPr>
        <w:t>5.5公辅</w:t>
      </w:r>
      <w:r>
        <w:rPr>
          <w:rFonts w:hint="eastAsia" w:ascii="楷体_GB2312" w:hAnsi="宋体" w:eastAsia="楷体_GB2312"/>
          <w:color w:val="000000" w:themeColor="text1"/>
          <w:kern w:val="3"/>
          <w:lang w:val="en-US" w:eastAsia="zh-CN"/>
        </w:rPr>
        <w:t>设施</w:t>
      </w:r>
      <w:r>
        <w:rPr>
          <w:rFonts w:hint="eastAsia" w:ascii="楷体_GB2312" w:hAnsi="宋体" w:eastAsia="楷体_GB2312"/>
          <w:color w:val="000000" w:themeColor="text1"/>
          <w:kern w:val="3"/>
        </w:rPr>
        <w:t>评价单元</w:t>
      </w:r>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806"/>
    </w:p>
    <w:p>
      <w:pPr>
        <w:pStyle w:val="19"/>
        <w:spacing w:afterLines="100" w:line="500" w:lineRule="exact"/>
        <w:rPr>
          <w:rFonts w:ascii="黑体" w:hAnsi="宋体" w:eastAsia="黑体"/>
          <w:color w:val="000000" w:themeColor="text1"/>
          <w:kern w:val="3"/>
          <w:sz w:val="28"/>
          <w:szCs w:val="28"/>
        </w:rPr>
      </w:pPr>
      <w:bookmarkStart w:id="1807" w:name="_Toc8965"/>
      <w:bookmarkStart w:id="1808" w:name="_Toc19733"/>
      <w:bookmarkStart w:id="1809" w:name="_Toc24388"/>
      <w:bookmarkStart w:id="1810" w:name="_Toc21125"/>
      <w:bookmarkStart w:id="1811" w:name="_Toc24369"/>
      <w:bookmarkStart w:id="1812" w:name="_Toc5771"/>
      <w:bookmarkStart w:id="1813" w:name="_Toc2684"/>
      <w:bookmarkStart w:id="1814" w:name="_Toc18602"/>
      <w:bookmarkStart w:id="1815" w:name="_Toc6083"/>
      <w:bookmarkStart w:id="1816" w:name="_Toc445750303"/>
      <w:bookmarkStart w:id="1817" w:name="_Toc31569"/>
      <w:r>
        <w:rPr>
          <w:rFonts w:hint="eastAsia" w:ascii="黑体" w:hAnsi="宋体" w:eastAsia="黑体"/>
          <w:color w:val="000000" w:themeColor="text1"/>
          <w:kern w:val="3"/>
          <w:sz w:val="28"/>
          <w:szCs w:val="28"/>
        </w:rPr>
        <w:t>5.5.1供配电评价子单元安全检查表</w:t>
      </w:r>
      <w:bookmarkEnd w:id="1807"/>
      <w:bookmarkEnd w:id="1808"/>
      <w:bookmarkEnd w:id="1809"/>
      <w:bookmarkEnd w:id="1810"/>
      <w:bookmarkEnd w:id="1811"/>
      <w:bookmarkEnd w:id="1812"/>
      <w:bookmarkEnd w:id="1813"/>
      <w:bookmarkEnd w:id="1814"/>
      <w:bookmarkEnd w:id="1815"/>
      <w:bookmarkEnd w:id="1816"/>
      <w:bookmarkEnd w:id="1817"/>
    </w:p>
    <w:p>
      <w:pPr>
        <w:spacing w:line="500" w:lineRule="exact"/>
        <w:ind w:firstLine="560" w:firstLineChars="200"/>
        <w:rPr>
          <w:rFonts w:eastAsiaTheme="minorEastAsia"/>
          <w:snapToGrid w:val="0"/>
          <w:color w:val="000000" w:themeColor="text1"/>
          <w:kern w:val="0"/>
          <w:sz w:val="28"/>
          <w:szCs w:val="28"/>
        </w:rPr>
      </w:pPr>
      <w:r>
        <w:rPr>
          <w:rFonts w:eastAsiaTheme="minorEastAsia"/>
          <w:snapToGrid w:val="0"/>
          <w:color w:val="000000" w:themeColor="text1"/>
          <w:kern w:val="0"/>
          <w:sz w:val="28"/>
          <w:szCs w:val="28"/>
        </w:rPr>
        <w:t>根据《低压配电设计规范》（GB50054-2011）、《汽车加油加气加氢站技术标准》（GB50156-2021）、《加油加气站视频安防监控系统技术要求》（AQT3050-2013）、《通用用电设备配电设计规范》（GB50055-2011）、《20kV及以下变电所设计规范》（GB50053-2013）、《用电安全导则》（GB/T 13869-2017）等标准、规范的要求，对该项目供配电装置进行安全分析评价，具体情况如下表所示：</w:t>
      </w:r>
    </w:p>
    <w:p>
      <w:pPr>
        <w:spacing w:beforeLines="50"/>
        <w:jc w:val="center"/>
        <w:rPr>
          <w:rFonts w:asciiTheme="minorEastAsia" w:hAnsiTheme="minorEastAsia" w:eastAsiaTheme="minorEastAsia"/>
          <w:color w:val="000000" w:themeColor="text1"/>
          <w:kern w:val="0"/>
          <w:sz w:val="28"/>
          <w:szCs w:val="28"/>
        </w:rPr>
      </w:pPr>
      <w:r>
        <w:rPr>
          <w:rFonts w:asciiTheme="minorEastAsia" w:hAnsiTheme="minorEastAsia" w:eastAsiaTheme="minorEastAsia"/>
          <w:color w:val="000000" w:themeColor="text1"/>
          <w:sz w:val="24"/>
        </w:rPr>
        <w:t>表</w:t>
      </w:r>
      <w:r>
        <w:rPr>
          <w:rFonts w:hint="eastAsia" w:asciiTheme="minorEastAsia" w:hAnsiTheme="minorEastAsia" w:eastAsiaTheme="minorEastAsia"/>
          <w:color w:val="000000" w:themeColor="text1"/>
          <w:sz w:val="24"/>
        </w:rPr>
        <w:t>5-10 供配电安全检查表</w:t>
      </w:r>
    </w:p>
    <w:tbl>
      <w:tblPr>
        <w:tblStyle w:val="52"/>
        <w:tblW w:w="940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64"/>
        <w:gridCol w:w="3210"/>
        <w:gridCol w:w="2316"/>
        <w:gridCol w:w="2639"/>
        <w:gridCol w:w="77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blHeader/>
          <w:jc w:val="center"/>
        </w:trPr>
        <w:tc>
          <w:tcPr>
            <w:tcW w:w="464" w:type="dxa"/>
            <w:tcBorders>
              <w:top w:val="single" w:color="auto" w:sz="4" w:space="0"/>
              <w:left w:val="single" w:color="auto" w:sz="4" w:space="0"/>
              <w:bottom w:val="single" w:color="auto" w:sz="4" w:space="0"/>
              <w:right w:val="single" w:color="auto" w:sz="4" w:space="0"/>
            </w:tcBorders>
            <w:vAlign w:val="center"/>
          </w:tcPr>
          <w:p>
            <w:pPr>
              <w:jc w:val="center"/>
              <w:rPr>
                <w:b/>
                <w:bCs/>
                <w:color w:val="000000" w:themeColor="text1"/>
                <w:szCs w:val="21"/>
              </w:rPr>
            </w:pPr>
            <w:r>
              <w:rPr>
                <w:b/>
                <w:bCs/>
                <w:color w:val="000000" w:themeColor="text1"/>
                <w:szCs w:val="21"/>
              </w:rPr>
              <w:t>序号</w:t>
            </w:r>
          </w:p>
        </w:tc>
        <w:tc>
          <w:tcPr>
            <w:tcW w:w="3210" w:type="dxa"/>
            <w:tcBorders>
              <w:top w:val="single" w:color="auto" w:sz="4" w:space="0"/>
              <w:left w:val="single" w:color="auto" w:sz="4" w:space="0"/>
              <w:bottom w:val="single" w:color="auto" w:sz="4" w:space="0"/>
              <w:right w:val="single" w:color="auto" w:sz="4" w:space="0"/>
            </w:tcBorders>
            <w:vAlign w:val="center"/>
          </w:tcPr>
          <w:p>
            <w:pPr>
              <w:jc w:val="center"/>
              <w:rPr>
                <w:b/>
                <w:bCs/>
                <w:color w:val="000000" w:themeColor="text1"/>
                <w:szCs w:val="21"/>
              </w:rPr>
            </w:pPr>
            <w:r>
              <w:rPr>
                <w:b/>
                <w:bCs/>
                <w:color w:val="000000" w:themeColor="text1"/>
                <w:szCs w:val="21"/>
              </w:rPr>
              <w:t>检查内容</w:t>
            </w:r>
          </w:p>
        </w:tc>
        <w:tc>
          <w:tcPr>
            <w:tcW w:w="2316" w:type="dxa"/>
            <w:tcBorders>
              <w:top w:val="single" w:color="auto" w:sz="4" w:space="0"/>
              <w:left w:val="single" w:color="auto" w:sz="4" w:space="0"/>
              <w:bottom w:val="single" w:color="auto" w:sz="4" w:space="0"/>
              <w:right w:val="single" w:color="auto" w:sz="4" w:space="0"/>
            </w:tcBorders>
            <w:vAlign w:val="center"/>
          </w:tcPr>
          <w:p>
            <w:pPr>
              <w:jc w:val="center"/>
              <w:rPr>
                <w:b/>
                <w:bCs/>
                <w:color w:val="000000" w:themeColor="text1"/>
                <w:szCs w:val="21"/>
              </w:rPr>
            </w:pPr>
            <w:r>
              <w:rPr>
                <w:b/>
                <w:bCs/>
                <w:color w:val="000000" w:themeColor="text1"/>
                <w:szCs w:val="21"/>
              </w:rPr>
              <w:t>标准依据</w:t>
            </w:r>
          </w:p>
        </w:tc>
        <w:tc>
          <w:tcPr>
            <w:tcW w:w="2639" w:type="dxa"/>
            <w:tcBorders>
              <w:top w:val="single" w:color="auto" w:sz="4" w:space="0"/>
              <w:left w:val="single" w:color="auto" w:sz="4" w:space="0"/>
              <w:bottom w:val="single" w:color="auto" w:sz="4" w:space="0"/>
              <w:right w:val="single" w:color="auto" w:sz="4" w:space="0"/>
            </w:tcBorders>
            <w:vAlign w:val="center"/>
          </w:tcPr>
          <w:p>
            <w:pPr>
              <w:jc w:val="center"/>
              <w:rPr>
                <w:b/>
                <w:bCs/>
                <w:color w:val="000000" w:themeColor="text1"/>
                <w:szCs w:val="21"/>
              </w:rPr>
            </w:pPr>
            <w:r>
              <w:rPr>
                <w:b/>
                <w:bCs/>
                <w:color w:val="000000" w:themeColor="text1"/>
                <w:szCs w:val="21"/>
              </w:rPr>
              <w:t>实际情况</w:t>
            </w:r>
          </w:p>
        </w:tc>
        <w:tc>
          <w:tcPr>
            <w:tcW w:w="772" w:type="dxa"/>
            <w:tcBorders>
              <w:top w:val="single" w:color="auto" w:sz="4" w:space="0"/>
              <w:left w:val="single" w:color="auto" w:sz="4" w:space="0"/>
              <w:bottom w:val="single" w:color="auto" w:sz="4" w:space="0"/>
              <w:right w:val="single" w:color="auto" w:sz="4" w:space="0"/>
            </w:tcBorders>
            <w:vAlign w:val="center"/>
          </w:tcPr>
          <w:p>
            <w:pPr>
              <w:jc w:val="center"/>
              <w:rPr>
                <w:b/>
                <w:bCs/>
                <w:color w:val="000000" w:themeColor="text1"/>
                <w:szCs w:val="21"/>
              </w:rPr>
            </w:pPr>
            <w:r>
              <w:rPr>
                <w:b/>
                <w:bCs/>
                <w:color w:val="000000" w:themeColor="text1"/>
                <w:szCs w:val="21"/>
              </w:rPr>
              <w:t>检查结果</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9401" w:type="dxa"/>
            <w:gridSpan w:val="5"/>
            <w:tcBorders>
              <w:top w:val="single" w:color="auto" w:sz="4" w:space="0"/>
              <w:left w:val="single" w:color="auto" w:sz="4" w:space="0"/>
              <w:bottom w:val="single" w:color="auto" w:sz="4" w:space="0"/>
              <w:right w:val="single" w:color="auto" w:sz="4" w:space="0"/>
            </w:tcBorders>
            <w:vAlign w:val="center"/>
          </w:tcPr>
          <w:p>
            <w:pPr>
              <w:jc w:val="center"/>
              <w:rPr>
                <w:b/>
                <w:bCs/>
                <w:color w:val="000000" w:themeColor="text1"/>
                <w:szCs w:val="21"/>
              </w:rPr>
            </w:pPr>
            <w:r>
              <w:rPr>
                <w:b/>
                <w:bCs/>
                <w:color w:val="000000" w:themeColor="text1"/>
                <w:szCs w:val="21"/>
              </w:rPr>
              <w:t>供配电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464" w:type="dxa"/>
            <w:tcBorders>
              <w:top w:val="single" w:color="auto" w:sz="4" w:space="0"/>
              <w:left w:val="single" w:color="auto" w:sz="4" w:space="0"/>
              <w:bottom w:val="single" w:color="auto" w:sz="4" w:space="0"/>
              <w:right w:val="single" w:color="auto" w:sz="4" w:space="0"/>
            </w:tcBorders>
            <w:vAlign w:val="center"/>
          </w:tcPr>
          <w:p>
            <w:pPr>
              <w:numPr>
                <w:ilvl w:val="0"/>
                <w:numId w:val="17"/>
              </w:numPr>
              <w:tabs>
                <w:tab w:val="left" w:pos="352"/>
                <w:tab w:val="left" w:pos="759"/>
                <w:tab w:val="left" w:pos="825"/>
              </w:tabs>
              <w:adjustRightInd w:val="0"/>
              <w:ind w:left="0" w:firstLine="0"/>
              <w:jc w:val="center"/>
              <w:rPr>
                <w:color w:val="000000" w:themeColor="text1"/>
                <w:szCs w:val="21"/>
              </w:rPr>
            </w:pPr>
          </w:p>
        </w:tc>
        <w:tc>
          <w:tcPr>
            <w:tcW w:w="3210" w:type="dxa"/>
            <w:tcBorders>
              <w:top w:val="single" w:color="auto" w:sz="4" w:space="0"/>
              <w:left w:val="single" w:color="auto" w:sz="4" w:space="0"/>
              <w:bottom w:val="single" w:color="auto" w:sz="4" w:space="0"/>
              <w:right w:val="single" w:color="auto" w:sz="4" w:space="0"/>
            </w:tcBorders>
            <w:vAlign w:val="center"/>
          </w:tcPr>
          <w:p>
            <w:pPr>
              <w:rPr>
                <w:color w:val="000000" w:themeColor="text1"/>
                <w:szCs w:val="21"/>
              </w:rPr>
            </w:pPr>
            <w:r>
              <w:rPr>
                <w:color w:val="000000" w:themeColor="text1"/>
                <w:szCs w:val="21"/>
              </w:rPr>
              <w:t>汽车加油加气加氢站的消防泵房、罩棚、营业室、LPG 泵房、压缩机间等处均应设应急照明， 连续供电时间不应少于90 min 。</w:t>
            </w:r>
          </w:p>
        </w:tc>
        <w:tc>
          <w:tcPr>
            <w:tcW w:w="2316" w:type="dxa"/>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Cs w:val="21"/>
              </w:rPr>
            </w:pPr>
            <w:r>
              <w:rPr>
                <w:color w:val="000000" w:themeColor="text1"/>
                <w:szCs w:val="21"/>
              </w:rPr>
              <w:t>《汽车加油加气加氢站技术标准》（GB50156-2021）第13.1.3条</w:t>
            </w:r>
          </w:p>
        </w:tc>
        <w:tc>
          <w:tcPr>
            <w:tcW w:w="2639" w:type="dxa"/>
            <w:tcBorders>
              <w:top w:val="single" w:color="auto" w:sz="4" w:space="0"/>
              <w:left w:val="single" w:color="auto" w:sz="4" w:space="0"/>
              <w:bottom w:val="single" w:color="auto" w:sz="4" w:space="0"/>
              <w:right w:val="single" w:color="auto" w:sz="4" w:space="0"/>
            </w:tcBorders>
            <w:vAlign w:val="center"/>
          </w:tcPr>
          <w:p>
            <w:pPr>
              <w:rPr>
                <w:color w:val="000000" w:themeColor="text1"/>
                <w:szCs w:val="21"/>
              </w:rPr>
            </w:pPr>
            <w:r>
              <w:rPr>
                <w:color w:val="000000" w:themeColor="text1"/>
                <w:szCs w:val="21"/>
              </w:rPr>
              <w:t>该项目辅助用房设置了应急照明灯。</w:t>
            </w:r>
          </w:p>
        </w:tc>
        <w:tc>
          <w:tcPr>
            <w:tcW w:w="772" w:type="dxa"/>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Cs w:val="21"/>
              </w:rPr>
            </w:pPr>
            <w:r>
              <w:rPr>
                <w:color w:val="000000" w:themeColor="text1"/>
                <w:szCs w:val="21"/>
              </w:rPr>
              <w:t>符合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464" w:type="dxa"/>
            <w:tcBorders>
              <w:top w:val="single" w:color="auto" w:sz="4" w:space="0"/>
              <w:left w:val="single" w:color="auto" w:sz="4" w:space="0"/>
              <w:bottom w:val="single" w:color="auto" w:sz="4" w:space="0"/>
              <w:right w:val="single" w:color="auto" w:sz="4" w:space="0"/>
            </w:tcBorders>
            <w:vAlign w:val="center"/>
          </w:tcPr>
          <w:p>
            <w:pPr>
              <w:numPr>
                <w:ilvl w:val="0"/>
                <w:numId w:val="17"/>
              </w:numPr>
              <w:tabs>
                <w:tab w:val="left" w:pos="352"/>
                <w:tab w:val="left" w:pos="759"/>
                <w:tab w:val="left" w:pos="825"/>
              </w:tabs>
              <w:adjustRightInd w:val="0"/>
              <w:ind w:left="0" w:firstLine="0"/>
              <w:jc w:val="center"/>
              <w:rPr>
                <w:color w:val="000000" w:themeColor="text1"/>
                <w:szCs w:val="21"/>
              </w:rPr>
            </w:pPr>
          </w:p>
        </w:tc>
        <w:tc>
          <w:tcPr>
            <w:tcW w:w="3210" w:type="dxa"/>
            <w:tcBorders>
              <w:top w:val="single" w:color="auto" w:sz="4" w:space="0"/>
              <w:left w:val="single" w:color="auto" w:sz="4" w:space="0"/>
              <w:bottom w:val="single" w:color="auto" w:sz="4" w:space="0"/>
              <w:right w:val="single" w:color="auto" w:sz="4" w:space="0"/>
            </w:tcBorders>
            <w:vAlign w:val="center"/>
          </w:tcPr>
          <w:p>
            <w:pPr>
              <w:rPr>
                <w:color w:val="000000" w:themeColor="text1"/>
                <w:szCs w:val="21"/>
              </w:rPr>
            </w:pPr>
            <w:r>
              <w:rPr>
                <w:color w:val="000000" w:themeColor="text1"/>
                <w:szCs w:val="21"/>
              </w:rPr>
              <w:t>加油站的电力线路宜采用电缆并直埋敷设。电缆穿越行车道部分应穿钢管保护。</w:t>
            </w:r>
          </w:p>
        </w:tc>
        <w:tc>
          <w:tcPr>
            <w:tcW w:w="2316" w:type="dxa"/>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Cs w:val="21"/>
              </w:rPr>
            </w:pPr>
            <w:r>
              <w:rPr>
                <w:color w:val="000000" w:themeColor="text1"/>
                <w:szCs w:val="21"/>
              </w:rPr>
              <w:t>《汽车加油加气加氢站技术标准》（GB50156-2021）</w:t>
            </w:r>
          </w:p>
          <w:p>
            <w:pPr>
              <w:jc w:val="center"/>
              <w:rPr>
                <w:color w:val="000000" w:themeColor="text1"/>
                <w:szCs w:val="21"/>
              </w:rPr>
            </w:pPr>
            <w:r>
              <w:rPr>
                <w:color w:val="000000" w:themeColor="text1"/>
                <w:szCs w:val="21"/>
              </w:rPr>
              <w:t>第13.1.5条</w:t>
            </w:r>
          </w:p>
        </w:tc>
        <w:tc>
          <w:tcPr>
            <w:tcW w:w="2639" w:type="dxa"/>
            <w:tcBorders>
              <w:top w:val="single" w:color="auto" w:sz="4" w:space="0"/>
              <w:left w:val="single" w:color="auto" w:sz="4" w:space="0"/>
              <w:bottom w:val="single" w:color="auto" w:sz="4" w:space="0"/>
              <w:right w:val="single" w:color="auto" w:sz="4" w:space="0"/>
            </w:tcBorders>
            <w:vAlign w:val="center"/>
          </w:tcPr>
          <w:p>
            <w:pPr>
              <w:rPr>
                <w:color w:val="000000" w:themeColor="text1"/>
                <w:szCs w:val="21"/>
              </w:rPr>
            </w:pPr>
            <w:r>
              <w:rPr>
                <w:color w:val="000000" w:themeColor="text1"/>
                <w:szCs w:val="21"/>
              </w:rPr>
              <w:t>该项目的电力线路采用电缆直埋敷设，穿越行车道部分穿钢管保护。</w:t>
            </w:r>
          </w:p>
        </w:tc>
        <w:tc>
          <w:tcPr>
            <w:tcW w:w="772" w:type="dxa"/>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Cs w:val="21"/>
              </w:rPr>
            </w:pPr>
            <w:r>
              <w:rPr>
                <w:color w:val="000000" w:themeColor="text1"/>
                <w:szCs w:val="21"/>
              </w:rPr>
              <w:t>符合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464" w:type="dxa"/>
            <w:tcBorders>
              <w:top w:val="single" w:color="auto" w:sz="4" w:space="0"/>
              <w:left w:val="single" w:color="auto" w:sz="4" w:space="0"/>
              <w:bottom w:val="single" w:color="auto" w:sz="4" w:space="0"/>
              <w:right w:val="single" w:color="auto" w:sz="4" w:space="0"/>
            </w:tcBorders>
            <w:vAlign w:val="center"/>
          </w:tcPr>
          <w:p>
            <w:pPr>
              <w:numPr>
                <w:ilvl w:val="0"/>
                <w:numId w:val="17"/>
              </w:numPr>
              <w:tabs>
                <w:tab w:val="left" w:pos="352"/>
                <w:tab w:val="left" w:pos="759"/>
                <w:tab w:val="left" w:pos="825"/>
              </w:tabs>
              <w:adjustRightInd w:val="0"/>
              <w:ind w:left="0" w:firstLine="0"/>
              <w:jc w:val="center"/>
              <w:rPr>
                <w:color w:val="000000" w:themeColor="text1"/>
                <w:szCs w:val="21"/>
              </w:rPr>
            </w:pPr>
          </w:p>
        </w:tc>
        <w:tc>
          <w:tcPr>
            <w:tcW w:w="3210" w:type="dxa"/>
            <w:tcBorders>
              <w:top w:val="single" w:color="auto" w:sz="4" w:space="0"/>
              <w:left w:val="single" w:color="auto" w:sz="4" w:space="0"/>
              <w:bottom w:val="single" w:color="auto" w:sz="4" w:space="0"/>
              <w:right w:val="single" w:color="auto" w:sz="4" w:space="0"/>
            </w:tcBorders>
            <w:vAlign w:val="center"/>
          </w:tcPr>
          <w:p>
            <w:pPr>
              <w:jc w:val="left"/>
              <w:rPr>
                <w:color w:val="000000" w:themeColor="text1"/>
                <w:szCs w:val="21"/>
              </w:rPr>
            </w:pPr>
            <w:r>
              <w:rPr>
                <w:color w:val="000000" w:themeColor="text1"/>
                <w:szCs w:val="21"/>
              </w:rPr>
              <w:t>爆炸危险区域内的电气设备选型安装、电力线路敷设等。应符合《爆炸和火灾危险环境电力装置设计规范》GB50058的规定。</w:t>
            </w:r>
          </w:p>
        </w:tc>
        <w:tc>
          <w:tcPr>
            <w:tcW w:w="2316" w:type="dxa"/>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Cs w:val="21"/>
              </w:rPr>
            </w:pPr>
            <w:r>
              <w:rPr>
                <w:color w:val="000000" w:themeColor="text1"/>
                <w:szCs w:val="21"/>
              </w:rPr>
              <w:t>《汽车加油加气加氢站技术标准》（GB50156-2021）第13.1.7条</w:t>
            </w:r>
          </w:p>
        </w:tc>
        <w:tc>
          <w:tcPr>
            <w:tcW w:w="2639" w:type="dxa"/>
            <w:tcBorders>
              <w:top w:val="single" w:color="auto" w:sz="4" w:space="0"/>
              <w:left w:val="single" w:color="auto" w:sz="4" w:space="0"/>
              <w:bottom w:val="single" w:color="auto" w:sz="4" w:space="0"/>
              <w:right w:val="single" w:color="auto" w:sz="4" w:space="0"/>
            </w:tcBorders>
            <w:vAlign w:val="center"/>
          </w:tcPr>
          <w:p>
            <w:pPr>
              <w:rPr>
                <w:color w:val="000000" w:themeColor="text1"/>
                <w:szCs w:val="21"/>
              </w:rPr>
            </w:pPr>
            <w:r>
              <w:rPr>
                <w:color w:val="000000" w:themeColor="text1"/>
                <w:szCs w:val="21"/>
              </w:rPr>
              <w:t>有爆炸危险的区域电气设备和电气线路的设置符合要求。</w:t>
            </w:r>
          </w:p>
        </w:tc>
        <w:tc>
          <w:tcPr>
            <w:tcW w:w="772" w:type="dxa"/>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Cs w:val="21"/>
              </w:rPr>
            </w:pPr>
            <w:r>
              <w:rPr>
                <w:color w:val="000000" w:themeColor="text1"/>
                <w:szCs w:val="21"/>
              </w:rPr>
              <w:t>符合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464" w:type="dxa"/>
            <w:tcBorders>
              <w:top w:val="single" w:color="auto" w:sz="4" w:space="0"/>
              <w:left w:val="single" w:color="auto" w:sz="4" w:space="0"/>
              <w:bottom w:val="single" w:color="auto" w:sz="4" w:space="0"/>
              <w:right w:val="single" w:color="auto" w:sz="4" w:space="0"/>
            </w:tcBorders>
            <w:vAlign w:val="center"/>
          </w:tcPr>
          <w:p>
            <w:pPr>
              <w:numPr>
                <w:ilvl w:val="0"/>
                <w:numId w:val="17"/>
              </w:numPr>
              <w:tabs>
                <w:tab w:val="left" w:pos="352"/>
                <w:tab w:val="left" w:pos="759"/>
                <w:tab w:val="left" w:pos="825"/>
              </w:tabs>
              <w:adjustRightInd w:val="0"/>
              <w:ind w:left="0" w:firstLine="0"/>
              <w:jc w:val="center"/>
              <w:rPr>
                <w:color w:val="000000" w:themeColor="text1"/>
                <w:szCs w:val="21"/>
              </w:rPr>
            </w:pPr>
          </w:p>
        </w:tc>
        <w:tc>
          <w:tcPr>
            <w:tcW w:w="3210" w:type="dxa"/>
            <w:tcBorders>
              <w:top w:val="single" w:color="auto" w:sz="4" w:space="0"/>
              <w:left w:val="single" w:color="auto" w:sz="4" w:space="0"/>
              <w:bottom w:val="single" w:color="auto" w:sz="4" w:space="0"/>
              <w:right w:val="single" w:color="auto" w:sz="4" w:space="0"/>
            </w:tcBorders>
            <w:vAlign w:val="center"/>
          </w:tcPr>
          <w:p>
            <w:pPr>
              <w:rPr>
                <w:color w:val="000000" w:themeColor="text1"/>
                <w:szCs w:val="21"/>
              </w:rPr>
            </w:pPr>
            <w:r>
              <w:rPr>
                <w:color w:val="000000" w:themeColor="text1"/>
                <w:szCs w:val="21"/>
              </w:rPr>
              <w:t>配电室不宜设置在建筑室地下室最低层。设置在地下室最低层时，应采取防止水进入措施。</w:t>
            </w:r>
          </w:p>
        </w:tc>
        <w:tc>
          <w:tcPr>
            <w:tcW w:w="2316" w:type="dxa"/>
            <w:tcBorders>
              <w:top w:val="single" w:color="auto" w:sz="4" w:space="0"/>
              <w:left w:val="single" w:color="auto" w:sz="4" w:space="0"/>
              <w:bottom w:val="single" w:color="auto" w:sz="4" w:space="0"/>
              <w:right w:val="single" w:color="auto" w:sz="4" w:space="0"/>
            </w:tcBorders>
            <w:vAlign w:val="center"/>
          </w:tcPr>
          <w:p>
            <w:pPr>
              <w:rPr>
                <w:color w:val="000000" w:themeColor="text1"/>
                <w:szCs w:val="21"/>
              </w:rPr>
            </w:pPr>
            <w:r>
              <w:rPr>
                <w:color w:val="000000" w:themeColor="text1"/>
                <w:szCs w:val="21"/>
              </w:rPr>
              <w:t>《低压配电设计规范》（GB50054-2011）第4.3.8条</w:t>
            </w:r>
          </w:p>
        </w:tc>
        <w:tc>
          <w:tcPr>
            <w:tcW w:w="2639" w:type="dxa"/>
            <w:tcBorders>
              <w:top w:val="single" w:color="auto" w:sz="4" w:space="0"/>
              <w:left w:val="single" w:color="auto" w:sz="4" w:space="0"/>
              <w:bottom w:val="single" w:color="auto" w:sz="4" w:space="0"/>
              <w:right w:val="single" w:color="auto" w:sz="4" w:space="0"/>
            </w:tcBorders>
            <w:vAlign w:val="center"/>
          </w:tcPr>
          <w:p>
            <w:pPr>
              <w:rPr>
                <w:color w:val="000000" w:themeColor="text1"/>
                <w:szCs w:val="21"/>
              </w:rPr>
            </w:pPr>
            <w:r>
              <w:rPr>
                <w:color w:val="000000" w:themeColor="text1"/>
                <w:szCs w:val="21"/>
              </w:rPr>
              <w:t>配电室未设置在建筑地下室最低层。</w:t>
            </w:r>
          </w:p>
        </w:tc>
        <w:tc>
          <w:tcPr>
            <w:tcW w:w="772" w:type="dxa"/>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Cs w:val="21"/>
              </w:rPr>
            </w:pPr>
            <w:r>
              <w:rPr>
                <w:color w:val="000000" w:themeColor="text1"/>
                <w:szCs w:val="21"/>
              </w:rPr>
              <w:t>符合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464" w:type="dxa"/>
            <w:tcBorders>
              <w:top w:val="single" w:color="auto" w:sz="4" w:space="0"/>
              <w:left w:val="single" w:color="auto" w:sz="4" w:space="0"/>
              <w:bottom w:val="single" w:color="auto" w:sz="4" w:space="0"/>
              <w:right w:val="single" w:color="auto" w:sz="4" w:space="0"/>
            </w:tcBorders>
            <w:vAlign w:val="center"/>
          </w:tcPr>
          <w:p>
            <w:pPr>
              <w:numPr>
                <w:ilvl w:val="0"/>
                <w:numId w:val="17"/>
              </w:numPr>
              <w:tabs>
                <w:tab w:val="left" w:pos="352"/>
                <w:tab w:val="left" w:pos="759"/>
                <w:tab w:val="left" w:pos="825"/>
              </w:tabs>
              <w:adjustRightInd w:val="0"/>
              <w:ind w:left="0" w:firstLine="0"/>
              <w:jc w:val="center"/>
              <w:rPr>
                <w:color w:val="000000" w:themeColor="text1"/>
                <w:szCs w:val="21"/>
              </w:rPr>
            </w:pPr>
          </w:p>
        </w:tc>
        <w:tc>
          <w:tcPr>
            <w:tcW w:w="3210" w:type="dxa"/>
            <w:tcBorders>
              <w:top w:val="single" w:color="auto" w:sz="4" w:space="0"/>
              <w:left w:val="single" w:color="auto" w:sz="4" w:space="0"/>
              <w:bottom w:val="single" w:color="auto" w:sz="4" w:space="0"/>
              <w:right w:val="single" w:color="auto" w:sz="4" w:space="0"/>
            </w:tcBorders>
            <w:vAlign w:val="center"/>
          </w:tcPr>
          <w:p>
            <w:pPr>
              <w:rPr>
                <w:color w:val="000000" w:themeColor="text1"/>
                <w:szCs w:val="21"/>
              </w:rPr>
            </w:pPr>
            <w:r>
              <w:rPr>
                <w:color w:val="000000" w:themeColor="text1"/>
                <w:szCs w:val="21"/>
              </w:rPr>
              <w:t>电动机的工作制、额定功率、堵转、转矩、最小转矩、最大转矩、转速及其调节范围等电气和机械参数，应满足电动机所拖动的机械以下简称机械在各种运行方式下的要求。</w:t>
            </w:r>
          </w:p>
        </w:tc>
        <w:tc>
          <w:tcPr>
            <w:tcW w:w="2316" w:type="dxa"/>
            <w:tcBorders>
              <w:top w:val="single" w:color="auto" w:sz="4" w:space="0"/>
              <w:left w:val="single" w:color="auto" w:sz="4" w:space="0"/>
              <w:bottom w:val="single" w:color="auto" w:sz="4" w:space="0"/>
              <w:right w:val="single" w:color="auto" w:sz="4" w:space="0"/>
            </w:tcBorders>
            <w:vAlign w:val="center"/>
          </w:tcPr>
          <w:p>
            <w:pPr>
              <w:rPr>
                <w:color w:val="000000" w:themeColor="text1"/>
                <w:szCs w:val="21"/>
              </w:rPr>
            </w:pPr>
            <w:r>
              <w:rPr>
                <w:color w:val="000000" w:themeColor="text1"/>
                <w:szCs w:val="21"/>
              </w:rPr>
              <w:t>《通用用电设备配电设计规范》（GB50055-2011）</w:t>
            </w:r>
          </w:p>
          <w:p>
            <w:pPr>
              <w:jc w:val="center"/>
              <w:rPr>
                <w:color w:val="000000" w:themeColor="text1"/>
                <w:szCs w:val="21"/>
              </w:rPr>
            </w:pPr>
            <w:r>
              <w:rPr>
                <w:color w:val="000000" w:themeColor="text1"/>
                <w:szCs w:val="21"/>
              </w:rPr>
              <w:t>第2.1.1条</w:t>
            </w:r>
          </w:p>
        </w:tc>
        <w:tc>
          <w:tcPr>
            <w:tcW w:w="2639" w:type="dxa"/>
            <w:tcBorders>
              <w:top w:val="single" w:color="auto" w:sz="4" w:space="0"/>
              <w:left w:val="single" w:color="auto" w:sz="4" w:space="0"/>
              <w:bottom w:val="single" w:color="auto" w:sz="4" w:space="0"/>
              <w:right w:val="single" w:color="auto" w:sz="4" w:space="0"/>
            </w:tcBorders>
            <w:vAlign w:val="center"/>
          </w:tcPr>
          <w:p>
            <w:pPr>
              <w:rPr>
                <w:color w:val="000000" w:themeColor="text1"/>
                <w:szCs w:val="21"/>
              </w:rPr>
            </w:pPr>
            <w:r>
              <w:rPr>
                <w:color w:val="000000" w:themeColor="text1"/>
                <w:szCs w:val="21"/>
              </w:rPr>
              <w:t>该项目电动机的工作制、额定功率、堵转、转速等电气和机械参数，符合要求。</w:t>
            </w:r>
          </w:p>
        </w:tc>
        <w:tc>
          <w:tcPr>
            <w:tcW w:w="772" w:type="dxa"/>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Cs w:val="21"/>
              </w:rPr>
            </w:pPr>
            <w:r>
              <w:rPr>
                <w:color w:val="000000" w:themeColor="text1"/>
                <w:szCs w:val="21"/>
              </w:rPr>
              <w:t>符合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464" w:type="dxa"/>
            <w:tcBorders>
              <w:top w:val="single" w:color="auto" w:sz="4" w:space="0"/>
              <w:left w:val="single" w:color="auto" w:sz="4" w:space="0"/>
              <w:bottom w:val="single" w:color="auto" w:sz="4" w:space="0"/>
              <w:right w:val="single" w:color="auto" w:sz="4" w:space="0"/>
            </w:tcBorders>
            <w:vAlign w:val="center"/>
          </w:tcPr>
          <w:p>
            <w:pPr>
              <w:numPr>
                <w:ilvl w:val="0"/>
                <w:numId w:val="17"/>
              </w:numPr>
              <w:tabs>
                <w:tab w:val="left" w:pos="352"/>
                <w:tab w:val="left" w:pos="759"/>
                <w:tab w:val="left" w:pos="825"/>
              </w:tabs>
              <w:adjustRightInd w:val="0"/>
              <w:ind w:left="0" w:firstLine="0"/>
              <w:jc w:val="center"/>
              <w:rPr>
                <w:color w:val="000000" w:themeColor="text1"/>
                <w:szCs w:val="21"/>
              </w:rPr>
            </w:pPr>
          </w:p>
        </w:tc>
        <w:tc>
          <w:tcPr>
            <w:tcW w:w="3210" w:type="dxa"/>
            <w:tcBorders>
              <w:top w:val="single" w:color="auto" w:sz="4" w:space="0"/>
              <w:left w:val="single" w:color="auto" w:sz="4" w:space="0"/>
              <w:bottom w:val="single" w:color="auto" w:sz="4" w:space="0"/>
              <w:right w:val="single" w:color="auto" w:sz="4" w:space="0"/>
            </w:tcBorders>
            <w:vAlign w:val="center"/>
          </w:tcPr>
          <w:p>
            <w:pPr>
              <w:rPr>
                <w:color w:val="000000" w:themeColor="text1"/>
                <w:szCs w:val="21"/>
              </w:rPr>
            </w:pPr>
            <w:r>
              <w:rPr>
                <w:color w:val="000000" w:themeColor="text1"/>
                <w:kern w:val="0"/>
                <w:szCs w:val="21"/>
              </w:rPr>
              <w:t>电动机的防护型式应符合安装场所的环境条件。</w:t>
            </w:r>
          </w:p>
        </w:tc>
        <w:tc>
          <w:tcPr>
            <w:tcW w:w="2316" w:type="dxa"/>
            <w:tcBorders>
              <w:top w:val="single" w:color="auto" w:sz="4" w:space="0"/>
              <w:left w:val="single" w:color="auto" w:sz="4" w:space="0"/>
              <w:bottom w:val="single" w:color="auto" w:sz="4" w:space="0"/>
              <w:right w:val="single" w:color="auto" w:sz="4" w:space="0"/>
            </w:tcBorders>
            <w:vAlign w:val="center"/>
          </w:tcPr>
          <w:p>
            <w:pPr>
              <w:rPr>
                <w:color w:val="000000" w:themeColor="text1"/>
                <w:szCs w:val="21"/>
              </w:rPr>
            </w:pPr>
            <w:r>
              <w:rPr>
                <w:color w:val="000000" w:themeColor="text1"/>
                <w:szCs w:val="21"/>
              </w:rPr>
              <w:t>《通用用电设备配电设计规范》（GB50055-2011）</w:t>
            </w:r>
          </w:p>
          <w:p>
            <w:pPr>
              <w:jc w:val="center"/>
              <w:rPr>
                <w:color w:val="000000" w:themeColor="text1"/>
                <w:szCs w:val="21"/>
              </w:rPr>
            </w:pPr>
            <w:r>
              <w:rPr>
                <w:color w:val="000000" w:themeColor="text1"/>
                <w:szCs w:val="21"/>
              </w:rPr>
              <w:t>第2.1.5条</w:t>
            </w:r>
          </w:p>
        </w:tc>
        <w:tc>
          <w:tcPr>
            <w:tcW w:w="2639" w:type="dxa"/>
            <w:tcBorders>
              <w:top w:val="single" w:color="auto" w:sz="4" w:space="0"/>
              <w:left w:val="single" w:color="auto" w:sz="4" w:space="0"/>
              <w:bottom w:val="single" w:color="auto" w:sz="4" w:space="0"/>
              <w:right w:val="single" w:color="auto" w:sz="4" w:space="0"/>
            </w:tcBorders>
            <w:vAlign w:val="center"/>
          </w:tcPr>
          <w:p>
            <w:pPr>
              <w:rPr>
                <w:color w:val="000000" w:themeColor="text1"/>
                <w:szCs w:val="21"/>
              </w:rPr>
            </w:pPr>
            <w:r>
              <w:rPr>
                <w:color w:val="000000" w:themeColor="text1"/>
                <w:kern w:val="0"/>
                <w:szCs w:val="21"/>
              </w:rPr>
              <w:t>该项目电动机的防护型式</w:t>
            </w:r>
            <w:r>
              <w:rPr>
                <w:color w:val="000000" w:themeColor="text1"/>
                <w:szCs w:val="21"/>
              </w:rPr>
              <w:t>符合要求。</w:t>
            </w:r>
          </w:p>
        </w:tc>
        <w:tc>
          <w:tcPr>
            <w:tcW w:w="772" w:type="dxa"/>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Cs w:val="21"/>
              </w:rPr>
            </w:pPr>
            <w:r>
              <w:rPr>
                <w:color w:val="000000" w:themeColor="text1"/>
                <w:szCs w:val="21"/>
              </w:rPr>
              <w:t>符合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464" w:type="dxa"/>
            <w:tcBorders>
              <w:top w:val="single" w:color="auto" w:sz="4" w:space="0"/>
              <w:left w:val="single" w:color="auto" w:sz="4" w:space="0"/>
              <w:bottom w:val="single" w:color="auto" w:sz="4" w:space="0"/>
              <w:right w:val="single" w:color="auto" w:sz="4" w:space="0"/>
            </w:tcBorders>
            <w:vAlign w:val="center"/>
          </w:tcPr>
          <w:p>
            <w:pPr>
              <w:numPr>
                <w:ilvl w:val="0"/>
                <w:numId w:val="17"/>
              </w:numPr>
              <w:tabs>
                <w:tab w:val="left" w:pos="352"/>
                <w:tab w:val="left" w:pos="759"/>
                <w:tab w:val="left" w:pos="825"/>
              </w:tabs>
              <w:adjustRightInd w:val="0"/>
              <w:ind w:left="0" w:firstLine="0"/>
              <w:jc w:val="center"/>
              <w:rPr>
                <w:color w:val="000000" w:themeColor="text1"/>
                <w:szCs w:val="21"/>
              </w:rPr>
            </w:pPr>
          </w:p>
        </w:tc>
        <w:tc>
          <w:tcPr>
            <w:tcW w:w="3210" w:type="dxa"/>
            <w:tcBorders>
              <w:top w:val="single" w:color="auto" w:sz="4" w:space="0"/>
              <w:left w:val="single" w:color="auto" w:sz="4" w:space="0"/>
              <w:bottom w:val="single" w:color="auto" w:sz="4" w:space="0"/>
              <w:right w:val="single" w:color="auto" w:sz="4" w:space="0"/>
            </w:tcBorders>
            <w:vAlign w:val="center"/>
          </w:tcPr>
          <w:p>
            <w:pPr>
              <w:rPr>
                <w:color w:val="000000" w:themeColor="text1"/>
                <w:szCs w:val="21"/>
              </w:rPr>
            </w:pPr>
            <w:r>
              <w:rPr>
                <w:color w:val="000000" w:themeColor="text1"/>
                <w:kern w:val="21"/>
                <w:szCs w:val="21"/>
              </w:rPr>
              <w:t>一般环境下，用电产品以及电气线路的周围应留有足够的安全通道和工作空间，且不应堆放易燃、易爆和腐蚀性物品。</w:t>
            </w:r>
          </w:p>
        </w:tc>
        <w:tc>
          <w:tcPr>
            <w:tcW w:w="2316" w:type="dxa"/>
            <w:tcBorders>
              <w:top w:val="single" w:color="auto" w:sz="4" w:space="0"/>
              <w:left w:val="single" w:color="auto" w:sz="4" w:space="0"/>
              <w:bottom w:val="single" w:color="auto" w:sz="4" w:space="0"/>
              <w:right w:val="single" w:color="auto" w:sz="4" w:space="0"/>
            </w:tcBorders>
            <w:vAlign w:val="center"/>
          </w:tcPr>
          <w:p>
            <w:pPr>
              <w:rPr>
                <w:color w:val="000000" w:themeColor="text1"/>
                <w:szCs w:val="21"/>
              </w:rPr>
            </w:pPr>
            <w:r>
              <w:rPr>
                <w:color w:val="000000" w:themeColor="text1"/>
                <w:szCs w:val="21"/>
              </w:rPr>
              <w:t>《用电安全导则》（GB/T13869-2017）</w:t>
            </w:r>
          </w:p>
          <w:p>
            <w:pPr>
              <w:jc w:val="center"/>
              <w:rPr>
                <w:color w:val="000000" w:themeColor="text1"/>
                <w:szCs w:val="21"/>
              </w:rPr>
            </w:pPr>
            <w:r>
              <w:rPr>
                <w:color w:val="000000" w:themeColor="text1"/>
                <w:szCs w:val="21"/>
              </w:rPr>
              <w:t>第5.1.1条</w:t>
            </w:r>
          </w:p>
        </w:tc>
        <w:tc>
          <w:tcPr>
            <w:tcW w:w="2639" w:type="dxa"/>
            <w:tcBorders>
              <w:top w:val="single" w:color="auto" w:sz="4" w:space="0"/>
              <w:left w:val="single" w:color="auto" w:sz="4" w:space="0"/>
              <w:bottom w:val="single" w:color="auto" w:sz="4" w:space="0"/>
              <w:right w:val="single" w:color="auto" w:sz="4" w:space="0"/>
            </w:tcBorders>
            <w:vAlign w:val="center"/>
          </w:tcPr>
          <w:p>
            <w:pPr>
              <w:rPr>
                <w:color w:val="000000" w:themeColor="text1"/>
                <w:szCs w:val="21"/>
              </w:rPr>
            </w:pPr>
            <w:r>
              <w:rPr>
                <w:color w:val="000000" w:themeColor="text1"/>
                <w:szCs w:val="21"/>
              </w:rPr>
              <w:t>用电设备和电气线路周围有足够的安全通道和工作空间。</w:t>
            </w:r>
          </w:p>
        </w:tc>
        <w:tc>
          <w:tcPr>
            <w:tcW w:w="772" w:type="dxa"/>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Cs w:val="21"/>
              </w:rPr>
            </w:pPr>
            <w:r>
              <w:rPr>
                <w:color w:val="000000" w:themeColor="text1"/>
                <w:szCs w:val="21"/>
              </w:rPr>
              <w:t>符合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464" w:type="dxa"/>
            <w:tcBorders>
              <w:top w:val="single" w:color="auto" w:sz="4" w:space="0"/>
              <w:left w:val="single" w:color="auto" w:sz="4" w:space="0"/>
              <w:bottom w:val="single" w:color="auto" w:sz="4" w:space="0"/>
              <w:right w:val="single" w:color="auto" w:sz="4" w:space="0"/>
            </w:tcBorders>
            <w:vAlign w:val="center"/>
          </w:tcPr>
          <w:p>
            <w:pPr>
              <w:numPr>
                <w:ilvl w:val="0"/>
                <w:numId w:val="17"/>
              </w:numPr>
              <w:tabs>
                <w:tab w:val="left" w:pos="352"/>
                <w:tab w:val="left" w:pos="759"/>
                <w:tab w:val="left" w:pos="825"/>
              </w:tabs>
              <w:adjustRightInd w:val="0"/>
              <w:ind w:left="0" w:firstLine="0"/>
              <w:jc w:val="center"/>
              <w:rPr>
                <w:color w:val="000000" w:themeColor="text1"/>
                <w:szCs w:val="21"/>
              </w:rPr>
            </w:pPr>
          </w:p>
        </w:tc>
        <w:tc>
          <w:tcPr>
            <w:tcW w:w="3210" w:type="dxa"/>
            <w:tcBorders>
              <w:top w:val="single" w:color="auto" w:sz="4" w:space="0"/>
              <w:left w:val="single" w:color="auto" w:sz="4" w:space="0"/>
              <w:bottom w:val="single" w:color="auto" w:sz="4" w:space="0"/>
              <w:right w:val="single" w:color="auto" w:sz="4" w:space="0"/>
            </w:tcBorders>
            <w:vAlign w:val="center"/>
          </w:tcPr>
          <w:p>
            <w:pPr>
              <w:rPr>
                <w:color w:val="000000" w:themeColor="text1"/>
                <w:szCs w:val="21"/>
              </w:rPr>
            </w:pPr>
            <w:r>
              <w:rPr>
                <w:color w:val="000000" w:themeColor="text1"/>
                <w:szCs w:val="21"/>
              </w:rPr>
              <w:t>配电室、电容器室和各辅助房间的内墙表面应抹灰刷白。地（楼）面宜采用高标号水泥抹面压光。配电室、变压器室、电容器室的顶棚以及变压器室的内墙面应刷白。</w:t>
            </w:r>
          </w:p>
        </w:tc>
        <w:tc>
          <w:tcPr>
            <w:tcW w:w="2316" w:type="dxa"/>
            <w:tcBorders>
              <w:top w:val="single" w:color="auto" w:sz="4" w:space="0"/>
              <w:left w:val="single" w:color="auto" w:sz="4" w:space="0"/>
              <w:bottom w:val="single" w:color="auto" w:sz="4" w:space="0"/>
              <w:right w:val="single" w:color="auto" w:sz="4" w:space="0"/>
            </w:tcBorders>
            <w:vAlign w:val="center"/>
          </w:tcPr>
          <w:p>
            <w:pPr>
              <w:rPr>
                <w:color w:val="000000" w:themeColor="text1"/>
                <w:szCs w:val="21"/>
              </w:rPr>
            </w:pPr>
            <w:r>
              <w:rPr>
                <w:snapToGrid w:val="0"/>
                <w:color w:val="000000" w:themeColor="text1"/>
                <w:kern w:val="0"/>
                <w:szCs w:val="21"/>
              </w:rPr>
              <w:t>《20kV及以下变电所设计规范》（GB50053-2013）</w:t>
            </w:r>
          </w:p>
          <w:p>
            <w:pPr>
              <w:jc w:val="center"/>
              <w:rPr>
                <w:color w:val="000000" w:themeColor="text1"/>
                <w:szCs w:val="21"/>
              </w:rPr>
            </w:pPr>
            <w:r>
              <w:rPr>
                <w:color w:val="000000" w:themeColor="text1"/>
                <w:szCs w:val="21"/>
              </w:rPr>
              <w:t>第6.2.5条</w:t>
            </w:r>
          </w:p>
        </w:tc>
        <w:tc>
          <w:tcPr>
            <w:tcW w:w="2639" w:type="dxa"/>
            <w:tcBorders>
              <w:top w:val="single" w:color="auto" w:sz="4" w:space="0"/>
              <w:left w:val="single" w:color="auto" w:sz="4" w:space="0"/>
              <w:bottom w:val="single" w:color="auto" w:sz="4" w:space="0"/>
              <w:right w:val="single" w:color="auto" w:sz="4" w:space="0"/>
            </w:tcBorders>
            <w:vAlign w:val="center"/>
          </w:tcPr>
          <w:p>
            <w:pPr>
              <w:jc w:val="left"/>
              <w:rPr>
                <w:color w:val="000000" w:themeColor="text1"/>
                <w:szCs w:val="21"/>
              </w:rPr>
            </w:pPr>
            <w:r>
              <w:rPr>
                <w:color w:val="000000" w:themeColor="text1"/>
                <w:szCs w:val="21"/>
              </w:rPr>
              <w:t>该项目未设置配电室，只设置了配电箱</w:t>
            </w:r>
          </w:p>
        </w:tc>
        <w:tc>
          <w:tcPr>
            <w:tcW w:w="772" w:type="dxa"/>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Cs w:val="21"/>
              </w:rPr>
            </w:pPr>
            <w:r>
              <w:rPr>
                <w:color w:val="000000" w:themeColor="text1"/>
                <w:szCs w:val="21"/>
              </w:rPr>
              <w:t>不涉及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9401" w:type="dxa"/>
            <w:gridSpan w:val="5"/>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Cs w:val="21"/>
              </w:rPr>
            </w:pPr>
            <w:r>
              <w:rPr>
                <w:b/>
                <w:color w:val="000000" w:themeColor="text1"/>
                <w:szCs w:val="21"/>
              </w:rPr>
              <w:t>视频监控系统</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464" w:type="dxa"/>
            <w:tcBorders>
              <w:top w:val="single" w:color="auto" w:sz="4" w:space="0"/>
              <w:left w:val="single" w:color="auto" w:sz="4" w:space="0"/>
              <w:bottom w:val="single" w:color="auto" w:sz="4" w:space="0"/>
              <w:right w:val="single" w:color="auto" w:sz="4" w:space="0"/>
            </w:tcBorders>
            <w:vAlign w:val="center"/>
          </w:tcPr>
          <w:p>
            <w:pPr>
              <w:numPr>
                <w:ilvl w:val="0"/>
                <w:numId w:val="18"/>
              </w:numPr>
              <w:tabs>
                <w:tab w:val="left" w:pos="352"/>
                <w:tab w:val="left" w:pos="759"/>
                <w:tab w:val="left" w:pos="825"/>
              </w:tabs>
              <w:adjustRightInd w:val="0"/>
              <w:ind w:left="0" w:firstLine="0"/>
              <w:jc w:val="center"/>
              <w:rPr>
                <w:color w:val="000000" w:themeColor="text1"/>
                <w:szCs w:val="21"/>
              </w:rPr>
            </w:pPr>
          </w:p>
        </w:tc>
        <w:tc>
          <w:tcPr>
            <w:tcW w:w="3210" w:type="dxa"/>
            <w:tcBorders>
              <w:top w:val="single" w:color="auto" w:sz="4" w:space="0"/>
              <w:left w:val="single" w:color="auto" w:sz="4" w:space="0"/>
              <w:bottom w:val="single" w:color="auto" w:sz="4" w:space="0"/>
              <w:right w:val="single" w:color="auto" w:sz="4" w:space="0"/>
            </w:tcBorders>
            <w:vAlign w:val="center"/>
          </w:tcPr>
          <w:p>
            <w:pPr>
              <w:rPr>
                <w:color w:val="000000" w:themeColor="text1"/>
                <w:szCs w:val="21"/>
              </w:rPr>
            </w:pPr>
            <w:r>
              <w:rPr>
                <w:color w:val="000000" w:themeColor="text1"/>
                <w:szCs w:val="21"/>
              </w:rPr>
              <w:t>加油加气站进、出口应分别配置一台高分辨率智能一体化摄像机，应能广角监控加油加气站进、出口整体情况，包括：汽车车型，汽车驶入、驶出的路径，行人走入、走出的动作、行为。该摄像机应具备车辆牌照和车型的识别功能。</w:t>
            </w:r>
          </w:p>
        </w:tc>
        <w:tc>
          <w:tcPr>
            <w:tcW w:w="2316" w:type="dxa"/>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Cs w:val="21"/>
              </w:rPr>
            </w:pPr>
            <w:r>
              <w:rPr>
                <w:color w:val="000000" w:themeColor="text1"/>
                <w:szCs w:val="21"/>
              </w:rPr>
              <w:t>《加油加气站视频安防监控系统技术要求》（AQT3050-2013）第6.2.2.1条</w:t>
            </w:r>
          </w:p>
        </w:tc>
        <w:tc>
          <w:tcPr>
            <w:tcW w:w="2639" w:type="dxa"/>
            <w:tcBorders>
              <w:top w:val="single" w:color="auto" w:sz="4" w:space="0"/>
              <w:left w:val="single" w:color="auto" w:sz="4" w:space="0"/>
              <w:bottom w:val="single" w:color="auto" w:sz="4" w:space="0"/>
              <w:right w:val="single" w:color="auto" w:sz="4" w:space="0"/>
            </w:tcBorders>
            <w:vAlign w:val="center"/>
          </w:tcPr>
          <w:p>
            <w:pPr>
              <w:rPr>
                <w:color w:val="000000" w:themeColor="text1"/>
                <w:szCs w:val="21"/>
              </w:rPr>
            </w:pPr>
            <w:r>
              <w:rPr>
                <w:bCs/>
                <w:color w:val="000000" w:themeColor="text1"/>
                <w:szCs w:val="21"/>
              </w:rPr>
              <w:t>该项目操作场设置了摄像头，能观察储罐区的运行情况。</w:t>
            </w:r>
          </w:p>
        </w:tc>
        <w:tc>
          <w:tcPr>
            <w:tcW w:w="772" w:type="dxa"/>
            <w:tcBorders>
              <w:top w:val="single" w:color="auto" w:sz="4" w:space="0"/>
              <w:left w:val="single" w:color="auto" w:sz="4" w:space="0"/>
              <w:bottom w:val="single" w:color="auto" w:sz="4" w:space="0"/>
              <w:right w:val="single" w:color="auto" w:sz="4" w:space="0"/>
            </w:tcBorders>
            <w:vAlign w:val="center"/>
          </w:tcPr>
          <w:p>
            <w:pPr>
              <w:jc w:val="center"/>
              <w:rPr>
                <w:bCs/>
                <w:color w:val="000000" w:themeColor="text1"/>
                <w:szCs w:val="21"/>
              </w:rPr>
            </w:pPr>
            <w:r>
              <w:rPr>
                <w:bCs/>
                <w:color w:val="000000" w:themeColor="text1"/>
                <w:szCs w:val="21"/>
              </w:rPr>
              <w:t>符合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464" w:type="dxa"/>
            <w:tcBorders>
              <w:top w:val="single" w:color="auto" w:sz="4" w:space="0"/>
              <w:left w:val="single" w:color="auto" w:sz="4" w:space="0"/>
              <w:bottom w:val="single" w:color="auto" w:sz="4" w:space="0"/>
              <w:right w:val="single" w:color="auto" w:sz="4" w:space="0"/>
            </w:tcBorders>
            <w:vAlign w:val="center"/>
          </w:tcPr>
          <w:p>
            <w:pPr>
              <w:numPr>
                <w:ilvl w:val="0"/>
                <w:numId w:val="18"/>
              </w:numPr>
              <w:tabs>
                <w:tab w:val="left" w:pos="352"/>
                <w:tab w:val="left" w:pos="759"/>
                <w:tab w:val="left" w:pos="825"/>
              </w:tabs>
              <w:adjustRightInd w:val="0"/>
              <w:ind w:left="0" w:firstLine="0"/>
              <w:jc w:val="center"/>
              <w:rPr>
                <w:color w:val="000000" w:themeColor="text1"/>
                <w:szCs w:val="21"/>
              </w:rPr>
            </w:pPr>
          </w:p>
        </w:tc>
        <w:tc>
          <w:tcPr>
            <w:tcW w:w="3210" w:type="dxa"/>
            <w:tcBorders>
              <w:top w:val="single" w:color="auto" w:sz="4" w:space="0"/>
              <w:left w:val="single" w:color="auto" w:sz="4" w:space="0"/>
              <w:bottom w:val="single" w:color="auto" w:sz="4" w:space="0"/>
              <w:right w:val="single" w:color="auto" w:sz="4" w:space="0"/>
            </w:tcBorders>
            <w:vAlign w:val="center"/>
          </w:tcPr>
          <w:p>
            <w:pPr>
              <w:rPr>
                <w:color w:val="000000" w:themeColor="text1"/>
                <w:szCs w:val="21"/>
              </w:rPr>
            </w:pPr>
            <w:r>
              <w:rPr>
                <w:color w:val="000000" w:themeColor="text1"/>
                <w:szCs w:val="21"/>
              </w:rPr>
              <w:t>应配备UPS电源。在市电中断条件下，应能支持平台和前端信息采集设施工作2h。</w:t>
            </w:r>
          </w:p>
        </w:tc>
        <w:tc>
          <w:tcPr>
            <w:tcW w:w="2316" w:type="dxa"/>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Cs w:val="21"/>
              </w:rPr>
            </w:pPr>
            <w:r>
              <w:rPr>
                <w:color w:val="000000" w:themeColor="text1"/>
                <w:szCs w:val="21"/>
              </w:rPr>
              <w:t>《加油加气站视频安防监控系统技术要求》（AQT3050-2013）第6.1.1.2条</w:t>
            </w:r>
          </w:p>
        </w:tc>
        <w:tc>
          <w:tcPr>
            <w:tcW w:w="2639" w:type="dxa"/>
            <w:tcBorders>
              <w:top w:val="single" w:color="auto" w:sz="4" w:space="0"/>
              <w:left w:val="single" w:color="auto" w:sz="4" w:space="0"/>
              <w:bottom w:val="single" w:color="auto" w:sz="4" w:space="0"/>
              <w:right w:val="single" w:color="auto" w:sz="4" w:space="0"/>
            </w:tcBorders>
            <w:vAlign w:val="center"/>
          </w:tcPr>
          <w:p>
            <w:pPr>
              <w:rPr>
                <w:bCs/>
                <w:color w:val="000000" w:themeColor="text1"/>
                <w:szCs w:val="21"/>
              </w:rPr>
            </w:pPr>
            <w:r>
              <w:rPr>
                <w:bCs/>
                <w:color w:val="000000" w:themeColor="text1"/>
                <w:szCs w:val="21"/>
              </w:rPr>
              <w:t>该项目未配备UPS电源。</w:t>
            </w:r>
          </w:p>
        </w:tc>
        <w:tc>
          <w:tcPr>
            <w:tcW w:w="772" w:type="dxa"/>
            <w:tcBorders>
              <w:top w:val="single" w:color="auto" w:sz="4" w:space="0"/>
              <w:left w:val="single" w:color="auto" w:sz="4" w:space="0"/>
              <w:bottom w:val="single" w:color="auto" w:sz="4" w:space="0"/>
              <w:right w:val="single" w:color="auto" w:sz="4" w:space="0"/>
            </w:tcBorders>
            <w:vAlign w:val="center"/>
          </w:tcPr>
          <w:p>
            <w:pPr>
              <w:jc w:val="center"/>
              <w:rPr>
                <w:bCs/>
                <w:color w:val="000000" w:themeColor="text1"/>
                <w:szCs w:val="21"/>
              </w:rPr>
            </w:pPr>
            <w:r>
              <w:rPr>
                <w:bCs/>
                <w:color w:val="000000" w:themeColor="text1"/>
                <w:szCs w:val="21"/>
              </w:rPr>
              <w:t>不符合</w:t>
            </w:r>
          </w:p>
        </w:tc>
      </w:tr>
    </w:tbl>
    <w:p>
      <w:pPr>
        <w:spacing w:line="500" w:lineRule="exact"/>
        <w:ind w:firstLine="560" w:firstLineChars="200"/>
        <w:rPr>
          <w:rFonts w:eastAsiaTheme="minorEastAsia"/>
          <w:snapToGrid w:val="0"/>
          <w:color w:val="000000" w:themeColor="text1"/>
          <w:kern w:val="0"/>
          <w:sz w:val="28"/>
          <w:szCs w:val="28"/>
        </w:rPr>
      </w:pPr>
      <w:bookmarkStart w:id="1818" w:name="_Toc30715"/>
      <w:bookmarkStart w:id="1819" w:name="_Toc13690"/>
      <w:bookmarkStart w:id="1820" w:name="_Toc28734"/>
      <w:bookmarkStart w:id="1821" w:name="_Toc2359"/>
      <w:bookmarkStart w:id="1822" w:name="_Toc503"/>
      <w:bookmarkStart w:id="1823" w:name="_Toc8574"/>
      <w:bookmarkStart w:id="1824" w:name="_Toc17436"/>
      <w:bookmarkStart w:id="1825" w:name="_Toc19137"/>
      <w:bookmarkStart w:id="1826" w:name="_Toc6482"/>
      <w:bookmarkStart w:id="1827" w:name="_Toc14690"/>
      <w:r>
        <w:rPr>
          <w:rFonts w:eastAsiaTheme="minorEastAsia"/>
          <w:snapToGrid w:val="0"/>
          <w:color w:val="000000" w:themeColor="text1"/>
          <w:kern w:val="0"/>
          <w:sz w:val="28"/>
          <w:szCs w:val="28"/>
        </w:rPr>
        <w:t>由上表检查结果可知，评价组现场检查时，该项目供配电系统除视频监控系统无UPS电源外，其余均符合《低压配电设计规范》（GB50054-2011）、《汽车加油加气加氢站技术标准》（GB50156-2021）、《加油加气站视频安防监控系统技术要求》（AQT3050-2013）、《通用用电设备配电设计规范》（GB50055-2011）、《20kV及以下变电所设计规范》（GB50053-2013）、《用电安全导则》（GB/T 13869-2017）等标准、规范的要求。</w:t>
      </w:r>
    </w:p>
    <w:p>
      <w:pPr>
        <w:pStyle w:val="19"/>
        <w:spacing w:afterLines="100" w:line="500" w:lineRule="exact"/>
        <w:rPr>
          <w:rFonts w:ascii="黑体" w:hAnsi="宋体" w:eastAsia="黑体"/>
          <w:color w:val="000000" w:themeColor="text1"/>
          <w:kern w:val="3"/>
          <w:sz w:val="28"/>
          <w:szCs w:val="28"/>
        </w:rPr>
      </w:pPr>
      <w:r>
        <w:rPr>
          <w:rFonts w:hint="eastAsia" w:ascii="黑体" w:hAnsi="宋体" w:eastAsia="黑体"/>
          <w:color w:val="000000" w:themeColor="text1"/>
          <w:kern w:val="3"/>
          <w:sz w:val="28"/>
          <w:szCs w:val="28"/>
        </w:rPr>
        <w:t>5.5.2 消防</w:t>
      </w:r>
      <w:r>
        <w:rPr>
          <w:rFonts w:hint="eastAsia" w:ascii="黑体" w:hAnsi="宋体" w:eastAsia="黑体"/>
          <w:color w:val="000000" w:themeColor="text1"/>
          <w:kern w:val="3"/>
          <w:sz w:val="28"/>
          <w:szCs w:val="28"/>
          <w:lang w:eastAsia="zh-CN"/>
        </w:rPr>
        <w:t>、</w:t>
      </w:r>
      <w:r>
        <w:rPr>
          <w:rFonts w:hint="eastAsia" w:ascii="黑体" w:hAnsi="宋体" w:eastAsia="黑体"/>
          <w:color w:val="000000" w:themeColor="text1"/>
          <w:kern w:val="3"/>
          <w:sz w:val="28"/>
          <w:szCs w:val="28"/>
        </w:rPr>
        <w:t>给排水评价子单元安全检查表</w:t>
      </w:r>
      <w:bookmarkEnd w:id="1818"/>
      <w:bookmarkEnd w:id="1819"/>
      <w:bookmarkEnd w:id="1820"/>
      <w:bookmarkEnd w:id="1821"/>
      <w:bookmarkEnd w:id="1822"/>
      <w:bookmarkEnd w:id="1823"/>
      <w:bookmarkEnd w:id="1824"/>
      <w:bookmarkEnd w:id="1825"/>
      <w:bookmarkEnd w:id="1826"/>
      <w:bookmarkEnd w:id="1827"/>
    </w:p>
    <w:p>
      <w:pPr>
        <w:adjustRightInd w:val="0"/>
        <w:snapToGrid w:val="0"/>
        <w:spacing w:line="500" w:lineRule="exact"/>
        <w:ind w:firstLine="560" w:firstLineChars="200"/>
        <w:rPr>
          <w:rFonts w:eastAsiaTheme="minorEastAsia"/>
          <w:color w:val="000000" w:themeColor="text1"/>
          <w:sz w:val="28"/>
          <w:szCs w:val="28"/>
        </w:rPr>
      </w:pPr>
      <w:r>
        <w:rPr>
          <w:rFonts w:eastAsiaTheme="minorEastAsia"/>
          <w:snapToGrid w:val="0"/>
          <w:color w:val="000000" w:themeColor="text1"/>
          <w:kern w:val="0"/>
          <w:sz w:val="28"/>
          <w:szCs w:val="28"/>
        </w:rPr>
        <w:t>根据《建筑灭火器配置设计规范》（GB50140-2005）、《汽车加油加气加氢站技术标准》（GB50156-2021）、《云南省消防条例》（2001年3月29日省九届人大常委会第二十一次会议通过）等</w:t>
      </w:r>
      <w:r>
        <w:rPr>
          <w:rFonts w:hint="eastAsia" w:eastAsiaTheme="minorEastAsia"/>
          <w:snapToGrid w:val="0"/>
          <w:color w:val="000000" w:themeColor="text1"/>
          <w:kern w:val="0"/>
          <w:sz w:val="28"/>
          <w:szCs w:val="28"/>
        </w:rPr>
        <w:t>法规、</w:t>
      </w:r>
      <w:r>
        <w:rPr>
          <w:rFonts w:eastAsiaTheme="minorEastAsia"/>
          <w:snapToGrid w:val="0"/>
          <w:color w:val="000000" w:themeColor="text1"/>
          <w:kern w:val="0"/>
          <w:sz w:val="28"/>
          <w:szCs w:val="28"/>
        </w:rPr>
        <w:t>标准规范的要求，对该项目消防及给排水进行安全分析评价，具体情况如下表所示</w:t>
      </w:r>
      <w:r>
        <w:rPr>
          <w:rFonts w:eastAsiaTheme="minorEastAsia"/>
          <w:color w:val="000000" w:themeColor="text1"/>
          <w:sz w:val="28"/>
          <w:szCs w:val="28"/>
        </w:rPr>
        <w:t>：</w:t>
      </w:r>
    </w:p>
    <w:p>
      <w:pPr>
        <w:adjustRightInd w:val="0"/>
        <w:snapToGrid w:val="0"/>
        <w:spacing w:line="500" w:lineRule="exact"/>
        <w:jc w:val="center"/>
        <w:rPr>
          <w:rFonts w:asciiTheme="minorEastAsia" w:hAnsiTheme="minorEastAsia" w:eastAsiaTheme="minorEastAsia"/>
          <w:bCs/>
          <w:color w:val="000000" w:themeColor="text1"/>
          <w:sz w:val="24"/>
        </w:rPr>
      </w:pPr>
      <w:r>
        <w:rPr>
          <w:rFonts w:asciiTheme="minorEastAsia" w:hAnsiTheme="minorEastAsia" w:eastAsiaTheme="minorEastAsia"/>
          <w:bCs/>
          <w:color w:val="000000" w:themeColor="text1"/>
          <w:sz w:val="24"/>
        </w:rPr>
        <w:t>表</w:t>
      </w:r>
      <w:r>
        <w:rPr>
          <w:rFonts w:hint="eastAsia" w:asciiTheme="minorEastAsia" w:hAnsiTheme="minorEastAsia" w:eastAsiaTheme="minorEastAsia"/>
          <w:bCs/>
          <w:color w:val="000000" w:themeColor="text1"/>
          <w:sz w:val="24"/>
        </w:rPr>
        <w:t>5-11 消防及给排水安全检查表</w:t>
      </w:r>
    </w:p>
    <w:tbl>
      <w:tblPr>
        <w:tblStyle w:val="52"/>
        <w:tblW w:w="940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3"/>
        <w:gridCol w:w="3138"/>
        <w:gridCol w:w="2442"/>
        <w:gridCol w:w="2524"/>
        <w:gridCol w:w="7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trPr>
        <w:tc>
          <w:tcPr>
            <w:tcW w:w="523" w:type="dxa"/>
            <w:tcBorders>
              <w:top w:val="single" w:color="auto" w:sz="4" w:space="0"/>
              <w:left w:val="single" w:color="auto" w:sz="4" w:space="0"/>
              <w:bottom w:val="single" w:color="auto" w:sz="4" w:space="0"/>
              <w:right w:val="single" w:color="auto" w:sz="4" w:space="0"/>
            </w:tcBorders>
            <w:vAlign w:val="center"/>
          </w:tcPr>
          <w:p>
            <w:pPr>
              <w:jc w:val="center"/>
              <w:rPr>
                <w:b/>
                <w:bCs/>
                <w:color w:val="000000" w:themeColor="text1"/>
                <w:szCs w:val="21"/>
              </w:rPr>
            </w:pPr>
            <w:r>
              <w:rPr>
                <w:b/>
                <w:bCs/>
                <w:color w:val="000000" w:themeColor="text1"/>
                <w:szCs w:val="21"/>
              </w:rPr>
              <w:t>序号</w:t>
            </w:r>
          </w:p>
        </w:tc>
        <w:tc>
          <w:tcPr>
            <w:tcW w:w="3138" w:type="dxa"/>
            <w:tcBorders>
              <w:top w:val="single" w:color="auto" w:sz="4" w:space="0"/>
              <w:left w:val="single" w:color="auto" w:sz="4" w:space="0"/>
              <w:bottom w:val="single" w:color="auto" w:sz="4" w:space="0"/>
              <w:right w:val="single" w:color="auto" w:sz="4" w:space="0"/>
            </w:tcBorders>
            <w:vAlign w:val="center"/>
          </w:tcPr>
          <w:p>
            <w:pPr>
              <w:pStyle w:val="91"/>
              <w:tabs>
                <w:tab w:val="left" w:pos="420"/>
              </w:tabs>
              <w:jc w:val="center"/>
              <w:rPr>
                <w:b/>
                <w:bCs/>
                <w:color w:val="000000" w:themeColor="text1"/>
                <w:kern w:val="21"/>
                <w:szCs w:val="21"/>
              </w:rPr>
            </w:pPr>
            <w:r>
              <w:rPr>
                <w:b/>
                <w:bCs/>
                <w:color w:val="000000" w:themeColor="text1"/>
                <w:kern w:val="21"/>
                <w:szCs w:val="21"/>
              </w:rPr>
              <w:t>检查内容</w:t>
            </w:r>
          </w:p>
        </w:tc>
        <w:tc>
          <w:tcPr>
            <w:tcW w:w="2442" w:type="dxa"/>
            <w:tcBorders>
              <w:top w:val="single" w:color="auto" w:sz="4" w:space="0"/>
              <w:left w:val="single" w:color="auto" w:sz="4" w:space="0"/>
              <w:bottom w:val="single" w:color="auto" w:sz="4" w:space="0"/>
              <w:right w:val="single" w:color="auto" w:sz="4" w:space="0"/>
            </w:tcBorders>
            <w:vAlign w:val="center"/>
          </w:tcPr>
          <w:p>
            <w:pPr>
              <w:jc w:val="center"/>
              <w:rPr>
                <w:b/>
                <w:bCs/>
                <w:color w:val="000000" w:themeColor="text1"/>
                <w:szCs w:val="21"/>
              </w:rPr>
            </w:pPr>
            <w:r>
              <w:rPr>
                <w:b/>
                <w:bCs/>
                <w:color w:val="000000" w:themeColor="text1"/>
                <w:szCs w:val="21"/>
              </w:rPr>
              <w:t>检查依据</w:t>
            </w:r>
          </w:p>
        </w:tc>
        <w:tc>
          <w:tcPr>
            <w:tcW w:w="2524" w:type="dxa"/>
            <w:tcBorders>
              <w:top w:val="single" w:color="auto" w:sz="4" w:space="0"/>
              <w:left w:val="single" w:color="auto" w:sz="4" w:space="0"/>
              <w:bottom w:val="single" w:color="auto" w:sz="4" w:space="0"/>
              <w:right w:val="single" w:color="auto" w:sz="4" w:space="0"/>
            </w:tcBorders>
            <w:vAlign w:val="center"/>
          </w:tcPr>
          <w:p>
            <w:pPr>
              <w:jc w:val="center"/>
              <w:rPr>
                <w:b/>
                <w:bCs/>
                <w:color w:val="000000" w:themeColor="text1"/>
                <w:szCs w:val="21"/>
              </w:rPr>
            </w:pPr>
            <w:r>
              <w:rPr>
                <w:b/>
                <w:bCs/>
                <w:color w:val="000000" w:themeColor="text1"/>
                <w:szCs w:val="21"/>
              </w:rPr>
              <w:t>实际情况</w:t>
            </w:r>
          </w:p>
        </w:tc>
        <w:tc>
          <w:tcPr>
            <w:tcW w:w="774" w:type="dxa"/>
            <w:tcBorders>
              <w:top w:val="single" w:color="auto" w:sz="4" w:space="0"/>
              <w:left w:val="single" w:color="auto" w:sz="4" w:space="0"/>
              <w:bottom w:val="single" w:color="auto" w:sz="4" w:space="0"/>
              <w:right w:val="single" w:color="auto" w:sz="4" w:space="0"/>
            </w:tcBorders>
            <w:vAlign w:val="center"/>
          </w:tcPr>
          <w:p>
            <w:pPr>
              <w:jc w:val="center"/>
              <w:rPr>
                <w:b/>
                <w:bCs/>
                <w:color w:val="000000" w:themeColor="text1"/>
                <w:szCs w:val="21"/>
              </w:rPr>
            </w:pPr>
            <w:r>
              <w:rPr>
                <w:b/>
                <w:bCs/>
                <w:color w:val="000000" w:themeColor="text1"/>
                <w:szCs w:val="21"/>
              </w:rPr>
              <w:t>检查结果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01" w:type="dxa"/>
            <w:gridSpan w:val="5"/>
            <w:tcBorders>
              <w:top w:val="single" w:color="auto" w:sz="4" w:space="0"/>
              <w:left w:val="single" w:color="auto" w:sz="4" w:space="0"/>
              <w:bottom w:val="single" w:color="auto" w:sz="4" w:space="0"/>
              <w:right w:val="single" w:color="auto" w:sz="4" w:space="0"/>
            </w:tcBorders>
            <w:vAlign w:val="center"/>
          </w:tcPr>
          <w:p>
            <w:pPr>
              <w:jc w:val="center"/>
              <w:rPr>
                <w:b/>
                <w:color w:val="000000" w:themeColor="text1"/>
                <w:szCs w:val="21"/>
              </w:rPr>
            </w:pPr>
            <w:r>
              <w:rPr>
                <w:b/>
                <w:color w:val="000000" w:themeColor="text1"/>
                <w:szCs w:val="21"/>
              </w:rPr>
              <w:t>消防设施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23" w:type="dxa"/>
            <w:tcBorders>
              <w:top w:val="single" w:color="auto" w:sz="4" w:space="0"/>
              <w:left w:val="single" w:color="auto" w:sz="4" w:space="0"/>
              <w:bottom w:val="single" w:color="auto" w:sz="4" w:space="0"/>
              <w:right w:val="single" w:color="auto" w:sz="4" w:space="0"/>
            </w:tcBorders>
            <w:vAlign w:val="center"/>
          </w:tcPr>
          <w:p>
            <w:pPr>
              <w:numPr>
                <w:ilvl w:val="0"/>
                <w:numId w:val="19"/>
              </w:numPr>
              <w:ind w:left="0" w:firstLine="0"/>
              <w:jc w:val="center"/>
              <w:rPr>
                <w:color w:val="000000" w:themeColor="text1"/>
                <w:szCs w:val="21"/>
              </w:rPr>
            </w:pPr>
          </w:p>
        </w:tc>
        <w:tc>
          <w:tcPr>
            <w:tcW w:w="3138" w:type="dxa"/>
            <w:tcBorders>
              <w:top w:val="single" w:color="auto" w:sz="4" w:space="0"/>
              <w:left w:val="single" w:color="auto" w:sz="4" w:space="0"/>
              <w:bottom w:val="single" w:color="auto" w:sz="4" w:space="0"/>
              <w:right w:val="single" w:color="auto" w:sz="4" w:space="0"/>
            </w:tcBorders>
            <w:vAlign w:val="center"/>
          </w:tcPr>
          <w:p>
            <w:pPr>
              <w:rPr>
                <w:color w:val="000000" w:themeColor="text1"/>
                <w:szCs w:val="21"/>
              </w:rPr>
            </w:pPr>
            <w:r>
              <w:rPr>
                <w:color w:val="000000" w:themeColor="text1"/>
                <w:spacing w:val="8"/>
                <w:szCs w:val="21"/>
              </w:rPr>
              <w:t>按规定应当进行消防验收检测的建筑工程，经技术检测后，向公安消防机构申报验收。未经验收或者验收不合格的，不得投入使用。</w:t>
            </w:r>
          </w:p>
        </w:tc>
        <w:tc>
          <w:tcPr>
            <w:tcW w:w="2442" w:type="dxa"/>
            <w:tcBorders>
              <w:top w:val="single" w:color="auto" w:sz="4" w:space="0"/>
              <w:left w:val="single" w:color="auto" w:sz="4" w:space="0"/>
              <w:bottom w:val="single" w:color="auto" w:sz="4" w:space="0"/>
              <w:right w:val="single" w:color="auto" w:sz="4" w:space="0"/>
            </w:tcBorders>
            <w:vAlign w:val="center"/>
          </w:tcPr>
          <w:p>
            <w:pPr>
              <w:jc w:val="center"/>
              <w:rPr>
                <w:color w:val="000000" w:themeColor="text1"/>
                <w:spacing w:val="8"/>
                <w:szCs w:val="21"/>
              </w:rPr>
            </w:pPr>
            <w:r>
              <w:rPr>
                <w:color w:val="000000" w:themeColor="text1"/>
                <w:spacing w:val="8"/>
                <w:szCs w:val="21"/>
              </w:rPr>
              <w:t>《云南省消防条例》（2001年3月29日省九届人大常委会第二十一次会议通过）</w:t>
            </w:r>
          </w:p>
          <w:p>
            <w:pPr>
              <w:jc w:val="center"/>
              <w:rPr>
                <w:color w:val="000000" w:themeColor="text1"/>
                <w:spacing w:val="8"/>
                <w:szCs w:val="21"/>
              </w:rPr>
            </w:pPr>
            <w:r>
              <w:rPr>
                <w:color w:val="000000" w:themeColor="text1"/>
                <w:spacing w:val="8"/>
                <w:szCs w:val="21"/>
              </w:rPr>
              <w:t>第十六条</w:t>
            </w:r>
          </w:p>
        </w:tc>
        <w:tc>
          <w:tcPr>
            <w:tcW w:w="2524" w:type="dxa"/>
            <w:tcBorders>
              <w:top w:val="single" w:color="auto" w:sz="4" w:space="0"/>
              <w:left w:val="single" w:color="auto" w:sz="4" w:space="0"/>
              <w:bottom w:val="single" w:color="auto" w:sz="4" w:space="0"/>
              <w:right w:val="single" w:color="auto" w:sz="4" w:space="0"/>
            </w:tcBorders>
            <w:vAlign w:val="center"/>
          </w:tcPr>
          <w:p>
            <w:pPr>
              <w:rPr>
                <w:color w:val="000000" w:themeColor="text1"/>
                <w:spacing w:val="8"/>
                <w:szCs w:val="21"/>
              </w:rPr>
            </w:pPr>
            <w:r>
              <w:rPr>
                <w:rFonts w:hint="eastAsia"/>
                <w:color w:val="000000" w:themeColor="text1"/>
                <w:spacing w:val="8"/>
                <w:szCs w:val="21"/>
              </w:rPr>
              <w:t>无消防验收资料</w:t>
            </w:r>
          </w:p>
        </w:tc>
        <w:tc>
          <w:tcPr>
            <w:tcW w:w="774" w:type="dxa"/>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Cs w:val="21"/>
              </w:rPr>
            </w:pPr>
            <w:r>
              <w:rPr>
                <w:rFonts w:hint="eastAsia"/>
                <w:color w:val="000000" w:themeColor="text1"/>
                <w:szCs w:val="21"/>
              </w:rPr>
              <w:t>不</w:t>
            </w:r>
            <w:r>
              <w:rPr>
                <w:color w:val="000000" w:themeColor="text1"/>
                <w:szCs w:val="21"/>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23" w:type="dxa"/>
            <w:tcBorders>
              <w:top w:val="single" w:color="auto" w:sz="4" w:space="0"/>
              <w:left w:val="single" w:color="auto" w:sz="4" w:space="0"/>
              <w:bottom w:val="single" w:color="auto" w:sz="4" w:space="0"/>
              <w:right w:val="single" w:color="auto" w:sz="4" w:space="0"/>
            </w:tcBorders>
            <w:vAlign w:val="center"/>
          </w:tcPr>
          <w:p>
            <w:pPr>
              <w:numPr>
                <w:ilvl w:val="0"/>
                <w:numId w:val="19"/>
              </w:numPr>
              <w:ind w:left="0" w:firstLine="0"/>
              <w:jc w:val="center"/>
              <w:rPr>
                <w:color w:val="000000" w:themeColor="text1"/>
                <w:szCs w:val="21"/>
              </w:rPr>
            </w:pPr>
          </w:p>
        </w:tc>
        <w:tc>
          <w:tcPr>
            <w:tcW w:w="3138" w:type="dxa"/>
            <w:tcBorders>
              <w:top w:val="single" w:color="auto" w:sz="4" w:space="0"/>
              <w:left w:val="single" w:color="auto" w:sz="4" w:space="0"/>
              <w:bottom w:val="single" w:color="auto" w:sz="4" w:space="0"/>
              <w:right w:val="single" w:color="auto" w:sz="4" w:space="0"/>
            </w:tcBorders>
          </w:tcPr>
          <w:p>
            <w:pPr>
              <w:jc w:val="left"/>
              <w:rPr>
                <w:color w:val="000000" w:themeColor="text1"/>
                <w:spacing w:val="8"/>
                <w:szCs w:val="21"/>
              </w:rPr>
            </w:pPr>
            <w:r>
              <w:rPr>
                <w:color w:val="000000" w:themeColor="text1"/>
                <w:spacing w:val="8"/>
                <w:szCs w:val="21"/>
              </w:rPr>
              <w:t>加油加气加氢站工艺设备应配置灭火器材，并应符合下</w:t>
            </w:r>
            <w:r>
              <w:rPr>
                <w:color w:val="000000" w:themeColor="text1"/>
                <w:spacing w:val="8"/>
                <w:szCs w:val="21"/>
              </w:rPr>
              <w:br w:type="textWrapping"/>
            </w:r>
            <w:r>
              <w:rPr>
                <w:color w:val="000000" w:themeColor="text1"/>
                <w:spacing w:val="8"/>
                <w:szCs w:val="21"/>
              </w:rPr>
              <w:t>列规定:1.每2台加气(氢)机应配置不少于2具5Kg手提式干粉灭火器，加气(氢)机不足2台应按2台配置；2.每2台加油机应配置不少于2具5Kg手提式干粉灭火器，或1具5Kg 手提式干粉灭火器和1具6L 泡沫灭火器，加油机不足2台应按2台配置；3.地上LPG储罐、地上LNG储罐、地下和半地下LNG储罐、地上液氢储罐、CNG储气设施，应配置2台不小于35Kg推车式干粉灭火器，当两种介质储罐之间的距离超过15m时，应分别配置；4.地下储罐应配置1台不小于 35kg 推车式干粉灭火器，当</w:t>
            </w:r>
            <w:r>
              <w:rPr>
                <w:color w:val="000000" w:themeColor="text1"/>
                <w:spacing w:val="8"/>
                <w:szCs w:val="21"/>
              </w:rPr>
              <w:br w:type="textWrapping"/>
            </w:r>
            <w:r>
              <w:rPr>
                <w:color w:val="000000" w:themeColor="text1"/>
                <w:spacing w:val="8"/>
                <w:szCs w:val="21"/>
              </w:rPr>
              <w:t>两种介质储罐之间的距离超过15m时，应分别配置；5. LPG 泵、LNG泵、液氢增压泵、压缩机操作间(棚、箱)，应按建筑面积每50m，配置不少于2 具5Kg手提式干粉灭火器；6. 一、二级加油站应配置灭火毯 5块、沙子2m</w:t>
            </w:r>
            <w:r>
              <w:rPr>
                <w:color w:val="000000" w:themeColor="text1"/>
                <w:spacing w:val="8"/>
                <w:szCs w:val="21"/>
                <w:vertAlign w:val="superscript"/>
              </w:rPr>
              <w:t>3</w:t>
            </w:r>
            <w:r>
              <w:rPr>
                <w:color w:val="000000" w:themeColor="text1"/>
                <w:spacing w:val="8"/>
                <w:szCs w:val="21"/>
              </w:rPr>
              <w:t>，三级加油站</w:t>
            </w:r>
            <w:r>
              <w:rPr>
                <w:color w:val="000000" w:themeColor="text1"/>
                <w:spacing w:val="8"/>
                <w:szCs w:val="21"/>
              </w:rPr>
              <w:br w:type="textWrapping"/>
            </w:r>
            <w:r>
              <w:rPr>
                <w:color w:val="000000" w:themeColor="text1"/>
                <w:spacing w:val="8"/>
                <w:szCs w:val="21"/>
              </w:rPr>
              <w:t>应配置灭火毯不少于2块、沙子2m</w:t>
            </w:r>
            <w:r>
              <w:rPr>
                <w:color w:val="000000" w:themeColor="text1"/>
                <w:spacing w:val="8"/>
                <w:szCs w:val="21"/>
                <w:vertAlign w:val="superscript"/>
              </w:rPr>
              <w:t>3</w:t>
            </w:r>
            <w:r>
              <w:rPr>
                <w:color w:val="000000" w:themeColor="text1"/>
                <w:spacing w:val="8"/>
                <w:szCs w:val="21"/>
              </w:rPr>
              <w:t>。加油加气合建站应按同级别的加油站配置灭火毯和沙子。</w:t>
            </w:r>
            <w:r>
              <w:rPr>
                <w:color w:val="000000" w:themeColor="text1"/>
                <w:spacing w:val="8"/>
                <w:szCs w:val="21"/>
              </w:rPr>
              <w:br w:type="textWrapping"/>
            </w:r>
            <w:r>
              <w:rPr>
                <w:color w:val="000000" w:themeColor="text1"/>
                <w:spacing w:val="8"/>
                <w:szCs w:val="21"/>
              </w:rPr>
              <w:t xml:space="preserve">其余建筑的灭火器配置，应符合现行国家标准《建筑灭火器配置设计规范》GB50140的有关规定 。 </w:t>
            </w:r>
          </w:p>
        </w:tc>
        <w:tc>
          <w:tcPr>
            <w:tcW w:w="2442" w:type="dxa"/>
            <w:tcBorders>
              <w:top w:val="single" w:color="auto" w:sz="4" w:space="0"/>
              <w:left w:val="single" w:color="auto" w:sz="4" w:space="0"/>
              <w:bottom w:val="single" w:color="auto" w:sz="4" w:space="0"/>
              <w:right w:val="single" w:color="auto" w:sz="4" w:space="0"/>
            </w:tcBorders>
            <w:vAlign w:val="center"/>
          </w:tcPr>
          <w:p>
            <w:pPr>
              <w:jc w:val="left"/>
              <w:rPr>
                <w:color w:val="000000" w:themeColor="text1"/>
                <w:spacing w:val="8"/>
                <w:szCs w:val="21"/>
              </w:rPr>
            </w:pPr>
            <w:r>
              <w:rPr>
                <w:color w:val="000000" w:themeColor="text1"/>
                <w:spacing w:val="8"/>
                <w:szCs w:val="21"/>
              </w:rPr>
              <w:t>《汽车加油加气</w:t>
            </w:r>
            <w:r>
              <w:rPr>
                <w:rFonts w:hint="eastAsia"/>
                <w:color w:val="000000" w:themeColor="text1"/>
                <w:spacing w:val="8"/>
                <w:szCs w:val="21"/>
              </w:rPr>
              <w:t>加氢</w:t>
            </w:r>
            <w:r>
              <w:rPr>
                <w:color w:val="000000" w:themeColor="text1"/>
                <w:spacing w:val="8"/>
                <w:szCs w:val="21"/>
              </w:rPr>
              <w:t>站</w:t>
            </w:r>
            <w:r>
              <w:rPr>
                <w:rFonts w:hint="eastAsia"/>
                <w:color w:val="000000" w:themeColor="text1"/>
                <w:spacing w:val="8"/>
                <w:szCs w:val="21"/>
              </w:rPr>
              <w:t>技术标准</w:t>
            </w:r>
            <w:r>
              <w:rPr>
                <w:color w:val="000000" w:themeColor="text1"/>
                <w:spacing w:val="8"/>
                <w:szCs w:val="21"/>
              </w:rPr>
              <w:t>》（GB50156-2021）第12.1.1条、第12.1.2条</w:t>
            </w:r>
          </w:p>
        </w:tc>
        <w:tc>
          <w:tcPr>
            <w:tcW w:w="2524" w:type="dxa"/>
            <w:tcBorders>
              <w:top w:val="single" w:color="auto" w:sz="4" w:space="0"/>
              <w:left w:val="single" w:color="auto" w:sz="4" w:space="0"/>
              <w:bottom w:val="single" w:color="auto" w:sz="4" w:space="0"/>
              <w:right w:val="single" w:color="auto" w:sz="4" w:space="0"/>
            </w:tcBorders>
            <w:vAlign w:val="center"/>
          </w:tcPr>
          <w:p>
            <w:pPr>
              <w:jc w:val="left"/>
              <w:rPr>
                <w:color w:val="000000" w:themeColor="text1"/>
                <w:spacing w:val="8"/>
                <w:szCs w:val="21"/>
              </w:rPr>
            </w:pPr>
            <w:r>
              <w:rPr>
                <w:color w:val="000000" w:themeColor="text1"/>
                <w:spacing w:val="8"/>
                <w:szCs w:val="21"/>
              </w:rPr>
              <w:t>该项目的消防器材情况：储罐区配置了推车式干粉灭火器</w:t>
            </w:r>
            <w:r>
              <w:rPr>
                <w:rFonts w:hint="eastAsia"/>
                <w:color w:val="000000" w:themeColor="text1"/>
                <w:spacing w:val="8"/>
                <w:szCs w:val="21"/>
              </w:rPr>
              <w:t>及手提式干粉灭火器</w:t>
            </w:r>
            <w:r>
              <w:rPr>
                <w:color w:val="000000" w:themeColor="text1"/>
                <w:spacing w:val="8"/>
                <w:szCs w:val="21"/>
              </w:rPr>
              <w:t>。</w:t>
            </w:r>
          </w:p>
        </w:tc>
        <w:tc>
          <w:tcPr>
            <w:tcW w:w="774" w:type="dxa"/>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Cs w:val="21"/>
              </w:rPr>
            </w:pPr>
            <w:r>
              <w:rPr>
                <w:color w:val="000000" w:themeColor="text1"/>
                <w:szCs w:val="21"/>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23" w:type="dxa"/>
            <w:tcBorders>
              <w:top w:val="single" w:color="auto" w:sz="4" w:space="0"/>
              <w:left w:val="single" w:color="auto" w:sz="4" w:space="0"/>
              <w:bottom w:val="single" w:color="auto" w:sz="4" w:space="0"/>
              <w:right w:val="single" w:color="auto" w:sz="4" w:space="0"/>
            </w:tcBorders>
            <w:vAlign w:val="center"/>
          </w:tcPr>
          <w:p>
            <w:pPr>
              <w:numPr>
                <w:ilvl w:val="0"/>
                <w:numId w:val="19"/>
              </w:numPr>
              <w:ind w:left="0" w:firstLine="0"/>
              <w:jc w:val="center"/>
              <w:rPr>
                <w:color w:val="000000" w:themeColor="text1"/>
                <w:szCs w:val="21"/>
              </w:rPr>
            </w:pPr>
          </w:p>
        </w:tc>
        <w:tc>
          <w:tcPr>
            <w:tcW w:w="3138" w:type="dxa"/>
            <w:tcBorders>
              <w:top w:val="single" w:color="auto" w:sz="4" w:space="0"/>
              <w:left w:val="single" w:color="auto" w:sz="4" w:space="0"/>
              <w:bottom w:val="single" w:color="auto" w:sz="4" w:space="0"/>
              <w:right w:val="single" w:color="auto" w:sz="4" w:space="0"/>
            </w:tcBorders>
            <w:vAlign w:val="center"/>
          </w:tcPr>
          <w:p>
            <w:pPr>
              <w:rPr>
                <w:color w:val="000000" w:themeColor="text1"/>
                <w:szCs w:val="21"/>
              </w:rPr>
            </w:pPr>
            <w:r>
              <w:rPr>
                <w:color w:val="000000" w:themeColor="text1"/>
                <w:szCs w:val="21"/>
              </w:rPr>
              <w:t>一个计算单元内配置的灭火器数量不得少于2具。</w:t>
            </w:r>
          </w:p>
          <w:p>
            <w:pPr>
              <w:rPr>
                <w:color w:val="000000" w:themeColor="text1"/>
                <w:szCs w:val="21"/>
              </w:rPr>
            </w:pPr>
            <w:r>
              <w:rPr>
                <w:color w:val="000000" w:themeColor="text1"/>
                <w:szCs w:val="21"/>
              </w:rPr>
              <w:t>每个设置点的灭火器数量不宜多于5具。</w:t>
            </w:r>
          </w:p>
        </w:tc>
        <w:tc>
          <w:tcPr>
            <w:tcW w:w="2442" w:type="dxa"/>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Cs w:val="21"/>
              </w:rPr>
            </w:pPr>
            <w:r>
              <w:rPr>
                <w:color w:val="000000" w:themeColor="text1"/>
                <w:szCs w:val="21"/>
              </w:rPr>
              <w:t>《建筑灭火器配置设计规范》（GB50140-2005）</w:t>
            </w:r>
          </w:p>
          <w:p>
            <w:pPr>
              <w:jc w:val="center"/>
              <w:rPr>
                <w:color w:val="000000" w:themeColor="text1"/>
                <w:szCs w:val="21"/>
              </w:rPr>
            </w:pPr>
            <w:r>
              <w:rPr>
                <w:color w:val="000000" w:themeColor="text1"/>
                <w:szCs w:val="21"/>
              </w:rPr>
              <w:t>第</w:t>
            </w:r>
            <w:r>
              <w:rPr>
                <w:bCs/>
                <w:color w:val="000000" w:themeColor="text1"/>
                <w:kern w:val="0"/>
                <w:szCs w:val="21"/>
              </w:rPr>
              <w:t>10.1.2条</w:t>
            </w:r>
          </w:p>
        </w:tc>
        <w:tc>
          <w:tcPr>
            <w:tcW w:w="2524" w:type="dxa"/>
            <w:tcBorders>
              <w:top w:val="single" w:color="auto" w:sz="4" w:space="0"/>
              <w:left w:val="single" w:color="auto" w:sz="4" w:space="0"/>
              <w:bottom w:val="single" w:color="auto" w:sz="4" w:space="0"/>
              <w:right w:val="single" w:color="auto" w:sz="4" w:space="0"/>
            </w:tcBorders>
            <w:vAlign w:val="center"/>
          </w:tcPr>
          <w:p>
            <w:pPr>
              <w:rPr>
                <w:rStyle w:val="73"/>
                <w:bCs/>
                <w:color w:val="000000" w:themeColor="text1"/>
              </w:rPr>
            </w:pPr>
            <w:r>
              <w:rPr>
                <w:color w:val="000000" w:themeColor="text1"/>
                <w:szCs w:val="21"/>
              </w:rPr>
              <w:t>该项目办公区未设置手提式灭火器。</w:t>
            </w:r>
          </w:p>
        </w:tc>
        <w:tc>
          <w:tcPr>
            <w:tcW w:w="774" w:type="dxa"/>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Cs w:val="21"/>
              </w:rPr>
            </w:pPr>
            <w:r>
              <w:rPr>
                <w:color w:val="000000" w:themeColor="text1"/>
                <w:szCs w:val="21"/>
              </w:rPr>
              <w:t>不符合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01" w:type="dxa"/>
            <w:gridSpan w:val="5"/>
            <w:tcBorders>
              <w:top w:val="single" w:color="auto" w:sz="4" w:space="0"/>
              <w:left w:val="single" w:color="auto" w:sz="4" w:space="0"/>
              <w:bottom w:val="single" w:color="auto" w:sz="4" w:space="0"/>
              <w:right w:val="single" w:color="auto" w:sz="4" w:space="0"/>
            </w:tcBorders>
            <w:vAlign w:val="center"/>
          </w:tcPr>
          <w:p>
            <w:pPr>
              <w:jc w:val="center"/>
              <w:rPr>
                <w:b/>
                <w:color w:val="000000" w:themeColor="text1"/>
                <w:szCs w:val="21"/>
              </w:rPr>
            </w:pPr>
            <w:r>
              <w:rPr>
                <w:b/>
                <w:color w:val="000000" w:themeColor="text1"/>
                <w:szCs w:val="21"/>
              </w:rPr>
              <w:t>给排水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23" w:type="dxa"/>
            <w:tcBorders>
              <w:top w:val="single" w:color="auto" w:sz="4" w:space="0"/>
              <w:left w:val="single" w:color="auto" w:sz="4" w:space="0"/>
              <w:bottom w:val="single" w:color="auto" w:sz="4" w:space="0"/>
              <w:right w:val="single" w:color="auto" w:sz="4" w:space="0"/>
            </w:tcBorders>
            <w:vAlign w:val="center"/>
          </w:tcPr>
          <w:p>
            <w:pPr>
              <w:numPr>
                <w:ilvl w:val="0"/>
                <w:numId w:val="20"/>
              </w:numPr>
              <w:ind w:left="0" w:firstLine="0"/>
              <w:jc w:val="center"/>
              <w:rPr>
                <w:color w:val="000000" w:themeColor="text1"/>
                <w:szCs w:val="21"/>
              </w:rPr>
            </w:pPr>
          </w:p>
        </w:tc>
        <w:tc>
          <w:tcPr>
            <w:tcW w:w="3138" w:type="dxa"/>
            <w:tcBorders>
              <w:top w:val="single" w:color="auto" w:sz="4" w:space="0"/>
              <w:left w:val="single" w:color="auto" w:sz="4" w:space="0"/>
              <w:bottom w:val="single" w:color="auto" w:sz="4" w:space="0"/>
              <w:right w:val="single" w:color="auto" w:sz="4" w:space="0"/>
            </w:tcBorders>
            <w:vAlign w:val="center"/>
          </w:tcPr>
          <w:p>
            <w:pPr>
              <w:rPr>
                <w:color w:val="000000" w:themeColor="text1"/>
                <w:szCs w:val="21"/>
              </w:rPr>
            </w:pPr>
            <w:r>
              <w:rPr>
                <w:color w:val="000000" w:themeColor="text1"/>
                <w:szCs w:val="21"/>
              </w:rPr>
              <w:t>加油加气站的给排水应符合下列规定：</w:t>
            </w:r>
          </w:p>
          <w:p>
            <w:pPr>
              <w:rPr>
                <w:color w:val="000000" w:themeColor="text1"/>
                <w:szCs w:val="21"/>
              </w:rPr>
            </w:pPr>
            <w:r>
              <w:rPr>
                <w:color w:val="000000" w:themeColor="text1"/>
                <w:szCs w:val="21"/>
              </w:rPr>
              <w:t>（1）站内地面雨水可散流排出站外。当雨水有明沟排到站外时，在排出围墙之前，应在围墙内设置水封装置。</w:t>
            </w:r>
          </w:p>
          <w:p>
            <w:pPr>
              <w:rPr>
                <w:color w:val="000000" w:themeColor="text1"/>
                <w:szCs w:val="21"/>
              </w:rPr>
            </w:pPr>
            <w:r>
              <w:rPr>
                <w:color w:val="000000" w:themeColor="text1"/>
                <w:szCs w:val="21"/>
              </w:rPr>
              <w:t>（2）加油站、液化石油气加气站或加油和液化石油气加气合建站的排出建筑物或围墙的污水，在建筑物墙外或围墙内应分别设水封井。水封井的水封高度不应小于0.25m；水封井应设沉泥段，沉泥段高度不应小于0.25m。</w:t>
            </w:r>
          </w:p>
          <w:p>
            <w:pPr>
              <w:rPr>
                <w:color w:val="000000" w:themeColor="text1"/>
                <w:szCs w:val="21"/>
              </w:rPr>
            </w:pPr>
            <w:r>
              <w:rPr>
                <w:color w:val="000000" w:themeColor="text1"/>
                <w:szCs w:val="21"/>
              </w:rPr>
              <w:t>（3）清洗油罐的污水应集中收集处理，不应直接进入排水管道。液化石油气罐的排污（排水）应采用活动式回收桶集中收集处理，严禁自接接入排水管道。</w:t>
            </w:r>
          </w:p>
          <w:p>
            <w:pPr>
              <w:rPr>
                <w:color w:val="000000" w:themeColor="text1"/>
                <w:szCs w:val="21"/>
              </w:rPr>
            </w:pPr>
            <w:r>
              <w:rPr>
                <w:color w:val="000000" w:themeColor="text1"/>
                <w:szCs w:val="21"/>
              </w:rPr>
              <w:t>（4）排出站外的污水应符合国家有关的污水排放标准。</w:t>
            </w:r>
          </w:p>
          <w:p>
            <w:pPr>
              <w:rPr>
                <w:color w:val="000000" w:themeColor="text1"/>
                <w:szCs w:val="21"/>
              </w:rPr>
            </w:pPr>
            <w:r>
              <w:rPr>
                <w:color w:val="000000" w:themeColor="text1"/>
                <w:szCs w:val="21"/>
              </w:rPr>
              <w:t>（5）加油站、液化石油气加气站、不应采用暗沟排水。</w:t>
            </w:r>
          </w:p>
        </w:tc>
        <w:tc>
          <w:tcPr>
            <w:tcW w:w="2442" w:type="dxa"/>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Cs w:val="21"/>
              </w:rPr>
            </w:pPr>
            <w:r>
              <w:rPr>
                <w:color w:val="000000" w:themeColor="text1"/>
                <w:szCs w:val="21"/>
              </w:rPr>
              <w:t>《汽车加油加气</w:t>
            </w:r>
            <w:r>
              <w:rPr>
                <w:rFonts w:hint="eastAsia"/>
                <w:color w:val="000000" w:themeColor="text1"/>
                <w:szCs w:val="21"/>
              </w:rPr>
              <w:t>加氢</w:t>
            </w:r>
            <w:r>
              <w:rPr>
                <w:color w:val="000000" w:themeColor="text1"/>
                <w:szCs w:val="21"/>
              </w:rPr>
              <w:t>站</w:t>
            </w:r>
            <w:r>
              <w:rPr>
                <w:rFonts w:hint="eastAsia"/>
                <w:color w:val="000000" w:themeColor="text1"/>
                <w:szCs w:val="21"/>
              </w:rPr>
              <w:t>技术标准</w:t>
            </w:r>
            <w:r>
              <w:rPr>
                <w:color w:val="000000" w:themeColor="text1"/>
                <w:szCs w:val="21"/>
              </w:rPr>
              <w:t>》（GB50156-2021）第12.3.2条</w:t>
            </w:r>
          </w:p>
        </w:tc>
        <w:tc>
          <w:tcPr>
            <w:tcW w:w="2524" w:type="dxa"/>
            <w:tcBorders>
              <w:top w:val="single" w:color="auto" w:sz="4" w:space="0"/>
              <w:left w:val="single" w:color="auto" w:sz="4" w:space="0"/>
              <w:right w:val="single" w:color="auto" w:sz="4" w:space="0"/>
            </w:tcBorders>
            <w:vAlign w:val="center"/>
          </w:tcPr>
          <w:p>
            <w:pPr>
              <w:rPr>
                <w:color w:val="000000" w:themeColor="text1"/>
                <w:szCs w:val="21"/>
              </w:rPr>
            </w:pPr>
            <w:r>
              <w:rPr>
                <w:color w:val="000000" w:themeColor="text1"/>
                <w:szCs w:val="21"/>
              </w:rPr>
              <w:t>该项目雨水、生活污水和地面冲洗水，采用雨污分流方式排放，建筑屋面雨水通过排水沟，经排水沟收集后排出厂外。</w:t>
            </w:r>
          </w:p>
        </w:tc>
        <w:tc>
          <w:tcPr>
            <w:tcW w:w="774" w:type="dxa"/>
            <w:tcBorders>
              <w:top w:val="single" w:color="auto" w:sz="4" w:space="0"/>
              <w:left w:val="single" w:color="auto" w:sz="4" w:space="0"/>
              <w:right w:val="single" w:color="auto" w:sz="4" w:space="0"/>
            </w:tcBorders>
            <w:vAlign w:val="center"/>
          </w:tcPr>
          <w:p>
            <w:pPr>
              <w:jc w:val="center"/>
              <w:rPr>
                <w:color w:val="000000" w:themeColor="text1"/>
                <w:szCs w:val="21"/>
              </w:rPr>
            </w:pPr>
            <w:r>
              <w:rPr>
                <w:color w:val="000000" w:themeColor="text1"/>
                <w:szCs w:val="21"/>
              </w:rPr>
              <w:t>符合</w:t>
            </w:r>
          </w:p>
        </w:tc>
      </w:tr>
    </w:tbl>
    <w:p>
      <w:pPr>
        <w:spacing w:line="500" w:lineRule="exact"/>
        <w:ind w:firstLine="560" w:firstLineChars="200"/>
        <w:rPr>
          <w:rFonts w:eastAsiaTheme="minorEastAsia"/>
          <w:snapToGrid w:val="0"/>
          <w:color w:val="000000" w:themeColor="text1"/>
          <w:kern w:val="0"/>
          <w:sz w:val="28"/>
          <w:szCs w:val="28"/>
        </w:rPr>
      </w:pPr>
      <w:bookmarkStart w:id="1828" w:name="_Toc10980"/>
      <w:bookmarkStart w:id="1829" w:name="_Toc22643"/>
      <w:bookmarkStart w:id="1830" w:name="_Toc24238"/>
      <w:bookmarkStart w:id="1831" w:name="_Toc29369"/>
      <w:bookmarkStart w:id="1832" w:name="_Toc9346"/>
      <w:bookmarkStart w:id="1833" w:name="_Toc18394"/>
      <w:bookmarkStart w:id="1834" w:name="_Toc16889"/>
      <w:bookmarkStart w:id="1835" w:name="_Toc14961"/>
      <w:bookmarkStart w:id="1836" w:name="_Toc13968"/>
      <w:bookmarkStart w:id="1837" w:name="_Toc6231"/>
      <w:r>
        <w:rPr>
          <w:rFonts w:eastAsiaTheme="minorEastAsia"/>
          <w:snapToGrid w:val="0"/>
          <w:color w:val="000000" w:themeColor="text1"/>
          <w:kern w:val="0"/>
          <w:sz w:val="28"/>
          <w:szCs w:val="28"/>
        </w:rPr>
        <w:t>由上表检查结果可知，该项目</w:t>
      </w:r>
      <w:r>
        <w:rPr>
          <w:rFonts w:hint="eastAsia" w:eastAsiaTheme="minorEastAsia"/>
          <w:snapToGrid w:val="0"/>
          <w:color w:val="000000" w:themeColor="text1"/>
          <w:kern w:val="0"/>
          <w:sz w:val="28"/>
          <w:szCs w:val="28"/>
        </w:rPr>
        <w:t>未提供消防验收资料、</w:t>
      </w:r>
      <w:r>
        <w:rPr>
          <w:rFonts w:eastAsiaTheme="minorEastAsia"/>
          <w:snapToGrid w:val="0"/>
          <w:color w:val="000000" w:themeColor="text1"/>
          <w:kern w:val="0"/>
          <w:sz w:val="28"/>
          <w:szCs w:val="28"/>
        </w:rPr>
        <w:t>消防及给排水系统除办公区未设置手提式灭火器外，其余均符合《建筑灭火器配置设计规范》（GB50140-2005）、《汽车加油加气加氢站技术标准》（GB50156-2021）、《云南省消防条例》（2001年3月29日省九届人大常委会第二十一次会议通过）等</w:t>
      </w:r>
      <w:r>
        <w:rPr>
          <w:rFonts w:hint="eastAsia" w:eastAsiaTheme="minorEastAsia"/>
          <w:snapToGrid w:val="0"/>
          <w:color w:val="000000" w:themeColor="text1"/>
          <w:kern w:val="0"/>
          <w:sz w:val="28"/>
          <w:szCs w:val="28"/>
        </w:rPr>
        <w:t>法规、</w:t>
      </w:r>
      <w:r>
        <w:rPr>
          <w:rFonts w:eastAsiaTheme="minorEastAsia"/>
          <w:snapToGrid w:val="0"/>
          <w:color w:val="000000" w:themeColor="text1"/>
          <w:kern w:val="0"/>
          <w:sz w:val="28"/>
          <w:szCs w:val="28"/>
        </w:rPr>
        <w:t>标准规范的要求。</w:t>
      </w:r>
    </w:p>
    <w:p>
      <w:pPr>
        <w:pStyle w:val="19"/>
        <w:spacing w:afterLines="100" w:line="500" w:lineRule="exact"/>
        <w:rPr>
          <w:rFonts w:ascii="黑体" w:hAnsi="宋体" w:eastAsia="黑体"/>
          <w:color w:val="000000" w:themeColor="text1"/>
          <w:kern w:val="3"/>
          <w:sz w:val="28"/>
          <w:szCs w:val="28"/>
        </w:rPr>
      </w:pPr>
      <w:r>
        <w:rPr>
          <w:rFonts w:hint="eastAsia" w:ascii="黑体" w:hAnsi="宋体" w:eastAsia="黑体"/>
          <w:color w:val="000000" w:themeColor="text1"/>
          <w:kern w:val="3"/>
          <w:sz w:val="28"/>
          <w:szCs w:val="28"/>
        </w:rPr>
        <w:t>5.5.3 防雷、防静电</w:t>
      </w:r>
      <w:r>
        <w:rPr>
          <w:rFonts w:hint="eastAsia" w:ascii="黑体" w:hAnsi="宋体" w:eastAsia="黑体"/>
          <w:color w:val="000000" w:themeColor="text1"/>
          <w:kern w:val="3"/>
          <w:sz w:val="28"/>
          <w:szCs w:val="28"/>
          <w:lang w:val="en-US" w:eastAsia="zh-CN"/>
        </w:rPr>
        <w:t>装置</w:t>
      </w:r>
      <w:r>
        <w:rPr>
          <w:rFonts w:hint="eastAsia" w:ascii="黑体" w:hAnsi="宋体" w:eastAsia="黑体"/>
          <w:color w:val="000000" w:themeColor="text1"/>
          <w:kern w:val="3"/>
          <w:sz w:val="28"/>
          <w:szCs w:val="28"/>
        </w:rPr>
        <w:t>评价子单元安全检查表</w:t>
      </w:r>
      <w:bookmarkEnd w:id="1828"/>
      <w:bookmarkEnd w:id="1829"/>
      <w:bookmarkEnd w:id="1830"/>
      <w:bookmarkEnd w:id="1831"/>
      <w:bookmarkEnd w:id="1832"/>
      <w:bookmarkEnd w:id="1833"/>
      <w:bookmarkEnd w:id="1834"/>
      <w:bookmarkEnd w:id="1835"/>
      <w:bookmarkEnd w:id="1836"/>
      <w:bookmarkEnd w:id="1837"/>
    </w:p>
    <w:p>
      <w:pPr>
        <w:adjustRightInd w:val="0"/>
        <w:snapToGrid w:val="0"/>
        <w:spacing w:line="500" w:lineRule="exact"/>
        <w:ind w:firstLine="560" w:firstLineChars="200"/>
        <w:rPr>
          <w:rFonts w:eastAsiaTheme="minorEastAsia"/>
          <w:bCs/>
          <w:color w:val="000000" w:themeColor="text1"/>
          <w:sz w:val="24"/>
        </w:rPr>
      </w:pPr>
      <w:r>
        <w:rPr>
          <w:rFonts w:eastAsiaTheme="minorEastAsia"/>
          <w:color w:val="000000" w:themeColor="text1"/>
          <w:sz w:val="28"/>
        </w:rPr>
        <w:t>根据</w:t>
      </w:r>
      <w:r>
        <w:rPr>
          <w:rFonts w:eastAsiaTheme="minorEastAsia"/>
          <w:snapToGrid w:val="0"/>
          <w:color w:val="000000" w:themeColor="text1"/>
          <w:kern w:val="0"/>
          <w:sz w:val="28"/>
          <w:szCs w:val="28"/>
        </w:rPr>
        <w:t>《汽车加油加气加氢站技术标准》（GB50156-2021）等标准、规范的要求，对该项目防雷、防静电进行安全分析评价，具体情况如下表所示</w:t>
      </w:r>
      <w:r>
        <w:rPr>
          <w:rFonts w:eastAsiaTheme="minorEastAsia"/>
          <w:color w:val="000000" w:themeColor="text1"/>
          <w:sz w:val="28"/>
          <w:szCs w:val="28"/>
        </w:rPr>
        <w:t>：</w:t>
      </w:r>
    </w:p>
    <w:p>
      <w:pPr>
        <w:rPr>
          <w:rFonts w:eastAsiaTheme="minorEastAsia"/>
          <w:bCs/>
          <w:color w:val="000000" w:themeColor="text1"/>
          <w:sz w:val="24"/>
        </w:rPr>
      </w:pPr>
      <w:r>
        <w:rPr>
          <w:rFonts w:eastAsiaTheme="minorEastAsia"/>
          <w:bCs/>
          <w:color w:val="000000" w:themeColor="text1"/>
          <w:sz w:val="24"/>
        </w:rPr>
        <w:br w:type="page"/>
      </w:r>
    </w:p>
    <w:p>
      <w:pPr>
        <w:adjustRightInd w:val="0"/>
        <w:snapToGrid w:val="0"/>
        <w:spacing w:line="500" w:lineRule="exact"/>
        <w:ind w:firstLine="480" w:firstLineChars="200"/>
        <w:jc w:val="center"/>
        <w:rPr>
          <w:rFonts w:eastAsiaTheme="minorEastAsia"/>
          <w:bCs/>
          <w:color w:val="000000" w:themeColor="text1"/>
          <w:sz w:val="24"/>
        </w:rPr>
      </w:pPr>
      <w:r>
        <w:rPr>
          <w:rFonts w:eastAsiaTheme="minorEastAsia"/>
          <w:bCs/>
          <w:color w:val="000000" w:themeColor="text1"/>
          <w:sz w:val="24"/>
        </w:rPr>
        <w:t>表5-1</w:t>
      </w:r>
      <w:r>
        <w:rPr>
          <w:rFonts w:hint="eastAsia" w:eastAsiaTheme="minorEastAsia"/>
          <w:bCs/>
          <w:color w:val="000000" w:themeColor="text1"/>
          <w:sz w:val="24"/>
        </w:rPr>
        <w:t>2</w:t>
      </w:r>
      <w:r>
        <w:rPr>
          <w:rFonts w:eastAsiaTheme="minorEastAsia"/>
          <w:bCs/>
          <w:color w:val="000000" w:themeColor="text1"/>
          <w:sz w:val="24"/>
        </w:rPr>
        <w:t xml:space="preserve"> 防雷、防静电安全检查表</w:t>
      </w:r>
    </w:p>
    <w:tbl>
      <w:tblPr>
        <w:tblStyle w:val="52"/>
        <w:tblW w:w="940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64"/>
        <w:gridCol w:w="3210"/>
        <w:gridCol w:w="2316"/>
        <w:gridCol w:w="2639"/>
        <w:gridCol w:w="77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1" w:hRule="atLeast"/>
          <w:jc w:val="center"/>
        </w:trPr>
        <w:tc>
          <w:tcPr>
            <w:tcW w:w="9401" w:type="dxa"/>
            <w:gridSpan w:val="5"/>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Cs w:val="21"/>
              </w:rPr>
            </w:pPr>
            <w:r>
              <w:rPr>
                <w:b/>
                <w:color w:val="000000" w:themeColor="text1"/>
                <w:szCs w:val="21"/>
              </w:rPr>
              <w:t>防雷、防静电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464" w:type="dxa"/>
            <w:tcBorders>
              <w:top w:val="single" w:color="auto" w:sz="4" w:space="0"/>
              <w:left w:val="single" w:color="auto" w:sz="4" w:space="0"/>
              <w:bottom w:val="single" w:color="auto" w:sz="4" w:space="0"/>
              <w:right w:val="single" w:color="auto" w:sz="4" w:space="0"/>
            </w:tcBorders>
            <w:vAlign w:val="center"/>
          </w:tcPr>
          <w:p>
            <w:pPr>
              <w:numPr>
                <w:ilvl w:val="0"/>
                <w:numId w:val="21"/>
              </w:numPr>
              <w:tabs>
                <w:tab w:val="left" w:pos="352"/>
                <w:tab w:val="left" w:pos="759"/>
                <w:tab w:val="left" w:pos="825"/>
              </w:tabs>
              <w:adjustRightInd w:val="0"/>
              <w:ind w:left="0" w:firstLine="0"/>
              <w:jc w:val="center"/>
              <w:rPr>
                <w:color w:val="000000" w:themeColor="text1"/>
                <w:szCs w:val="21"/>
              </w:rPr>
            </w:pPr>
          </w:p>
        </w:tc>
        <w:tc>
          <w:tcPr>
            <w:tcW w:w="3210" w:type="dxa"/>
            <w:tcBorders>
              <w:top w:val="single" w:color="auto" w:sz="4" w:space="0"/>
              <w:left w:val="single" w:color="auto" w:sz="4" w:space="0"/>
              <w:bottom w:val="single" w:color="auto" w:sz="4" w:space="0"/>
              <w:right w:val="single" w:color="auto" w:sz="4" w:space="0"/>
            </w:tcBorders>
            <w:vAlign w:val="center"/>
          </w:tcPr>
          <w:p>
            <w:pPr>
              <w:rPr>
                <w:color w:val="000000" w:themeColor="text1"/>
                <w:szCs w:val="21"/>
              </w:rPr>
            </w:pPr>
            <w:r>
              <w:rPr>
                <w:color w:val="000000" w:themeColor="text1"/>
                <w:szCs w:val="21"/>
              </w:rPr>
              <w:t>钢制油罐、LPG储罐、LNG储罐、CNG储气瓶(组)、储氢容器和液氢储罐必须进行 防雷接地，接地点不应少于两处。CNG和氢气的长管拖车或管束式集装箱停放场地、卸车点车辆停放场地应设两处临时用固定防雷接地装置。</w:t>
            </w:r>
          </w:p>
        </w:tc>
        <w:tc>
          <w:tcPr>
            <w:tcW w:w="2316" w:type="dxa"/>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Cs w:val="21"/>
              </w:rPr>
            </w:pPr>
            <w:r>
              <w:rPr>
                <w:rFonts w:eastAsiaTheme="minorEastAsia"/>
                <w:snapToGrid w:val="0"/>
                <w:color w:val="000000" w:themeColor="text1"/>
                <w:kern w:val="0"/>
                <w:szCs w:val="21"/>
              </w:rPr>
              <w:t>《汽车加油加气加氢站技术标准》</w:t>
            </w:r>
            <w:r>
              <w:rPr>
                <w:color w:val="000000" w:themeColor="text1"/>
                <w:szCs w:val="21"/>
              </w:rPr>
              <w:t>（GB50156-2021）第13.2.1条</w:t>
            </w:r>
          </w:p>
        </w:tc>
        <w:tc>
          <w:tcPr>
            <w:tcW w:w="2639" w:type="dxa"/>
            <w:tcBorders>
              <w:top w:val="single" w:color="auto" w:sz="4" w:space="0"/>
              <w:left w:val="single" w:color="auto" w:sz="4" w:space="0"/>
              <w:bottom w:val="single" w:color="auto" w:sz="4" w:space="0"/>
              <w:right w:val="single" w:color="auto" w:sz="4" w:space="0"/>
            </w:tcBorders>
            <w:vAlign w:val="center"/>
          </w:tcPr>
          <w:p>
            <w:pPr>
              <w:rPr>
                <w:color w:val="000000" w:themeColor="text1"/>
                <w:szCs w:val="21"/>
              </w:rPr>
            </w:pPr>
            <w:r>
              <w:rPr>
                <w:color w:val="000000" w:themeColor="text1"/>
                <w:szCs w:val="21"/>
              </w:rPr>
              <w:t>该项目储罐已进行防雷接地。</w:t>
            </w:r>
          </w:p>
        </w:tc>
        <w:tc>
          <w:tcPr>
            <w:tcW w:w="772" w:type="dxa"/>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Cs w:val="21"/>
              </w:rPr>
            </w:pPr>
            <w:r>
              <w:rPr>
                <w:color w:val="000000" w:themeColor="text1"/>
                <w:szCs w:val="21"/>
              </w:rPr>
              <w:t>符合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464" w:type="dxa"/>
            <w:tcBorders>
              <w:top w:val="single" w:color="auto" w:sz="4" w:space="0"/>
              <w:left w:val="single" w:color="auto" w:sz="4" w:space="0"/>
              <w:bottom w:val="single" w:color="auto" w:sz="4" w:space="0"/>
              <w:right w:val="single" w:color="auto" w:sz="4" w:space="0"/>
            </w:tcBorders>
            <w:vAlign w:val="center"/>
          </w:tcPr>
          <w:p>
            <w:pPr>
              <w:numPr>
                <w:ilvl w:val="0"/>
                <w:numId w:val="21"/>
              </w:numPr>
              <w:tabs>
                <w:tab w:val="left" w:pos="352"/>
                <w:tab w:val="left" w:pos="759"/>
                <w:tab w:val="left" w:pos="825"/>
              </w:tabs>
              <w:adjustRightInd w:val="0"/>
              <w:ind w:left="0" w:firstLine="0"/>
              <w:jc w:val="center"/>
              <w:rPr>
                <w:color w:val="000000" w:themeColor="text1"/>
                <w:szCs w:val="21"/>
              </w:rPr>
            </w:pPr>
          </w:p>
        </w:tc>
        <w:tc>
          <w:tcPr>
            <w:tcW w:w="3210" w:type="dxa"/>
            <w:tcBorders>
              <w:top w:val="single" w:color="auto" w:sz="4" w:space="0"/>
              <w:left w:val="single" w:color="auto" w:sz="4" w:space="0"/>
              <w:bottom w:val="single" w:color="auto" w:sz="4" w:space="0"/>
              <w:right w:val="single" w:color="auto" w:sz="4" w:space="0"/>
            </w:tcBorders>
            <w:vAlign w:val="center"/>
          </w:tcPr>
          <w:p>
            <w:pPr>
              <w:rPr>
                <w:color w:val="000000" w:themeColor="text1"/>
                <w:szCs w:val="21"/>
              </w:rPr>
            </w:pPr>
            <w:r>
              <w:rPr>
                <w:color w:val="000000" w:themeColor="text1"/>
                <w:szCs w:val="21"/>
              </w:rPr>
              <w:t>汽车加油加气加氢站的防雷接地、防静电接地、电气设备的工作接地、保护接地及信息系统的接地等宜共用接地装置，接地电阻不应大于4Ω 。</w:t>
            </w:r>
          </w:p>
        </w:tc>
        <w:tc>
          <w:tcPr>
            <w:tcW w:w="2316" w:type="dxa"/>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Cs w:val="21"/>
              </w:rPr>
            </w:pPr>
            <w:r>
              <w:rPr>
                <w:rFonts w:eastAsiaTheme="minorEastAsia"/>
                <w:snapToGrid w:val="0"/>
                <w:color w:val="000000" w:themeColor="text1"/>
                <w:kern w:val="0"/>
                <w:szCs w:val="21"/>
              </w:rPr>
              <w:t>《汽车加油加气加氢站技术标准》</w:t>
            </w:r>
            <w:r>
              <w:rPr>
                <w:color w:val="000000" w:themeColor="text1"/>
                <w:szCs w:val="21"/>
              </w:rPr>
              <w:t>（GB50156-2021）第13.2.2条</w:t>
            </w:r>
          </w:p>
        </w:tc>
        <w:tc>
          <w:tcPr>
            <w:tcW w:w="2639" w:type="dxa"/>
            <w:tcBorders>
              <w:top w:val="single" w:color="auto" w:sz="4" w:space="0"/>
              <w:left w:val="single" w:color="auto" w:sz="4" w:space="0"/>
              <w:bottom w:val="single" w:color="auto" w:sz="4" w:space="0"/>
              <w:right w:val="single" w:color="auto" w:sz="4" w:space="0"/>
            </w:tcBorders>
            <w:vAlign w:val="center"/>
          </w:tcPr>
          <w:p>
            <w:pPr>
              <w:rPr>
                <w:color w:val="000000" w:themeColor="text1"/>
                <w:szCs w:val="21"/>
              </w:rPr>
            </w:pPr>
            <w:r>
              <w:rPr>
                <w:color w:val="000000" w:themeColor="text1"/>
                <w:szCs w:val="21"/>
              </w:rPr>
              <w:t>该项目的防雷装置于</w:t>
            </w:r>
            <w:r>
              <w:rPr>
                <w:rFonts w:hint="eastAsia"/>
                <w:color w:val="000000" w:themeColor="text1"/>
                <w:szCs w:val="21"/>
                <w:lang w:val="en-US" w:eastAsia="zh-CN"/>
              </w:rPr>
              <w:t>2025</w:t>
            </w:r>
            <w:r>
              <w:rPr>
                <w:rFonts w:hint="eastAsia"/>
                <w:color w:val="000000" w:themeColor="text1"/>
                <w:szCs w:val="21"/>
              </w:rPr>
              <w:t>年</w:t>
            </w:r>
            <w:r>
              <w:rPr>
                <w:rFonts w:hint="eastAsia"/>
                <w:color w:val="000000" w:themeColor="text1"/>
                <w:szCs w:val="21"/>
                <w:lang w:val="en-US" w:eastAsia="zh-CN"/>
              </w:rPr>
              <w:t>3</w:t>
            </w:r>
            <w:r>
              <w:rPr>
                <w:rFonts w:hint="eastAsia"/>
                <w:color w:val="000000" w:themeColor="text1"/>
                <w:szCs w:val="21"/>
              </w:rPr>
              <w:t>月</w:t>
            </w:r>
            <w:r>
              <w:rPr>
                <w:rFonts w:hint="eastAsia"/>
                <w:color w:val="000000" w:themeColor="text1"/>
                <w:szCs w:val="21"/>
                <w:lang w:val="en-US" w:eastAsia="zh-CN"/>
              </w:rPr>
              <w:t>1</w:t>
            </w:r>
            <w:r>
              <w:rPr>
                <w:rFonts w:hint="eastAsia"/>
                <w:color w:val="000000" w:themeColor="text1"/>
                <w:szCs w:val="21"/>
              </w:rPr>
              <w:t>日经云南省气象灾害防御技术中心检测</w:t>
            </w:r>
            <w:r>
              <w:rPr>
                <w:color w:val="000000" w:themeColor="text1"/>
                <w:szCs w:val="21"/>
              </w:rPr>
              <w:t>合格。</w:t>
            </w:r>
          </w:p>
        </w:tc>
        <w:tc>
          <w:tcPr>
            <w:tcW w:w="772" w:type="dxa"/>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Cs w:val="21"/>
              </w:rPr>
            </w:pPr>
            <w:r>
              <w:rPr>
                <w:color w:val="000000" w:themeColor="text1"/>
                <w:szCs w:val="21"/>
              </w:rPr>
              <w:t>符合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464" w:type="dxa"/>
            <w:tcBorders>
              <w:top w:val="single" w:color="auto" w:sz="4" w:space="0"/>
              <w:left w:val="single" w:color="auto" w:sz="4" w:space="0"/>
              <w:bottom w:val="single" w:color="auto" w:sz="4" w:space="0"/>
              <w:right w:val="single" w:color="auto" w:sz="4" w:space="0"/>
            </w:tcBorders>
            <w:vAlign w:val="center"/>
          </w:tcPr>
          <w:p>
            <w:pPr>
              <w:numPr>
                <w:ilvl w:val="0"/>
                <w:numId w:val="21"/>
              </w:numPr>
              <w:tabs>
                <w:tab w:val="left" w:pos="352"/>
                <w:tab w:val="left" w:pos="759"/>
                <w:tab w:val="left" w:pos="825"/>
              </w:tabs>
              <w:adjustRightInd w:val="0"/>
              <w:ind w:left="0" w:firstLine="0"/>
              <w:jc w:val="center"/>
              <w:rPr>
                <w:color w:val="000000" w:themeColor="text1"/>
                <w:szCs w:val="21"/>
              </w:rPr>
            </w:pPr>
          </w:p>
        </w:tc>
        <w:tc>
          <w:tcPr>
            <w:tcW w:w="3210" w:type="dxa"/>
            <w:tcBorders>
              <w:top w:val="single" w:color="auto" w:sz="4" w:space="0"/>
              <w:left w:val="single" w:color="auto" w:sz="4" w:space="0"/>
              <w:bottom w:val="single" w:color="auto" w:sz="4" w:space="0"/>
              <w:right w:val="single" w:color="auto" w:sz="4" w:space="0"/>
            </w:tcBorders>
            <w:vAlign w:val="center"/>
          </w:tcPr>
          <w:p>
            <w:pPr>
              <w:rPr>
                <w:color w:val="000000" w:themeColor="text1"/>
                <w:szCs w:val="21"/>
              </w:rPr>
            </w:pPr>
            <w:r>
              <w:rPr>
                <w:color w:val="000000" w:themeColor="text1"/>
                <w:szCs w:val="21"/>
              </w:rPr>
              <w:t>埋地钢制油罐、埋地LPG储罐以及非金属油罐顶部的金属部件和罐内的各金属部件，必须与非埋地部分的工艺金属管道相互做电气连接并接地。</w:t>
            </w:r>
          </w:p>
        </w:tc>
        <w:tc>
          <w:tcPr>
            <w:tcW w:w="2316" w:type="dxa"/>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Cs w:val="21"/>
              </w:rPr>
            </w:pPr>
            <w:r>
              <w:rPr>
                <w:rFonts w:eastAsiaTheme="minorEastAsia"/>
                <w:snapToGrid w:val="0"/>
                <w:color w:val="000000" w:themeColor="text1"/>
                <w:kern w:val="0"/>
                <w:szCs w:val="21"/>
              </w:rPr>
              <w:t>《汽车加油加气加氢站技术标准》</w:t>
            </w:r>
            <w:r>
              <w:rPr>
                <w:color w:val="000000" w:themeColor="text1"/>
                <w:szCs w:val="21"/>
              </w:rPr>
              <w:t>（GB50156-2021）第13.2.5条</w:t>
            </w:r>
          </w:p>
        </w:tc>
        <w:tc>
          <w:tcPr>
            <w:tcW w:w="2639" w:type="dxa"/>
            <w:tcBorders>
              <w:top w:val="single" w:color="auto" w:sz="4" w:space="0"/>
              <w:left w:val="single" w:color="auto" w:sz="4" w:space="0"/>
              <w:bottom w:val="single" w:color="auto" w:sz="4" w:space="0"/>
              <w:right w:val="single" w:color="auto" w:sz="4" w:space="0"/>
            </w:tcBorders>
            <w:vAlign w:val="center"/>
          </w:tcPr>
          <w:p>
            <w:pPr>
              <w:rPr>
                <w:color w:val="000000" w:themeColor="text1"/>
                <w:szCs w:val="21"/>
              </w:rPr>
            </w:pPr>
            <w:r>
              <w:rPr>
                <w:color w:val="000000" w:themeColor="text1"/>
                <w:szCs w:val="21"/>
              </w:rPr>
              <w:t>该项目储罐与非埋地部分的工艺金属管道相互做电气连接并接地。</w:t>
            </w:r>
          </w:p>
        </w:tc>
        <w:tc>
          <w:tcPr>
            <w:tcW w:w="772" w:type="dxa"/>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Cs w:val="21"/>
              </w:rPr>
            </w:pPr>
            <w:r>
              <w:rPr>
                <w:color w:val="000000" w:themeColor="text1"/>
                <w:szCs w:val="21"/>
              </w:rPr>
              <w:t>符合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464" w:type="dxa"/>
            <w:tcBorders>
              <w:top w:val="single" w:color="auto" w:sz="4" w:space="0"/>
              <w:left w:val="single" w:color="auto" w:sz="4" w:space="0"/>
              <w:bottom w:val="single" w:color="auto" w:sz="4" w:space="0"/>
              <w:right w:val="single" w:color="auto" w:sz="4" w:space="0"/>
            </w:tcBorders>
            <w:vAlign w:val="center"/>
          </w:tcPr>
          <w:p>
            <w:pPr>
              <w:numPr>
                <w:ilvl w:val="0"/>
                <w:numId w:val="21"/>
              </w:numPr>
              <w:tabs>
                <w:tab w:val="left" w:pos="352"/>
                <w:tab w:val="left" w:pos="759"/>
                <w:tab w:val="left" w:pos="825"/>
              </w:tabs>
              <w:adjustRightInd w:val="0"/>
              <w:ind w:left="0" w:firstLine="0"/>
              <w:jc w:val="center"/>
              <w:rPr>
                <w:color w:val="000000" w:themeColor="text1"/>
                <w:szCs w:val="21"/>
              </w:rPr>
            </w:pPr>
          </w:p>
        </w:tc>
        <w:tc>
          <w:tcPr>
            <w:tcW w:w="3210" w:type="dxa"/>
            <w:tcBorders>
              <w:top w:val="single" w:color="auto" w:sz="4" w:space="0"/>
              <w:left w:val="single" w:color="auto" w:sz="4" w:space="0"/>
              <w:bottom w:val="single" w:color="auto" w:sz="4" w:space="0"/>
              <w:right w:val="single" w:color="auto" w:sz="4" w:space="0"/>
            </w:tcBorders>
            <w:vAlign w:val="center"/>
          </w:tcPr>
          <w:p>
            <w:pPr>
              <w:rPr>
                <w:color w:val="000000" w:themeColor="text1"/>
                <w:szCs w:val="21"/>
              </w:rPr>
            </w:pPr>
            <w:r>
              <w:rPr>
                <w:color w:val="000000" w:themeColor="text1"/>
                <w:szCs w:val="21"/>
              </w:rPr>
              <w:t xml:space="preserve">加油加气加氢站的油罐车、LPG 罐车、LNG罐车和液氢罐车卸车场地应设卸车或卸气临时用的防静电接地装置，并应设置能检测跨接线及监视接地装置状态的静电接地仪。 </w:t>
            </w:r>
          </w:p>
        </w:tc>
        <w:tc>
          <w:tcPr>
            <w:tcW w:w="2316" w:type="dxa"/>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Cs w:val="21"/>
              </w:rPr>
            </w:pPr>
            <w:r>
              <w:rPr>
                <w:rFonts w:eastAsiaTheme="minorEastAsia"/>
                <w:snapToGrid w:val="0"/>
                <w:color w:val="000000" w:themeColor="text1"/>
                <w:kern w:val="0"/>
                <w:szCs w:val="21"/>
              </w:rPr>
              <w:t>《汽车加油加气加氢站技术标准》</w:t>
            </w:r>
            <w:r>
              <w:rPr>
                <w:color w:val="000000" w:themeColor="text1"/>
                <w:szCs w:val="21"/>
              </w:rPr>
              <w:t>（GB50156-2021）第13.2.11条</w:t>
            </w:r>
          </w:p>
        </w:tc>
        <w:tc>
          <w:tcPr>
            <w:tcW w:w="2639" w:type="dxa"/>
            <w:tcBorders>
              <w:top w:val="single" w:color="auto" w:sz="4" w:space="0"/>
              <w:left w:val="single" w:color="auto" w:sz="4" w:space="0"/>
              <w:bottom w:val="single" w:color="auto" w:sz="4" w:space="0"/>
              <w:right w:val="single" w:color="auto" w:sz="4" w:space="0"/>
            </w:tcBorders>
            <w:vAlign w:val="center"/>
          </w:tcPr>
          <w:p>
            <w:pPr>
              <w:rPr>
                <w:color w:val="000000" w:themeColor="text1"/>
                <w:szCs w:val="21"/>
              </w:rPr>
            </w:pPr>
            <w:r>
              <w:rPr>
                <w:rFonts w:hint="eastAsia"/>
                <w:color w:val="000000" w:themeColor="text1"/>
                <w:szCs w:val="21"/>
              </w:rPr>
              <w:t>现场未见静电接地装置</w:t>
            </w:r>
            <w:r>
              <w:rPr>
                <w:color w:val="000000" w:themeColor="text1"/>
                <w:szCs w:val="21"/>
              </w:rPr>
              <w:t>。</w:t>
            </w:r>
          </w:p>
        </w:tc>
        <w:tc>
          <w:tcPr>
            <w:tcW w:w="772" w:type="dxa"/>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Cs w:val="21"/>
              </w:rPr>
            </w:pPr>
            <w:r>
              <w:rPr>
                <w:rFonts w:hint="eastAsia"/>
                <w:color w:val="000000" w:themeColor="text1"/>
                <w:szCs w:val="21"/>
              </w:rPr>
              <w:t>不</w:t>
            </w:r>
            <w:r>
              <w:rPr>
                <w:color w:val="000000" w:themeColor="text1"/>
                <w:szCs w:val="21"/>
              </w:rPr>
              <w:t>符合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464" w:type="dxa"/>
            <w:tcBorders>
              <w:top w:val="single" w:color="auto" w:sz="4" w:space="0"/>
              <w:left w:val="single" w:color="auto" w:sz="4" w:space="0"/>
              <w:bottom w:val="single" w:color="auto" w:sz="4" w:space="0"/>
              <w:right w:val="single" w:color="auto" w:sz="4" w:space="0"/>
            </w:tcBorders>
            <w:vAlign w:val="center"/>
          </w:tcPr>
          <w:p>
            <w:pPr>
              <w:numPr>
                <w:ilvl w:val="0"/>
                <w:numId w:val="21"/>
              </w:numPr>
              <w:tabs>
                <w:tab w:val="left" w:pos="352"/>
                <w:tab w:val="left" w:pos="759"/>
                <w:tab w:val="left" w:pos="825"/>
              </w:tabs>
              <w:adjustRightInd w:val="0"/>
              <w:ind w:left="0" w:firstLine="0"/>
              <w:jc w:val="center"/>
              <w:rPr>
                <w:color w:val="000000" w:themeColor="text1"/>
                <w:szCs w:val="21"/>
              </w:rPr>
            </w:pPr>
          </w:p>
        </w:tc>
        <w:tc>
          <w:tcPr>
            <w:tcW w:w="3210" w:type="dxa"/>
            <w:tcBorders>
              <w:top w:val="single" w:color="auto" w:sz="4" w:space="0"/>
              <w:left w:val="single" w:color="auto" w:sz="4" w:space="0"/>
              <w:bottom w:val="single" w:color="auto" w:sz="4" w:space="0"/>
              <w:right w:val="single" w:color="auto" w:sz="4" w:space="0"/>
            </w:tcBorders>
            <w:vAlign w:val="center"/>
          </w:tcPr>
          <w:p>
            <w:pPr>
              <w:rPr>
                <w:color w:val="000000" w:themeColor="text1"/>
                <w:szCs w:val="21"/>
              </w:rPr>
            </w:pPr>
            <w:r>
              <w:rPr>
                <w:color w:val="000000" w:themeColor="text1"/>
                <w:szCs w:val="21"/>
              </w:rPr>
              <w:t>在爆炸危险区域内的油品管道上的法兰、胶管两端等连接处应用金属线跨接。当法兰的连接螺栓不少于5根时，在非腐蚀环境下，可不跨接。</w:t>
            </w:r>
          </w:p>
        </w:tc>
        <w:tc>
          <w:tcPr>
            <w:tcW w:w="2316" w:type="dxa"/>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Cs w:val="21"/>
              </w:rPr>
            </w:pPr>
            <w:r>
              <w:rPr>
                <w:rFonts w:eastAsiaTheme="minorEastAsia"/>
                <w:snapToGrid w:val="0"/>
                <w:color w:val="000000" w:themeColor="text1"/>
                <w:kern w:val="0"/>
                <w:szCs w:val="21"/>
              </w:rPr>
              <w:t>《汽车加油加气加氢站技术标准》</w:t>
            </w:r>
            <w:r>
              <w:rPr>
                <w:color w:val="000000" w:themeColor="text1"/>
                <w:szCs w:val="21"/>
              </w:rPr>
              <w:t>（GB50156-2021）第13.2.12条</w:t>
            </w:r>
          </w:p>
        </w:tc>
        <w:tc>
          <w:tcPr>
            <w:tcW w:w="2639" w:type="dxa"/>
            <w:tcBorders>
              <w:top w:val="single" w:color="auto" w:sz="4" w:space="0"/>
              <w:left w:val="single" w:color="auto" w:sz="4" w:space="0"/>
              <w:bottom w:val="single" w:color="auto" w:sz="4" w:space="0"/>
              <w:right w:val="single" w:color="auto" w:sz="4" w:space="0"/>
            </w:tcBorders>
            <w:vAlign w:val="center"/>
          </w:tcPr>
          <w:p>
            <w:pPr>
              <w:rPr>
                <w:color w:val="000000" w:themeColor="text1"/>
                <w:szCs w:val="21"/>
              </w:rPr>
            </w:pPr>
            <w:r>
              <w:rPr>
                <w:color w:val="000000" w:themeColor="text1"/>
                <w:szCs w:val="21"/>
              </w:rPr>
              <w:t>现场检查，四孔及以下螺栓法兰均进行了防静电跨接。</w:t>
            </w:r>
          </w:p>
        </w:tc>
        <w:tc>
          <w:tcPr>
            <w:tcW w:w="772" w:type="dxa"/>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Cs w:val="21"/>
              </w:rPr>
            </w:pPr>
            <w:r>
              <w:rPr>
                <w:color w:val="000000" w:themeColor="text1"/>
                <w:szCs w:val="21"/>
              </w:rPr>
              <w:t>符合</w:t>
            </w:r>
          </w:p>
        </w:tc>
      </w:tr>
    </w:tbl>
    <w:p>
      <w:pPr>
        <w:spacing w:line="500" w:lineRule="exact"/>
        <w:ind w:firstLine="560" w:firstLineChars="200"/>
        <w:rPr>
          <w:rFonts w:asciiTheme="minorEastAsia" w:hAnsiTheme="minorEastAsia" w:eastAsiaTheme="minorEastAsia"/>
          <w:snapToGrid w:val="0"/>
          <w:color w:val="000000" w:themeColor="text1"/>
          <w:kern w:val="0"/>
          <w:sz w:val="28"/>
          <w:szCs w:val="28"/>
        </w:rPr>
      </w:pPr>
      <w:r>
        <w:rPr>
          <w:rFonts w:asciiTheme="minorEastAsia" w:hAnsiTheme="minorEastAsia" w:eastAsiaTheme="minorEastAsia"/>
          <w:snapToGrid w:val="0"/>
          <w:color w:val="000000" w:themeColor="text1"/>
          <w:kern w:val="0"/>
          <w:sz w:val="28"/>
          <w:szCs w:val="28"/>
        </w:rPr>
        <w:t>由上述安全检查表的结果可知：该项目防雷、防静电装置</w:t>
      </w:r>
      <w:r>
        <w:rPr>
          <w:rFonts w:hint="eastAsia" w:asciiTheme="minorEastAsia" w:hAnsiTheme="minorEastAsia" w:eastAsiaTheme="minorEastAsia"/>
          <w:snapToGrid w:val="0"/>
          <w:color w:val="000000" w:themeColor="text1"/>
          <w:kern w:val="0"/>
          <w:sz w:val="28"/>
          <w:szCs w:val="28"/>
        </w:rPr>
        <w:t>除现场未设置静电接地装置，未设置人体静电释放装置外，其他符合</w:t>
      </w:r>
      <w:r>
        <w:rPr>
          <w:rFonts w:eastAsiaTheme="minorEastAsia"/>
          <w:snapToGrid w:val="0"/>
          <w:color w:val="000000" w:themeColor="text1"/>
          <w:kern w:val="0"/>
          <w:sz w:val="28"/>
          <w:szCs w:val="28"/>
        </w:rPr>
        <w:t>《汽车加油加气</w:t>
      </w:r>
      <w:r>
        <w:rPr>
          <w:rFonts w:hint="eastAsia" w:eastAsiaTheme="minorEastAsia"/>
          <w:snapToGrid w:val="0"/>
          <w:color w:val="000000" w:themeColor="text1"/>
          <w:kern w:val="0"/>
          <w:sz w:val="28"/>
          <w:szCs w:val="28"/>
        </w:rPr>
        <w:t>加氢技术标准</w:t>
      </w:r>
      <w:r>
        <w:rPr>
          <w:rFonts w:eastAsiaTheme="minorEastAsia"/>
          <w:snapToGrid w:val="0"/>
          <w:color w:val="000000" w:themeColor="text1"/>
          <w:kern w:val="0"/>
          <w:sz w:val="28"/>
          <w:szCs w:val="28"/>
        </w:rPr>
        <w:t>》（GB50156-2021）的要求。</w:t>
      </w:r>
    </w:p>
    <w:p>
      <w:pPr>
        <w:pStyle w:val="19"/>
        <w:spacing w:afterLines="100" w:line="500" w:lineRule="exact"/>
        <w:rPr>
          <w:rFonts w:ascii="黑体" w:hAnsi="宋体" w:eastAsia="黑体"/>
          <w:color w:val="000000" w:themeColor="text1"/>
          <w:kern w:val="3"/>
          <w:sz w:val="28"/>
          <w:szCs w:val="28"/>
        </w:rPr>
      </w:pPr>
      <w:bookmarkStart w:id="1838" w:name="_Toc6259"/>
      <w:bookmarkStart w:id="1839" w:name="_Toc32060"/>
      <w:bookmarkStart w:id="1840" w:name="_Toc27088"/>
      <w:bookmarkStart w:id="1841" w:name="_Toc23283"/>
      <w:bookmarkStart w:id="1842" w:name="_Toc1492"/>
      <w:bookmarkStart w:id="1843" w:name="_Toc23828"/>
      <w:bookmarkStart w:id="1844" w:name="_Toc23836"/>
      <w:bookmarkStart w:id="1845" w:name="_Toc5294"/>
      <w:bookmarkStart w:id="1846" w:name="_Toc4542"/>
      <w:bookmarkStart w:id="1847" w:name="_Toc9721"/>
      <w:r>
        <w:rPr>
          <w:rFonts w:hint="eastAsia" w:ascii="黑体" w:hAnsi="宋体" w:eastAsia="黑体"/>
          <w:color w:val="000000" w:themeColor="text1"/>
          <w:kern w:val="3"/>
          <w:sz w:val="28"/>
          <w:szCs w:val="28"/>
        </w:rPr>
        <w:t>5.5.4 评价单元小结</w:t>
      </w:r>
      <w:bookmarkEnd w:id="1838"/>
      <w:bookmarkEnd w:id="1839"/>
      <w:bookmarkEnd w:id="1840"/>
      <w:bookmarkEnd w:id="1841"/>
      <w:bookmarkEnd w:id="1842"/>
      <w:bookmarkEnd w:id="1843"/>
      <w:bookmarkEnd w:id="1844"/>
      <w:bookmarkEnd w:id="1845"/>
      <w:bookmarkEnd w:id="1846"/>
      <w:bookmarkEnd w:id="1847"/>
    </w:p>
    <w:p>
      <w:pPr>
        <w:spacing w:line="500" w:lineRule="exact"/>
        <w:ind w:firstLine="560" w:firstLineChars="200"/>
        <w:rPr>
          <w:rFonts w:eastAsiaTheme="minorEastAsia"/>
          <w:color w:val="000000" w:themeColor="text1"/>
          <w:sz w:val="28"/>
          <w:szCs w:val="28"/>
        </w:rPr>
      </w:pPr>
      <w:r>
        <w:rPr>
          <w:rFonts w:eastAsiaTheme="minorEastAsia"/>
          <w:snapToGrid w:val="0"/>
          <w:color w:val="000000" w:themeColor="text1"/>
          <w:kern w:val="0"/>
          <w:sz w:val="28"/>
          <w:szCs w:val="28"/>
        </w:rPr>
        <w:t>由上述分析评价结果可知：</w:t>
      </w:r>
    </w:p>
    <w:p>
      <w:pPr>
        <w:spacing w:line="500" w:lineRule="exact"/>
        <w:ind w:firstLine="560" w:firstLineChars="200"/>
        <w:rPr>
          <w:rFonts w:asciiTheme="minorEastAsia" w:hAnsiTheme="minorEastAsia" w:eastAsiaTheme="minorEastAsia"/>
          <w:snapToGrid w:val="0"/>
          <w:color w:val="000000" w:themeColor="text1"/>
          <w:kern w:val="0"/>
          <w:sz w:val="28"/>
          <w:szCs w:val="28"/>
        </w:rPr>
      </w:pPr>
      <w:r>
        <w:rPr>
          <w:rFonts w:hint="eastAsia" w:asciiTheme="minorEastAsia" w:hAnsiTheme="minorEastAsia" w:eastAsiaTheme="minorEastAsia"/>
          <w:snapToGrid w:val="0"/>
          <w:color w:val="000000" w:themeColor="text1"/>
          <w:kern w:val="0"/>
          <w:sz w:val="28"/>
          <w:szCs w:val="28"/>
        </w:rPr>
        <w:t>1.</w:t>
      </w:r>
      <w:r>
        <w:rPr>
          <w:rFonts w:asciiTheme="minorEastAsia" w:hAnsiTheme="minorEastAsia" w:eastAsiaTheme="minorEastAsia"/>
          <w:snapToGrid w:val="0"/>
          <w:color w:val="000000" w:themeColor="text1"/>
          <w:kern w:val="0"/>
          <w:sz w:val="28"/>
          <w:szCs w:val="28"/>
        </w:rPr>
        <w:t>该项目供配电系统除视频监控系统无UPS电源外，</w:t>
      </w:r>
      <w:r>
        <w:rPr>
          <w:rFonts w:hint="eastAsia" w:asciiTheme="minorEastAsia" w:hAnsiTheme="minorEastAsia" w:eastAsiaTheme="minorEastAsia"/>
          <w:snapToGrid w:val="0"/>
          <w:color w:val="000000" w:themeColor="text1"/>
          <w:kern w:val="0"/>
          <w:sz w:val="28"/>
          <w:szCs w:val="28"/>
        </w:rPr>
        <w:t>其余均符合</w:t>
      </w:r>
      <w:r>
        <w:rPr>
          <w:rFonts w:asciiTheme="minorEastAsia" w:hAnsiTheme="minorEastAsia" w:eastAsiaTheme="minorEastAsia"/>
          <w:snapToGrid w:val="0"/>
          <w:color w:val="000000" w:themeColor="text1"/>
          <w:kern w:val="0"/>
          <w:sz w:val="28"/>
          <w:szCs w:val="28"/>
        </w:rPr>
        <w:t>《低压配电设计规范》（GB50054-2011）、《汽车加油加气加氢站技术标准》（GB50156-2021）、《加油加气站视频安防监控系统技术要求》（AQT3050-2013）、《通用用电设备配电设计规范》（GB50055-2011）、《20kV及以下变电所设计规范》（GB50053-2013）、《用电安全导则》（GB/T 13869-2017）等标准、规范的要求。</w:t>
      </w:r>
      <w:bookmarkStart w:id="1848" w:name="_Toc30966"/>
      <w:bookmarkStart w:id="1849" w:name="_Toc21646"/>
      <w:bookmarkStart w:id="1850" w:name="_Toc13421"/>
      <w:bookmarkStart w:id="1851" w:name="_Toc30398"/>
      <w:bookmarkStart w:id="1852" w:name="_Toc28317"/>
      <w:bookmarkStart w:id="1853" w:name="_Toc27692"/>
      <w:bookmarkStart w:id="1854" w:name="_Toc25830"/>
      <w:bookmarkStart w:id="1855" w:name="_Toc8404"/>
      <w:bookmarkStart w:id="1856" w:name="_Toc26093"/>
      <w:bookmarkStart w:id="1857" w:name="_Toc30334"/>
      <w:bookmarkStart w:id="1858" w:name="_Toc26521"/>
      <w:bookmarkStart w:id="1859" w:name="_Toc8410"/>
      <w:bookmarkStart w:id="1860" w:name="_Toc14399"/>
      <w:bookmarkStart w:id="1861" w:name="_Toc20531"/>
      <w:bookmarkStart w:id="1862" w:name="_Toc25908"/>
    </w:p>
    <w:p>
      <w:pPr>
        <w:spacing w:line="500" w:lineRule="exact"/>
        <w:ind w:firstLine="560" w:firstLineChars="200"/>
        <w:rPr>
          <w:rFonts w:asciiTheme="minorEastAsia" w:hAnsiTheme="minorEastAsia" w:eastAsiaTheme="minorEastAsia"/>
          <w:snapToGrid w:val="0"/>
          <w:color w:val="000000" w:themeColor="text1"/>
          <w:kern w:val="0"/>
          <w:sz w:val="28"/>
          <w:szCs w:val="28"/>
        </w:rPr>
      </w:pPr>
      <w:r>
        <w:rPr>
          <w:rFonts w:hint="eastAsia" w:asciiTheme="minorEastAsia" w:hAnsiTheme="minorEastAsia" w:eastAsiaTheme="minorEastAsia"/>
          <w:snapToGrid w:val="0"/>
          <w:color w:val="000000" w:themeColor="text1"/>
          <w:kern w:val="0"/>
          <w:sz w:val="28"/>
          <w:szCs w:val="28"/>
        </w:rPr>
        <w:t>2.</w:t>
      </w:r>
      <w:r>
        <w:rPr>
          <w:rFonts w:asciiTheme="minorEastAsia" w:hAnsiTheme="minorEastAsia" w:eastAsiaTheme="minorEastAsia"/>
          <w:snapToGrid w:val="0"/>
          <w:color w:val="000000" w:themeColor="text1"/>
          <w:kern w:val="0"/>
          <w:sz w:val="28"/>
          <w:szCs w:val="28"/>
        </w:rPr>
        <w:t>该项目消防及给水系统除办公区未设置手提式灭火器外，其余均符合《建筑灭火器配置设计规范》（GB50140-2005）、《汽车加油加气加氢站技术标准》（GB50156-2021）、《云南省消防条例》（2001年3月29日省九届人大常委会第二十一次会议通过）等</w:t>
      </w:r>
      <w:r>
        <w:rPr>
          <w:rFonts w:hint="eastAsia" w:asciiTheme="minorEastAsia" w:hAnsiTheme="minorEastAsia" w:eastAsiaTheme="minorEastAsia"/>
          <w:snapToGrid w:val="0"/>
          <w:color w:val="000000" w:themeColor="text1"/>
          <w:kern w:val="0"/>
          <w:sz w:val="28"/>
          <w:szCs w:val="28"/>
        </w:rPr>
        <w:t>法规、</w:t>
      </w:r>
      <w:r>
        <w:rPr>
          <w:rFonts w:asciiTheme="minorEastAsia" w:hAnsiTheme="minorEastAsia" w:eastAsiaTheme="minorEastAsia"/>
          <w:snapToGrid w:val="0"/>
          <w:color w:val="000000" w:themeColor="text1"/>
          <w:kern w:val="0"/>
          <w:sz w:val="28"/>
          <w:szCs w:val="28"/>
        </w:rPr>
        <w:t>标准规范的要求。</w:t>
      </w:r>
    </w:p>
    <w:p>
      <w:pPr>
        <w:spacing w:line="500" w:lineRule="exact"/>
        <w:ind w:firstLine="560" w:firstLineChars="200"/>
        <w:rPr>
          <w:rFonts w:asciiTheme="minorEastAsia" w:hAnsiTheme="minorEastAsia" w:eastAsiaTheme="minorEastAsia"/>
          <w:snapToGrid w:val="0"/>
          <w:color w:val="000000" w:themeColor="text1"/>
          <w:kern w:val="0"/>
          <w:sz w:val="28"/>
          <w:szCs w:val="28"/>
        </w:rPr>
      </w:pPr>
      <w:r>
        <w:rPr>
          <w:rFonts w:hint="eastAsia" w:asciiTheme="minorEastAsia" w:hAnsiTheme="minorEastAsia" w:eastAsiaTheme="minorEastAsia"/>
          <w:snapToGrid w:val="0"/>
          <w:color w:val="000000" w:themeColor="text1"/>
          <w:kern w:val="0"/>
          <w:sz w:val="28"/>
          <w:szCs w:val="28"/>
        </w:rPr>
        <w:t>3.</w:t>
      </w:r>
      <w:r>
        <w:rPr>
          <w:rFonts w:asciiTheme="minorEastAsia" w:hAnsiTheme="minorEastAsia" w:eastAsiaTheme="minorEastAsia"/>
          <w:snapToGrid w:val="0"/>
          <w:color w:val="000000" w:themeColor="text1"/>
          <w:kern w:val="0"/>
          <w:sz w:val="28"/>
          <w:szCs w:val="28"/>
        </w:rPr>
        <w:t>该项目防雷、防静电装置</w:t>
      </w:r>
      <w:r>
        <w:rPr>
          <w:rFonts w:hint="eastAsia" w:asciiTheme="minorEastAsia" w:hAnsiTheme="minorEastAsia" w:eastAsiaTheme="minorEastAsia"/>
          <w:snapToGrid w:val="0"/>
          <w:color w:val="000000" w:themeColor="text1"/>
          <w:kern w:val="0"/>
          <w:sz w:val="28"/>
          <w:szCs w:val="28"/>
        </w:rPr>
        <w:t>除现场未设置静电接地装置，未设置人体静电释放装置外，其他符合</w:t>
      </w:r>
      <w:r>
        <w:rPr>
          <w:rFonts w:eastAsiaTheme="minorEastAsia"/>
          <w:snapToGrid w:val="0"/>
          <w:color w:val="000000" w:themeColor="text1"/>
          <w:kern w:val="0"/>
          <w:sz w:val="28"/>
          <w:szCs w:val="28"/>
        </w:rPr>
        <w:t>《汽车加油加气</w:t>
      </w:r>
      <w:r>
        <w:rPr>
          <w:rFonts w:hint="eastAsia" w:eastAsiaTheme="minorEastAsia"/>
          <w:snapToGrid w:val="0"/>
          <w:color w:val="000000" w:themeColor="text1"/>
          <w:kern w:val="0"/>
          <w:sz w:val="28"/>
          <w:szCs w:val="28"/>
        </w:rPr>
        <w:t>加氢技术标准</w:t>
      </w:r>
      <w:r>
        <w:rPr>
          <w:rFonts w:eastAsiaTheme="minorEastAsia"/>
          <w:snapToGrid w:val="0"/>
          <w:color w:val="000000" w:themeColor="text1"/>
          <w:kern w:val="0"/>
          <w:sz w:val="28"/>
          <w:szCs w:val="28"/>
        </w:rPr>
        <w:t>》（GB50156-2021）的要求</w:t>
      </w:r>
      <w:r>
        <w:rPr>
          <w:rFonts w:asciiTheme="minorEastAsia" w:hAnsiTheme="minorEastAsia" w:eastAsiaTheme="minorEastAsia"/>
          <w:snapToGrid w:val="0"/>
          <w:color w:val="000000" w:themeColor="text1"/>
          <w:kern w:val="0"/>
          <w:sz w:val="28"/>
          <w:szCs w:val="28"/>
        </w:rPr>
        <w:t>。</w:t>
      </w:r>
    </w:p>
    <w:p>
      <w:pPr>
        <w:pStyle w:val="19"/>
        <w:spacing w:afterLines="100" w:line="500" w:lineRule="exact"/>
        <w:jc w:val="center"/>
        <w:rPr>
          <w:rFonts w:ascii="楷体_GB2312" w:hAnsi="宋体" w:eastAsia="楷体_GB2312"/>
          <w:color w:val="000000" w:themeColor="text1"/>
          <w:kern w:val="3"/>
        </w:rPr>
      </w:pPr>
      <w:bookmarkStart w:id="1863" w:name="_Toc10_WPSOffice_Level2"/>
      <w:r>
        <w:rPr>
          <w:rFonts w:hint="eastAsia" w:ascii="楷体_GB2312" w:hAnsi="宋体" w:eastAsia="楷体_GB2312"/>
          <w:color w:val="000000" w:themeColor="text1"/>
          <w:kern w:val="3"/>
        </w:rPr>
        <w:t>5.6安全设施评价单元</w:t>
      </w:r>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p>
    <w:p>
      <w:pPr>
        <w:pStyle w:val="19"/>
        <w:spacing w:afterLines="100" w:line="500" w:lineRule="exact"/>
        <w:rPr>
          <w:rFonts w:ascii="黑体" w:hAnsi="宋体" w:eastAsia="黑体"/>
          <w:color w:val="000000" w:themeColor="text1"/>
          <w:kern w:val="3"/>
          <w:sz w:val="28"/>
          <w:szCs w:val="28"/>
        </w:rPr>
      </w:pPr>
      <w:bookmarkStart w:id="1864" w:name="_Toc18178"/>
      <w:bookmarkStart w:id="1865" w:name="_Toc13381"/>
      <w:bookmarkStart w:id="1866" w:name="_Toc22422"/>
      <w:bookmarkStart w:id="1867" w:name="_Toc12087"/>
      <w:bookmarkStart w:id="1868" w:name="_Toc22906"/>
      <w:bookmarkStart w:id="1869" w:name="_Toc9928"/>
      <w:bookmarkStart w:id="1870" w:name="_Toc10963"/>
      <w:bookmarkStart w:id="1871" w:name="_Toc24097"/>
      <w:bookmarkStart w:id="1872" w:name="_Toc32554"/>
      <w:bookmarkStart w:id="1873" w:name="_Toc20821"/>
      <w:r>
        <w:rPr>
          <w:rFonts w:hint="eastAsia" w:ascii="黑体" w:hAnsi="宋体" w:eastAsia="黑体"/>
          <w:color w:val="000000" w:themeColor="text1"/>
          <w:kern w:val="3"/>
          <w:sz w:val="28"/>
          <w:szCs w:val="28"/>
        </w:rPr>
        <w:t>5.6.1安全设施安全检查表</w:t>
      </w:r>
      <w:bookmarkEnd w:id="1864"/>
      <w:bookmarkEnd w:id="1865"/>
      <w:bookmarkEnd w:id="1866"/>
      <w:bookmarkEnd w:id="1867"/>
      <w:bookmarkEnd w:id="1868"/>
      <w:bookmarkEnd w:id="1869"/>
      <w:bookmarkEnd w:id="1870"/>
      <w:bookmarkEnd w:id="1871"/>
      <w:bookmarkEnd w:id="1872"/>
      <w:bookmarkEnd w:id="1873"/>
    </w:p>
    <w:p>
      <w:pPr>
        <w:spacing w:line="500" w:lineRule="exact"/>
        <w:ind w:firstLine="560" w:firstLineChars="200"/>
        <w:rPr>
          <w:rFonts w:eastAsiaTheme="minorEastAsia"/>
          <w:color w:val="000000" w:themeColor="text1"/>
          <w:kern w:val="0"/>
          <w:sz w:val="28"/>
          <w:szCs w:val="28"/>
        </w:rPr>
      </w:pPr>
      <w:r>
        <w:rPr>
          <w:rFonts w:eastAsiaTheme="minorEastAsia"/>
          <w:color w:val="000000" w:themeColor="text1"/>
          <w:kern w:val="0"/>
          <w:sz w:val="28"/>
          <w:szCs w:val="28"/>
        </w:rPr>
        <w:t>根据</w:t>
      </w:r>
      <w:r>
        <w:rPr>
          <w:bCs/>
          <w:color w:val="000000" w:themeColor="text1"/>
          <w:kern w:val="0"/>
          <w:sz w:val="28"/>
          <w:szCs w:val="28"/>
        </w:rPr>
        <w:t>《生产设备安全卫生设计总则》（</w:t>
      </w:r>
      <w:r>
        <w:rPr>
          <w:rFonts w:hint="eastAsia"/>
          <w:bCs/>
          <w:color w:val="000000" w:themeColor="text1"/>
          <w:kern w:val="0"/>
          <w:sz w:val="28"/>
          <w:szCs w:val="28"/>
          <w:lang w:eastAsia="zh-CN"/>
        </w:rPr>
        <w:t>GB5083-2023</w:t>
      </w:r>
      <w:r>
        <w:rPr>
          <w:bCs/>
          <w:color w:val="000000" w:themeColor="text1"/>
          <w:kern w:val="0"/>
          <w:sz w:val="28"/>
          <w:szCs w:val="28"/>
        </w:rPr>
        <w:t>）、《化学品作业场所安全警示标志规范》（AQ 3047</w:t>
      </w:r>
      <w:r>
        <w:rPr>
          <w:rFonts w:hint="eastAsia"/>
          <w:bCs/>
          <w:color w:val="000000" w:themeColor="text1"/>
          <w:kern w:val="0"/>
          <w:sz w:val="28"/>
          <w:szCs w:val="28"/>
        </w:rPr>
        <w:t>-</w:t>
      </w:r>
      <w:r>
        <w:rPr>
          <w:bCs/>
          <w:color w:val="000000" w:themeColor="text1"/>
          <w:kern w:val="0"/>
          <w:sz w:val="28"/>
          <w:szCs w:val="28"/>
        </w:rPr>
        <w:t>2013）、《工业企业设计卫生标准》（GBZ1-2010）、《固定式钢梯及平台安全要求 第3部分工业防护栏杆及钢平台》</w:t>
      </w:r>
      <w:r>
        <w:rPr>
          <w:rFonts w:hint="eastAsia"/>
          <w:bCs/>
          <w:color w:val="000000" w:themeColor="text1"/>
          <w:kern w:val="0"/>
          <w:sz w:val="28"/>
          <w:szCs w:val="28"/>
        </w:rPr>
        <w:t>（</w:t>
      </w:r>
      <w:r>
        <w:rPr>
          <w:bCs/>
          <w:color w:val="000000" w:themeColor="text1"/>
          <w:kern w:val="0"/>
          <w:sz w:val="28"/>
          <w:szCs w:val="28"/>
        </w:rPr>
        <w:t>GB 4053.3-2009</w:t>
      </w:r>
      <w:r>
        <w:rPr>
          <w:rFonts w:hint="eastAsia"/>
          <w:bCs/>
          <w:color w:val="000000" w:themeColor="text1"/>
          <w:kern w:val="0"/>
          <w:sz w:val="28"/>
          <w:szCs w:val="28"/>
        </w:rPr>
        <w:t>）</w:t>
      </w:r>
      <w:r>
        <w:rPr>
          <w:bCs/>
          <w:color w:val="000000" w:themeColor="text1"/>
          <w:kern w:val="0"/>
          <w:sz w:val="28"/>
          <w:szCs w:val="28"/>
        </w:rPr>
        <w:t>、《化工企业安全卫生设计规范》（HG20571-2014）、《工业管道的基本识别色、识别符合和安全标识》（GB231-2003）</w:t>
      </w:r>
      <w:r>
        <w:rPr>
          <w:rFonts w:hint="eastAsia"/>
          <w:bCs/>
          <w:color w:val="000000" w:themeColor="text1"/>
          <w:kern w:val="0"/>
          <w:sz w:val="28"/>
          <w:szCs w:val="28"/>
        </w:rPr>
        <w:t>、</w:t>
      </w:r>
      <w:r>
        <w:rPr>
          <w:bCs/>
          <w:color w:val="000000" w:themeColor="text1"/>
          <w:kern w:val="0"/>
          <w:sz w:val="28"/>
          <w:szCs w:val="28"/>
        </w:rPr>
        <w:t>《机械安全防护装置 固定式和活动式防护装置的设计与制造一般要求》（GB/T 8196-2018）</w:t>
      </w:r>
      <w:r>
        <w:rPr>
          <w:rFonts w:hint="eastAsia"/>
          <w:bCs/>
          <w:color w:val="000000" w:themeColor="text1"/>
          <w:kern w:val="0"/>
          <w:sz w:val="28"/>
          <w:szCs w:val="28"/>
        </w:rPr>
        <w:t>、</w:t>
      </w:r>
      <w:r>
        <w:rPr>
          <w:bCs/>
          <w:color w:val="000000" w:themeColor="text1"/>
          <w:kern w:val="0"/>
          <w:sz w:val="28"/>
          <w:szCs w:val="28"/>
        </w:rPr>
        <w:t>《爆炸危险环境电力装置设计规范》（GB50058-2014）</w:t>
      </w:r>
      <w:r>
        <w:rPr>
          <w:rFonts w:hint="eastAsia"/>
          <w:bCs/>
          <w:color w:val="000000" w:themeColor="text1"/>
          <w:kern w:val="0"/>
          <w:sz w:val="28"/>
          <w:szCs w:val="28"/>
        </w:rPr>
        <w:t>、</w:t>
      </w:r>
      <w:r>
        <w:rPr>
          <w:bCs/>
          <w:color w:val="000000" w:themeColor="text1"/>
          <w:kern w:val="0"/>
          <w:sz w:val="28"/>
          <w:szCs w:val="28"/>
        </w:rPr>
        <w:t>《汽车加油加气加氢站技术标准》（GB50156-2021）</w:t>
      </w:r>
      <w:r>
        <w:rPr>
          <w:rFonts w:eastAsiaTheme="minorEastAsia"/>
          <w:color w:val="000000" w:themeColor="text1"/>
          <w:kern w:val="0"/>
          <w:sz w:val="28"/>
          <w:szCs w:val="28"/>
        </w:rPr>
        <w:t>等标准、规范的要求对该项目涉及的安全设施进行分析评价，具体情况如下表所示：</w:t>
      </w:r>
    </w:p>
    <w:p>
      <w:pPr>
        <w:spacing w:line="500" w:lineRule="exact"/>
        <w:jc w:val="center"/>
        <w:rPr>
          <w:rFonts w:eastAsiaTheme="minorEastAsia"/>
          <w:bCs/>
          <w:color w:val="000000" w:themeColor="text1"/>
          <w:sz w:val="24"/>
          <w:szCs w:val="30"/>
        </w:rPr>
      </w:pPr>
      <w:r>
        <w:rPr>
          <w:rFonts w:eastAsiaTheme="minorEastAsia"/>
          <w:bCs/>
          <w:color w:val="000000" w:themeColor="text1"/>
          <w:sz w:val="24"/>
          <w:szCs w:val="30"/>
        </w:rPr>
        <w:t>表5-1</w:t>
      </w:r>
      <w:r>
        <w:rPr>
          <w:rFonts w:hint="eastAsia" w:eastAsiaTheme="minorEastAsia"/>
          <w:bCs/>
          <w:color w:val="000000" w:themeColor="text1"/>
          <w:sz w:val="24"/>
          <w:szCs w:val="30"/>
        </w:rPr>
        <w:t>3</w:t>
      </w:r>
      <w:r>
        <w:rPr>
          <w:rFonts w:eastAsiaTheme="minorEastAsia"/>
          <w:bCs/>
          <w:color w:val="000000" w:themeColor="text1"/>
          <w:sz w:val="24"/>
          <w:szCs w:val="30"/>
        </w:rPr>
        <w:t xml:space="preserve"> 安全设施设置情况检查表</w:t>
      </w:r>
    </w:p>
    <w:tbl>
      <w:tblPr>
        <w:tblStyle w:val="52"/>
        <w:tblW w:w="91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3"/>
        <w:gridCol w:w="2977"/>
        <w:gridCol w:w="2552"/>
        <w:gridCol w:w="2268"/>
        <w:gridCol w:w="7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573" w:type="dxa"/>
            <w:vAlign w:val="center"/>
          </w:tcPr>
          <w:p>
            <w:pPr>
              <w:spacing w:line="280" w:lineRule="exact"/>
              <w:jc w:val="center"/>
              <w:rPr>
                <w:rFonts w:eastAsiaTheme="minorEastAsia"/>
                <w:b/>
                <w:color w:val="000000" w:themeColor="text1"/>
                <w:szCs w:val="21"/>
              </w:rPr>
            </w:pPr>
            <w:bookmarkStart w:id="1874" w:name="_Toc25684"/>
            <w:bookmarkStart w:id="1875" w:name="_Toc5855"/>
            <w:bookmarkStart w:id="1876" w:name="_Toc7136"/>
            <w:bookmarkStart w:id="1877" w:name="_Toc30959"/>
            <w:bookmarkStart w:id="1878" w:name="_Toc21550"/>
            <w:bookmarkStart w:id="1879" w:name="_Toc14906"/>
            <w:bookmarkStart w:id="1880" w:name="_Toc23133"/>
            <w:bookmarkStart w:id="1881" w:name="_Toc23863"/>
            <w:bookmarkStart w:id="1882" w:name="_Toc27955"/>
            <w:bookmarkStart w:id="1883" w:name="_Toc6558"/>
            <w:r>
              <w:rPr>
                <w:rFonts w:eastAsiaTheme="minorEastAsia"/>
                <w:b/>
                <w:color w:val="000000" w:themeColor="text1"/>
                <w:szCs w:val="21"/>
              </w:rPr>
              <w:t>序号</w:t>
            </w:r>
          </w:p>
        </w:tc>
        <w:tc>
          <w:tcPr>
            <w:tcW w:w="2977" w:type="dxa"/>
            <w:vAlign w:val="center"/>
          </w:tcPr>
          <w:p>
            <w:pPr>
              <w:suppressAutoHyphens/>
              <w:spacing w:line="280" w:lineRule="exact"/>
              <w:ind w:firstLine="211" w:firstLineChars="100"/>
              <w:jc w:val="center"/>
              <w:rPr>
                <w:rFonts w:eastAsiaTheme="minorEastAsia"/>
                <w:b/>
                <w:snapToGrid w:val="0"/>
                <w:color w:val="000000" w:themeColor="text1"/>
                <w:kern w:val="0"/>
                <w:szCs w:val="21"/>
              </w:rPr>
            </w:pPr>
            <w:r>
              <w:rPr>
                <w:rFonts w:eastAsiaTheme="minorEastAsia"/>
                <w:b/>
                <w:snapToGrid w:val="0"/>
                <w:color w:val="000000" w:themeColor="text1"/>
                <w:kern w:val="0"/>
                <w:szCs w:val="21"/>
              </w:rPr>
              <w:t>检查内容</w:t>
            </w:r>
          </w:p>
        </w:tc>
        <w:tc>
          <w:tcPr>
            <w:tcW w:w="2552" w:type="dxa"/>
            <w:vAlign w:val="center"/>
          </w:tcPr>
          <w:p>
            <w:pPr>
              <w:suppressAutoHyphens/>
              <w:spacing w:line="280" w:lineRule="exact"/>
              <w:jc w:val="center"/>
              <w:rPr>
                <w:rFonts w:eastAsiaTheme="minorEastAsia"/>
                <w:b/>
                <w:snapToGrid w:val="0"/>
                <w:color w:val="000000" w:themeColor="text1"/>
                <w:kern w:val="0"/>
                <w:szCs w:val="21"/>
              </w:rPr>
            </w:pPr>
            <w:r>
              <w:rPr>
                <w:rFonts w:eastAsiaTheme="minorEastAsia"/>
                <w:b/>
                <w:snapToGrid w:val="0"/>
                <w:color w:val="000000" w:themeColor="text1"/>
                <w:kern w:val="0"/>
                <w:szCs w:val="21"/>
              </w:rPr>
              <w:t>检查依据</w:t>
            </w:r>
          </w:p>
        </w:tc>
        <w:tc>
          <w:tcPr>
            <w:tcW w:w="2268" w:type="dxa"/>
            <w:vAlign w:val="center"/>
          </w:tcPr>
          <w:p>
            <w:pPr>
              <w:suppressAutoHyphens/>
              <w:spacing w:line="280" w:lineRule="exact"/>
              <w:jc w:val="center"/>
              <w:rPr>
                <w:rFonts w:eastAsiaTheme="minorEastAsia"/>
                <w:b/>
                <w:snapToGrid w:val="0"/>
                <w:color w:val="000000" w:themeColor="text1"/>
                <w:kern w:val="0"/>
                <w:szCs w:val="21"/>
              </w:rPr>
            </w:pPr>
            <w:r>
              <w:rPr>
                <w:rFonts w:eastAsiaTheme="minorEastAsia"/>
                <w:b/>
                <w:snapToGrid w:val="0"/>
                <w:color w:val="000000" w:themeColor="text1"/>
                <w:kern w:val="0"/>
                <w:szCs w:val="21"/>
              </w:rPr>
              <w:t>检查情况</w:t>
            </w:r>
          </w:p>
        </w:tc>
        <w:tc>
          <w:tcPr>
            <w:tcW w:w="748" w:type="dxa"/>
            <w:vAlign w:val="center"/>
          </w:tcPr>
          <w:p>
            <w:pPr>
              <w:suppressAutoHyphens/>
              <w:spacing w:line="280" w:lineRule="exact"/>
              <w:jc w:val="center"/>
              <w:rPr>
                <w:rFonts w:eastAsiaTheme="minorEastAsia"/>
                <w:b/>
                <w:snapToGrid w:val="0"/>
                <w:color w:val="000000" w:themeColor="text1"/>
                <w:kern w:val="0"/>
                <w:szCs w:val="21"/>
              </w:rPr>
            </w:pPr>
            <w:r>
              <w:rPr>
                <w:rFonts w:eastAsiaTheme="minorEastAsia"/>
                <w:b/>
                <w:snapToGrid w:val="0"/>
                <w:color w:val="000000" w:themeColor="text1"/>
                <w:kern w:val="0"/>
                <w:szCs w:val="21"/>
              </w:rPr>
              <w:t>检查结果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73" w:type="dxa"/>
            <w:vAlign w:val="center"/>
          </w:tcPr>
          <w:p>
            <w:pPr>
              <w:spacing w:line="280" w:lineRule="exact"/>
              <w:jc w:val="center"/>
              <w:rPr>
                <w:rFonts w:eastAsiaTheme="minorEastAsia"/>
                <w:b/>
                <w:color w:val="000000" w:themeColor="text1"/>
                <w:szCs w:val="21"/>
              </w:rPr>
            </w:pPr>
            <w:r>
              <w:rPr>
                <w:rFonts w:eastAsiaTheme="minorEastAsia"/>
                <w:b/>
                <w:color w:val="000000" w:themeColor="text1"/>
                <w:szCs w:val="21"/>
              </w:rPr>
              <w:t>一</w:t>
            </w:r>
          </w:p>
        </w:tc>
        <w:tc>
          <w:tcPr>
            <w:tcW w:w="2977" w:type="dxa"/>
            <w:vAlign w:val="center"/>
          </w:tcPr>
          <w:p>
            <w:pPr>
              <w:suppressAutoHyphens/>
              <w:spacing w:line="280" w:lineRule="exact"/>
              <w:rPr>
                <w:rFonts w:eastAsiaTheme="minorEastAsia"/>
                <w:b/>
                <w:snapToGrid w:val="0"/>
                <w:color w:val="000000" w:themeColor="text1"/>
                <w:kern w:val="0"/>
                <w:szCs w:val="21"/>
              </w:rPr>
            </w:pPr>
            <w:r>
              <w:rPr>
                <w:rFonts w:eastAsiaTheme="minorEastAsia"/>
                <w:b/>
                <w:snapToGrid w:val="0"/>
                <w:color w:val="000000" w:themeColor="text1"/>
                <w:kern w:val="0"/>
                <w:szCs w:val="21"/>
              </w:rPr>
              <w:t>防火、防爆设施</w:t>
            </w:r>
          </w:p>
        </w:tc>
        <w:tc>
          <w:tcPr>
            <w:tcW w:w="2552" w:type="dxa"/>
            <w:vAlign w:val="center"/>
          </w:tcPr>
          <w:p>
            <w:pPr>
              <w:suppressAutoHyphens/>
              <w:spacing w:line="280" w:lineRule="exact"/>
              <w:jc w:val="center"/>
              <w:rPr>
                <w:rFonts w:eastAsiaTheme="minorEastAsia"/>
                <w:b/>
                <w:snapToGrid w:val="0"/>
                <w:color w:val="000000" w:themeColor="text1"/>
                <w:kern w:val="0"/>
                <w:szCs w:val="21"/>
              </w:rPr>
            </w:pPr>
          </w:p>
        </w:tc>
        <w:tc>
          <w:tcPr>
            <w:tcW w:w="2268" w:type="dxa"/>
            <w:vAlign w:val="center"/>
          </w:tcPr>
          <w:p>
            <w:pPr>
              <w:suppressAutoHyphens/>
              <w:spacing w:line="280" w:lineRule="exact"/>
              <w:jc w:val="center"/>
              <w:rPr>
                <w:rFonts w:eastAsiaTheme="minorEastAsia"/>
                <w:b/>
                <w:snapToGrid w:val="0"/>
                <w:color w:val="000000" w:themeColor="text1"/>
                <w:kern w:val="0"/>
                <w:szCs w:val="21"/>
              </w:rPr>
            </w:pPr>
          </w:p>
        </w:tc>
        <w:tc>
          <w:tcPr>
            <w:tcW w:w="748" w:type="dxa"/>
            <w:vAlign w:val="center"/>
          </w:tcPr>
          <w:p>
            <w:pPr>
              <w:suppressAutoHyphens/>
              <w:spacing w:line="280" w:lineRule="exact"/>
              <w:jc w:val="center"/>
              <w:rPr>
                <w:rFonts w:eastAsiaTheme="minorEastAsia"/>
                <w:b/>
                <w:snapToGrid w:val="0"/>
                <w:color w:val="000000" w:themeColor="text1"/>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73" w:type="dxa"/>
            <w:vAlign w:val="center"/>
          </w:tcPr>
          <w:p>
            <w:pPr>
              <w:numPr>
                <w:ilvl w:val="0"/>
                <w:numId w:val="22"/>
              </w:numPr>
              <w:spacing w:line="280" w:lineRule="exact"/>
              <w:jc w:val="center"/>
              <w:rPr>
                <w:rFonts w:eastAsiaTheme="minorEastAsia"/>
                <w:color w:val="000000" w:themeColor="text1"/>
                <w:szCs w:val="21"/>
              </w:rPr>
            </w:pPr>
          </w:p>
        </w:tc>
        <w:tc>
          <w:tcPr>
            <w:tcW w:w="2977" w:type="dxa"/>
            <w:vAlign w:val="center"/>
          </w:tcPr>
          <w:p>
            <w:pPr>
              <w:spacing w:line="280" w:lineRule="exact"/>
              <w:rPr>
                <w:rFonts w:eastAsiaTheme="minorEastAsia"/>
                <w:color w:val="000000" w:themeColor="text1"/>
                <w:szCs w:val="21"/>
              </w:rPr>
            </w:pPr>
            <w:r>
              <w:rPr>
                <w:rFonts w:eastAsiaTheme="minorEastAsia"/>
                <w:color w:val="000000" w:themeColor="text1"/>
                <w:szCs w:val="21"/>
              </w:rPr>
              <w:t>在爆炸性气体环境中，应采取下列防止爆炸的措施：（1）产生爆炸的条件同时出现的可能性应减到最小程度；（2）工艺设计中应采取消除或减少可燃物质的释放及积聚的措施；（3）防止爆炸性气体混合物的形成或缩短爆炸性气体混合物的滞留时间；（4）在区域内应采取消除或控制设备线路产生火花、电弧或高温的措施。</w:t>
            </w:r>
          </w:p>
        </w:tc>
        <w:tc>
          <w:tcPr>
            <w:tcW w:w="2552" w:type="dxa"/>
            <w:vAlign w:val="center"/>
          </w:tcPr>
          <w:p>
            <w:pPr>
              <w:tabs>
                <w:tab w:val="left" w:pos="2898"/>
              </w:tabs>
              <w:spacing w:line="280" w:lineRule="exact"/>
              <w:jc w:val="center"/>
              <w:rPr>
                <w:rFonts w:eastAsiaTheme="minorEastAsia"/>
                <w:color w:val="000000" w:themeColor="text1"/>
                <w:szCs w:val="21"/>
              </w:rPr>
            </w:pPr>
            <w:r>
              <w:rPr>
                <w:rFonts w:eastAsiaTheme="minorEastAsia"/>
                <w:color w:val="000000" w:themeColor="text1"/>
                <w:szCs w:val="21"/>
              </w:rPr>
              <w:t>《爆炸危险环境电力装置设计规范》（GB50058-2014）</w:t>
            </w:r>
          </w:p>
          <w:p>
            <w:pPr>
              <w:tabs>
                <w:tab w:val="left" w:pos="2898"/>
              </w:tabs>
              <w:spacing w:line="280" w:lineRule="exact"/>
              <w:jc w:val="center"/>
              <w:rPr>
                <w:rFonts w:eastAsiaTheme="minorEastAsia"/>
                <w:color w:val="000000" w:themeColor="text1"/>
                <w:szCs w:val="21"/>
              </w:rPr>
            </w:pPr>
            <w:r>
              <w:rPr>
                <w:rFonts w:eastAsiaTheme="minorEastAsia"/>
                <w:color w:val="000000" w:themeColor="text1"/>
                <w:szCs w:val="21"/>
              </w:rPr>
              <w:t>第3.1.3条</w:t>
            </w:r>
          </w:p>
        </w:tc>
        <w:tc>
          <w:tcPr>
            <w:tcW w:w="2268" w:type="dxa"/>
            <w:vAlign w:val="center"/>
          </w:tcPr>
          <w:p>
            <w:pPr>
              <w:spacing w:line="280" w:lineRule="exact"/>
              <w:rPr>
                <w:rFonts w:eastAsiaTheme="minorEastAsia"/>
                <w:color w:val="000000" w:themeColor="text1"/>
                <w:szCs w:val="21"/>
              </w:rPr>
            </w:pPr>
            <w:r>
              <w:rPr>
                <w:rFonts w:eastAsiaTheme="minorEastAsia"/>
                <w:color w:val="000000" w:themeColor="text1"/>
                <w:szCs w:val="21"/>
              </w:rPr>
              <w:t>该项目甲醇储罐、</w:t>
            </w:r>
            <w:r>
              <w:rPr>
                <w:rFonts w:hint="eastAsia" w:eastAsiaTheme="minorEastAsia"/>
                <w:color w:val="000000" w:themeColor="text1"/>
                <w:szCs w:val="21"/>
              </w:rPr>
              <w:t>加注区</w:t>
            </w:r>
            <w:r>
              <w:rPr>
                <w:rFonts w:eastAsiaTheme="minorEastAsia"/>
                <w:color w:val="000000" w:themeColor="text1"/>
                <w:szCs w:val="21"/>
              </w:rPr>
              <w:t>、卸油口均露天设置。</w:t>
            </w:r>
          </w:p>
        </w:tc>
        <w:tc>
          <w:tcPr>
            <w:tcW w:w="748" w:type="dxa"/>
            <w:vAlign w:val="center"/>
          </w:tcPr>
          <w:p>
            <w:pPr>
              <w:spacing w:line="280" w:lineRule="exact"/>
              <w:jc w:val="center"/>
              <w:rPr>
                <w:rFonts w:eastAsiaTheme="minorEastAsia"/>
                <w:color w:val="000000" w:themeColor="text1"/>
                <w:szCs w:val="21"/>
              </w:rPr>
            </w:pPr>
            <w:r>
              <w:rPr>
                <w:rFonts w:eastAsiaTheme="minorEastAsia"/>
                <w:color w:val="000000" w:themeColor="text1"/>
                <w:szCs w:val="21"/>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73" w:type="dxa"/>
            <w:vAlign w:val="center"/>
          </w:tcPr>
          <w:p>
            <w:pPr>
              <w:numPr>
                <w:ilvl w:val="0"/>
                <w:numId w:val="22"/>
              </w:numPr>
              <w:spacing w:line="280" w:lineRule="exact"/>
              <w:jc w:val="center"/>
              <w:rPr>
                <w:rFonts w:eastAsiaTheme="minorEastAsia"/>
                <w:color w:val="000000" w:themeColor="text1"/>
                <w:szCs w:val="21"/>
              </w:rPr>
            </w:pPr>
          </w:p>
        </w:tc>
        <w:tc>
          <w:tcPr>
            <w:tcW w:w="2977" w:type="dxa"/>
            <w:vAlign w:val="center"/>
          </w:tcPr>
          <w:p>
            <w:pPr>
              <w:spacing w:line="280" w:lineRule="exact"/>
              <w:rPr>
                <w:rFonts w:eastAsiaTheme="minorEastAsia"/>
                <w:color w:val="000000" w:themeColor="text1"/>
                <w:szCs w:val="21"/>
              </w:rPr>
            </w:pPr>
            <w:r>
              <w:rPr>
                <w:rFonts w:eastAsiaTheme="minorEastAsia"/>
                <w:color w:val="000000" w:themeColor="text1"/>
                <w:szCs w:val="21"/>
              </w:rPr>
              <w:t>有火灾爆炸危险场所的建（构）筑物的结构形式以及选用的材料，应符合现行国家标准《建筑设计防火规范》GB50016中的防火防爆规定。</w:t>
            </w:r>
          </w:p>
        </w:tc>
        <w:tc>
          <w:tcPr>
            <w:tcW w:w="2552" w:type="dxa"/>
            <w:vAlign w:val="center"/>
          </w:tcPr>
          <w:p>
            <w:pPr>
              <w:spacing w:line="280" w:lineRule="exact"/>
              <w:rPr>
                <w:rFonts w:eastAsiaTheme="minorEastAsia"/>
                <w:color w:val="000000" w:themeColor="text1"/>
                <w:szCs w:val="21"/>
              </w:rPr>
            </w:pPr>
            <w:r>
              <w:rPr>
                <w:rFonts w:eastAsiaTheme="minorEastAsia"/>
                <w:color w:val="000000" w:themeColor="text1"/>
                <w:szCs w:val="21"/>
              </w:rPr>
              <w:t>《化工企业安全卫生设计规范》（HG20571-2014）</w:t>
            </w:r>
          </w:p>
          <w:p>
            <w:pPr>
              <w:tabs>
                <w:tab w:val="left" w:pos="2898"/>
              </w:tabs>
              <w:spacing w:line="280" w:lineRule="exact"/>
              <w:jc w:val="center"/>
              <w:rPr>
                <w:rFonts w:eastAsiaTheme="minorEastAsia"/>
                <w:color w:val="000000" w:themeColor="text1"/>
                <w:szCs w:val="21"/>
              </w:rPr>
            </w:pPr>
            <w:r>
              <w:rPr>
                <w:rFonts w:eastAsiaTheme="minorEastAsia"/>
                <w:color w:val="000000" w:themeColor="text1"/>
                <w:szCs w:val="21"/>
              </w:rPr>
              <w:t>第4.1.6条</w:t>
            </w:r>
          </w:p>
        </w:tc>
        <w:tc>
          <w:tcPr>
            <w:tcW w:w="2268" w:type="dxa"/>
            <w:vAlign w:val="center"/>
          </w:tcPr>
          <w:p>
            <w:pPr>
              <w:spacing w:line="280" w:lineRule="exact"/>
              <w:rPr>
                <w:rFonts w:eastAsiaTheme="minorEastAsia"/>
                <w:color w:val="000000" w:themeColor="text1"/>
                <w:szCs w:val="21"/>
              </w:rPr>
            </w:pPr>
            <w:r>
              <w:rPr>
                <w:rFonts w:eastAsiaTheme="minorEastAsia"/>
                <w:color w:val="000000" w:themeColor="text1"/>
                <w:szCs w:val="21"/>
              </w:rPr>
              <w:t>该项目各区涉及的建筑物的耐火等级、防火防爆能满足要求。</w:t>
            </w:r>
          </w:p>
        </w:tc>
        <w:tc>
          <w:tcPr>
            <w:tcW w:w="748" w:type="dxa"/>
            <w:vAlign w:val="center"/>
          </w:tcPr>
          <w:p>
            <w:pPr>
              <w:spacing w:line="280" w:lineRule="exact"/>
              <w:jc w:val="center"/>
              <w:rPr>
                <w:rFonts w:eastAsiaTheme="minorEastAsia"/>
                <w:color w:val="000000" w:themeColor="text1"/>
                <w:szCs w:val="21"/>
              </w:rPr>
            </w:pPr>
            <w:r>
              <w:rPr>
                <w:rFonts w:eastAsiaTheme="minorEastAsia"/>
                <w:color w:val="000000" w:themeColor="text1"/>
                <w:szCs w:val="21"/>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73" w:type="dxa"/>
            <w:vAlign w:val="center"/>
          </w:tcPr>
          <w:p>
            <w:pPr>
              <w:tabs>
                <w:tab w:val="left" w:pos="533"/>
              </w:tabs>
              <w:spacing w:line="280" w:lineRule="exact"/>
              <w:rPr>
                <w:rFonts w:eastAsiaTheme="minorEastAsia"/>
                <w:b/>
                <w:color w:val="000000" w:themeColor="text1"/>
                <w:szCs w:val="21"/>
              </w:rPr>
            </w:pPr>
            <w:r>
              <w:rPr>
                <w:rFonts w:eastAsiaTheme="minorEastAsia"/>
                <w:b/>
                <w:color w:val="000000" w:themeColor="text1"/>
                <w:szCs w:val="21"/>
              </w:rPr>
              <w:t>二</w:t>
            </w:r>
          </w:p>
        </w:tc>
        <w:tc>
          <w:tcPr>
            <w:tcW w:w="2977" w:type="dxa"/>
            <w:vAlign w:val="center"/>
          </w:tcPr>
          <w:p>
            <w:pPr>
              <w:spacing w:line="280" w:lineRule="exact"/>
              <w:rPr>
                <w:rFonts w:eastAsiaTheme="minorEastAsia"/>
                <w:b/>
                <w:color w:val="000000" w:themeColor="text1"/>
                <w:szCs w:val="21"/>
              </w:rPr>
            </w:pPr>
            <w:r>
              <w:rPr>
                <w:rFonts w:eastAsiaTheme="minorEastAsia"/>
                <w:b/>
                <w:color w:val="000000" w:themeColor="text1"/>
                <w:szCs w:val="21"/>
              </w:rPr>
              <w:t>防中毒、窒息</w:t>
            </w:r>
          </w:p>
        </w:tc>
        <w:tc>
          <w:tcPr>
            <w:tcW w:w="2552" w:type="dxa"/>
            <w:vAlign w:val="center"/>
          </w:tcPr>
          <w:p>
            <w:pPr>
              <w:spacing w:line="280" w:lineRule="exact"/>
              <w:rPr>
                <w:rFonts w:eastAsiaTheme="minorEastAsia"/>
                <w:color w:val="000000" w:themeColor="text1"/>
                <w:szCs w:val="21"/>
              </w:rPr>
            </w:pPr>
          </w:p>
        </w:tc>
        <w:tc>
          <w:tcPr>
            <w:tcW w:w="2268" w:type="dxa"/>
            <w:vAlign w:val="center"/>
          </w:tcPr>
          <w:p>
            <w:pPr>
              <w:spacing w:line="280" w:lineRule="exact"/>
              <w:rPr>
                <w:rFonts w:eastAsiaTheme="minorEastAsia"/>
                <w:color w:val="000000" w:themeColor="text1"/>
                <w:szCs w:val="21"/>
              </w:rPr>
            </w:pPr>
          </w:p>
        </w:tc>
        <w:tc>
          <w:tcPr>
            <w:tcW w:w="748" w:type="dxa"/>
            <w:vAlign w:val="center"/>
          </w:tcPr>
          <w:p>
            <w:pPr>
              <w:spacing w:line="280" w:lineRule="exact"/>
              <w:jc w:val="center"/>
              <w:rPr>
                <w:rFonts w:eastAsiaTheme="minorEastAsia"/>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73" w:type="dxa"/>
            <w:vAlign w:val="center"/>
          </w:tcPr>
          <w:p>
            <w:pPr>
              <w:numPr>
                <w:ilvl w:val="0"/>
                <w:numId w:val="22"/>
              </w:numPr>
              <w:spacing w:line="280" w:lineRule="exact"/>
              <w:jc w:val="center"/>
              <w:rPr>
                <w:rFonts w:eastAsiaTheme="minorEastAsia"/>
                <w:color w:val="000000" w:themeColor="text1"/>
                <w:szCs w:val="21"/>
              </w:rPr>
            </w:pPr>
          </w:p>
        </w:tc>
        <w:tc>
          <w:tcPr>
            <w:tcW w:w="2977" w:type="dxa"/>
            <w:vAlign w:val="center"/>
          </w:tcPr>
          <w:p>
            <w:pPr>
              <w:spacing w:line="280" w:lineRule="exact"/>
              <w:rPr>
                <w:rFonts w:eastAsiaTheme="minorEastAsia"/>
                <w:color w:val="000000" w:themeColor="text1"/>
                <w:szCs w:val="21"/>
              </w:rPr>
            </w:pPr>
            <w:r>
              <w:rPr>
                <w:rFonts w:eastAsiaTheme="minorEastAsia"/>
                <w:color w:val="000000" w:themeColor="text1"/>
                <w:szCs w:val="21"/>
              </w:rPr>
              <w:t>对产生粉尘、毒物的生产过程和设备（含露天作业的工艺设备），应优先采用机械化和自动化，避免直接人工操作。为防止物料跑、冒、滴、漏，其设备和管道应采取有效的密闭措施，密闭形式应根据工艺流程、设备特点、生产工艺、安全要求及便于操作、维修等因素确定，并应结合生产工艺采取通风和净化措施。对移动的扬尘和逸散毒物的作业，应与主体工程同时设计移动式轻便防尘和排毒设备。</w:t>
            </w:r>
          </w:p>
        </w:tc>
        <w:tc>
          <w:tcPr>
            <w:tcW w:w="2552" w:type="dxa"/>
            <w:vAlign w:val="center"/>
          </w:tcPr>
          <w:p>
            <w:pPr>
              <w:spacing w:line="280" w:lineRule="exact"/>
              <w:jc w:val="center"/>
              <w:rPr>
                <w:rFonts w:eastAsiaTheme="minorEastAsia"/>
                <w:color w:val="000000" w:themeColor="text1"/>
                <w:szCs w:val="21"/>
              </w:rPr>
            </w:pPr>
            <w:r>
              <w:rPr>
                <w:rFonts w:eastAsiaTheme="minorEastAsia"/>
                <w:color w:val="000000" w:themeColor="text1"/>
                <w:szCs w:val="21"/>
              </w:rPr>
              <w:t>《工业企业设计卫生标准》（GBZ1-2010）</w:t>
            </w:r>
          </w:p>
          <w:p>
            <w:pPr>
              <w:spacing w:line="280" w:lineRule="exact"/>
              <w:jc w:val="center"/>
              <w:rPr>
                <w:rFonts w:eastAsiaTheme="minorEastAsia"/>
                <w:color w:val="000000" w:themeColor="text1"/>
                <w:szCs w:val="21"/>
              </w:rPr>
            </w:pPr>
            <w:r>
              <w:rPr>
                <w:rFonts w:eastAsiaTheme="minorEastAsia"/>
                <w:color w:val="000000" w:themeColor="text1"/>
                <w:szCs w:val="21"/>
              </w:rPr>
              <w:t>第6.1.1.2条</w:t>
            </w:r>
          </w:p>
        </w:tc>
        <w:tc>
          <w:tcPr>
            <w:tcW w:w="2268" w:type="dxa"/>
            <w:vAlign w:val="center"/>
          </w:tcPr>
          <w:p>
            <w:pPr>
              <w:spacing w:line="280" w:lineRule="exact"/>
              <w:rPr>
                <w:rFonts w:eastAsiaTheme="minorEastAsia"/>
                <w:color w:val="000000" w:themeColor="text1"/>
                <w:szCs w:val="21"/>
              </w:rPr>
            </w:pPr>
            <w:r>
              <w:rPr>
                <w:rFonts w:eastAsiaTheme="minorEastAsia"/>
                <w:color w:val="000000" w:themeColor="text1"/>
                <w:szCs w:val="21"/>
              </w:rPr>
              <w:t>该项目主要危险有害物质为甲醇，其储存、装卸车设施处采取了密闭措施，</w:t>
            </w:r>
            <w:r>
              <w:rPr>
                <w:rFonts w:hint="eastAsia" w:eastAsiaTheme="minorEastAsia"/>
                <w:color w:val="000000" w:themeColor="text1"/>
                <w:szCs w:val="21"/>
              </w:rPr>
              <w:t>现场检查工作人员未穿戴防静电工作服进行作业</w:t>
            </w:r>
            <w:r>
              <w:rPr>
                <w:rFonts w:eastAsiaTheme="minorEastAsia"/>
                <w:color w:val="000000" w:themeColor="text1"/>
                <w:szCs w:val="21"/>
              </w:rPr>
              <w:t>。</w:t>
            </w:r>
          </w:p>
        </w:tc>
        <w:tc>
          <w:tcPr>
            <w:tcW w:w="748" w:type="dxa"/>
            <w:vAlign w:val="center"/>
          </w:tcPr>
          <w:p>
            <w:pPr>
              <w:spacing w:line="280" w:lineRule="exact"/>
              <w:jc w:val="center"/>
              <w:rPr>
                <w:rFonts w:eastAsiaTheme="minorEastAsia"/>
                <w:color w:val="000000" w:themeColor="text1"/>
                <w:szCs w:val="21"/>
              </w:rPr>
            </w:pPr>
            <w:r>
              <w:rPr>
                <w:rFonts w:hint="eastAsia" w:eastAsiaTheme="minorEastAsia"/>
                <w:color w:val="000000" w:themeColor="text1"/>
                <w:szCs w:val="21"/>
              </w:rPr>
              <w:t>不</w:t>
            </w:r>
            <w:r>
              <w:rPr>
                <w:rFonts w:eastAsiaTheme="minorEastAsia"/>
                <w:color w:val="000000" w:themeColor="text1"/>
                <w:szCs w:val="21"/>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73" w:type="dxa"/>
            <w:vAlign w:val="center"/>
          </w:tcPr>
          <w:p>
            <w:pPr>
              <w:numPr>
                <w:ilvl w:val="0"/>
                <w:numId w:val="22"/>
              </w:numPr>
              <w:spacing w:line="280" w:lineRule="exact"/>
              <w:jc w:val="center"/>
              <w:rPr>
                <w:rFonts w:eastAsiaTheme="minorEastAsia"/>
                <w:color w:val="000000" w:themeColor="text1"/>
                <w:szCs w:val="21"/>
              </w:rPr>
            </w:pPr>
          </w:p>
        </w:tc>
        <w:tc>
          <w:tcPr>
            <w:tcW w:w="2977" w:type="dxa"/>
          </w:tcPr>
          <w:p>
            <w:pPr>
              <w:spacing w:line="280" w:lineRule="exact"/>
              <w:rPr>
                <w:rFonts w:eastAsiaTheme="minorEastAsia"/>
                <w:color w:val="000000" w:themeColor="text1"/>
                <w:szCs w:val="21"/>
              </w:rPr>
            </w:pPr>
            <w:r>
              <w:rPr>
                <w:color w:val="000000" w:themeColor="text1"/>
                <w:szCs w:val="21"/>
              </w:rPr>
              <w:t>通风系统的组成及其布置应合理，能满足防尘、防毒的要求。容易凝结蒸气和聚积粉尘的通风管道、几种物质混合能引起爆炸、燃烧或形成危害更大的物质的通风管道，应设单独通风系统，不得相互连通。</w:t>
            </w:r>
          </w:p>
        </w:tc>
        <w:tc>
          <w:tcPr>
            <w:tcW w:w="2552" w:type="dxa"/>
            <w:vAlign w:val="center"/>
          </w:tcPr>
          <w:p>
            <w:pPr>
              <w:spacing w:line="280" w:lineRule="exact"/>
              <w:jc w:val="center"/>
              <w:rPr>
                <w:rFonts w:eastAsiaTheme="minorEastAsia"/>
                <w:color w:val="000000" w:themeColor="text1"/>
                <w:szCs w:val="21"/>
              </w:rPr>
            </w:pPr>
            <w:r>
              <w:rPr>
                <w:rFonts w:eastAsiaTheme="minorEastAsia"/>
                <w:color w:val="000000" w:themeColor="text1"/>
                <w:szCs w:val="21"/>
              </w:rPr>
              <w:t>《工业企业设计卫生标准》(GBZ1-2010）</w:t>
            </w:r>
          </w:p>
          <w:p>
            <w:pPr>
              <w:spacing w:line="280" w:lineRule="exact"/>
              <w:jc w:val="center"/>
              <w:rPr>
                <w:rFonts w:eastAsiaTheme="minorEastAsia"/>
                <w:color w:val="000000" w:themeColor="text1"/>
                <w:szCs w:val="21"/>
              </w:rPr>
            </w:pPr>
            <w:r>
              <w:rPr>
                <w:rFonts w:eastAsiaTheme="minorEastAsia"/>
                <w:color w:val="000000" w:themeColor="text1"/>
                <w:szCs w:val="21"/>
              </w:rPr>
              <w:t>第6.1.5.条第12款</w:t>
            </w:r>
          </w:p>
        </w:tc>
        <w:tc>
          <w:tcPr>
            <w:tcW w:w="2268" w:type="dxa"/>
            <w:vAlign w:val="center"/>
          </w:tcPr>
          <w:p>
            <w:pPr>
              <w:spacing w:line="280" w:lineRule="exact"/>
              <w:rPr>
                <w:rFonts w:eastAsiaTheme="minorEastAsia"/>
                <w:color w:val="000000" w:themeColor="text1"/>
                <w:szCs w:val="21"/>
              </w:rPr>
            </w:pPr>
            <w:r>
              <w:rPr>
                <w:color w:val="000000" w:themeColor="text1"/>
                <w:szCs w:val="21"/>
              </w:rPr>
              <w:t>该项目区甲醇储罐、装卸设施均为露天布置，各区通风良好，满足规范要求。</w:t>
            </w:r>
          </w:p>
        </w:tc>
        <w:tc>
          <w:tcPr>
            <w:tcW w:w="748" w:type="dxa"/>
            <w:vAlign w:val="center"/>
          </w:tcPr>
          <w:p>
            <w:pPr>
              <w:spacing w:line="280" w:lineRule="exact"/>
              <w:jc w:val="center"/>
              <w:rPr>
                <w:rFonts w:eastAsiaTheme="minorEastAsia"/>
                <w:color w:val="000000" w:themeColor="text1"/>
                <w:szCs w:val="21"/>
              </w:rPr>
            </w:pPr>
            <w:r>
              <w:rPr>
                <w:color w:val="000000" w:themeColor="text1"/>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73" w:type="dxa"/>
            <w:vAlign w:val="center"/>
          </w:tcPr>
          <w:p>
            <w:pPr>
              <w:numPr>
                <w:ilvl w:val="0"/>
                <w:numId w:val="22"/>
              </w:numPr>
              <w:spacing w:line="280" w:lineRule="exact"/>
              <w:jc w:val="center"/>
              <w:rPr>
                <w:rFonts w:eastAsiaTheme="minorEastAsia"/>
                <w:color w:val="000000" w:themeColor="text1"/>
                <w:szCs w:val="21"/>
              </w:rPr>
            </w:pPr>
          </w:p>
        </w:tc>
        <w:tc>
          <w:tcPr>
            <w:tcW w:w="2977" w:type="dxa"/>
            <w:vAlign w:val="center"/>
          </w:tcPr>
          <w:p>
            <w:pPr>
              <w:spacing w:line="280" w:lineRule="exact"/>
              <w:rPr>
                <w:color w:val="000000" w:themeColor="text1"/>
                <w:szCs w:val="21"/>
              </w:rPr>
            </w:pPr>
            <w:r>
              <w:rPr>
                <w:rFonts w:eastAsiaTheme="minorEastAsia"/>
                <w:color w:val="000000" w:themeColor="text1"/>
                <w:kern w:val="0"/>
                <w:szCs w:val="21"/>
              </w:rPr>
              <w:t>防毒设施应依据车间自然通风风向、扬尘和逸散毒物的性质、作业点的位置和数量及作业方式等进行设计。经常有人来往的通道（地道、通廊），应有自然通风或机械通风，并不宜敷设有毒液体或有毒气体的。</w:t>
            </w:r>
          </w:p>
        </w:tc>
        <w:tc>
          <w:tcPr>
            <w:tcW w:w="2552" w:type="dxa"/>
            <w:vAlign w:val="center"/>
          </w:tcPr>
          <w:p>
            <w:pPr>
              <w:tabs>
                <w:tab w:val="left" w:pos="2898"/>
              </w:tabs>
              <w:spacing w:line="280" w:lineRule="exact"/>
              <w:jc w:val="center"/>
              <w:rPr>
                <w:rFonts w:eastAsiaTheme="minorEastAsia"/>
                <w:color w:val="000000" w:themeColor="text1"/>
                <w:szCs w:val="21"/>
              </w:rPr>
            </w:pPr>
            <w:r>
              <w:rPr>
                <w:rFonts w:eastAsiaTheme="minorEastAsia"/>
                <w:color w:val="000000" w:themeColor="text1"/>
                <w:szCs w:val="21"/>
              </w:rPr>
              <w:t>《工业企业设计卫生标准》（GBZ1-2010）</w:t>
            </w:r>
          </w:p>
          <w:p>
            <w:pPr>
              <w:spacing w:line="280" w:lineRule="exact"/>
              <w:jc w:val="center"/>
              <w:rPr>
                <w:rFonts w:eastAsiaTheme="minorEastAsia"/>
                <w:color w:val="000000" w:themeColor="text1"/>
                <w:szCs w:val="21"/>
              </w:rPr>
            </w:pPr>
            <w:r>
              <w:rPr>
                <w:rFonts w:eastAsiaTheme="minorEastAsia"/>
                <w:color w:val="000000" w:themeColor="text1"/>
                <w:szCs w:val="21"/>
              </w:rPr>
              <w:t>第6.1.5条</w:t>
            </w:r>
          </w:p>
        </w:tc>
        <w:tc>
          <w:tcPr>
            <w:tcW w:w="2268" w:type="dxa"/>
            <w:vAlign w:val="center"/>
          </w:tcPr>
          <w:p>
            <w:pPr>
              <w:spacing w:line="280" w:lineRule="exact"/>
              <w:rPr>
                <w:color w:val="000000" w:themeColor="text1"/>
                <w:szCs w:val="21"/>
              </w:rPr>
            </w:pPr>
            <w:r>
              <w:rPr>
                <w:color w:val="000000" w:themeColor="text1"/>
                <w:szCs w:val="21"/>
              </w:rPr>
              <w:t>该项目区甲醇储罐、装卸设施均为露天布置，各区通风良好。</w:t>
            </w:r>
          </w:p>
        </w:tc>
        <w:tc>
          <w:tcPr>
            <w:tcW w:w="748" w:type="dxa"/>
            <w:vAlign w:val="center"/>
          </w:tcPr>
          <w:p>
            <w:pPr>
              <w:spacing w:line="280" w:lineRule="exact"/>
              <w:jc w:val="center"/>
              <w:rPr>
                <w:color w:val="000000" w:themeColor="text1"/>
              </w:rPr>
            </w:pPr>
            <w:r>
              <w:rPr>
                <w:rFonts w:eastAsiaTheme="minorEastAsia"/>
                <w:color w:val="000000" w:themeColor="text1"/>
                <w:szCs w:val="21"/>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73" w:type="dxa"/>
            <w:vAlign w:val="center"/>
          </w:tcPr>
          <w:p>
            <w:pPr>
              <w:tabs>
                <w:tab w:val="left" w:pos="533"/>
              </w:tabs>
              <w:spacing w:line="280" w:lineRule="exact"/>
              <w:rPr>
                <w:rFonts w:eastAsiaTheme="minorEastAsia"/>
                <w:color w:val="000000" w:themeColor="text1"/>
                <w:szCs w:val="21"/>
              </w:rPr>
            </w:pPr>
            <w:r>
              <w:rPr>
                <w:rFonts w:eastAsiaTheme="minorEastAsia"/>
                <w:b/>
                <w:color w:val="000000" w:themeColor="text1"/>
                <w:szCs w:val="21"/>
              </w:rPr>
              <w:t>三</w:t>
            </w:r>
          </w:p>
        </w:tc>
        <w:tc>
          <w:tcPr>
            <w:tcW w:w="2977" w:type="dxa"/>
            <w:vAlign w:val="center"/>
          </w:tcPr>
          <w:p>
            <w:pPr>
              <w:spacing w:line="280" w:lineRule="exact"/>
              <w:rPr>
                <w:rFonts w:eastAsiaTheme="minorEastAsia"/>
                <w:color w:val="000000" w:themeColor="text1"/>
                <w:szCs w:val="21"/>
              </w:rPr>
            </w:pPr>
            <w:r>
              <w:rPr>
                <w:rFonts w:eastAsiaTheme="minorEastAsia"/>
                <w:b/>
                <w:color w:val="000000" w:themeColor="text1"/>
                <w:szCs w:val="21"/>
              </w:rPr>
              <w:t>防雷、防静电设施</w:t>
            </w:r>
          </w:p>
        </w:tc>
        <w:tc>
          <w:tcPr>
            <w:tcW w:w="2552" w:type="dxa"/>
            <w:vAlign w:val="center"/>
          </w:tcPr>
          <w:p>
            <w:pPr>
              <w:spacing w:line="280" w:lineRule="exact"/>
              <w:rPr>
                <w:rFonts w:eastAsiaTheme="minorEastAsia"/>
                <w:color w:val="000000" w:themeColor="text1"/>
                <w:szCs w:val="21"/>
              </w:rPr>
            </w:pPr>
          </w:p>
        </w:tc>
        <w:tc>
          <w:tcPr>
            <w:tcW w:w="2268" w:type="dxa"/>
            <w:vAlign w:val="center"/>
          </w:tcPr>
          <w:p>
            <w:pPr>
              <w:spacing w:line="280" w:lineRule="exact"/>
              <w:rPr>
                <w:rFonts w:eastAsiaTheme="minorEastAsia"/>
                <w:color w:val="000000" w:themeColor="text1"/>
                <w:szCs w:val="21"/>
              </w:rPr>
            </w:pPr>
          </w:p>
        </w:tc>
        <w:tc>
          <w:tcPr>
            <w:tcW w:w="748" w:type="dxa"/>
            <w:vAlign w:val="center"/>
          </w:tcPr>
          <w:p>
            <w:pPr>
              <w:spacing w:line="280" w:lineRule="exact"/>
              <w:jc w:val="center"/>
              <w:rPr>
                <w:rFonts w:eastAsiaTheme="minorEastAsia"/>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73" w:type="dxa"/>
            <w:vAlign w:val="center"/>
          </w:tcPr>
          <w:p>
            <w:pPr>
              <w:numPr>
                <w:ilvl w:val="0"/>
                <w:numId w:val="22"/>
              </w:numPr>
              <w:spacing w:line="280" w:lineRule="exact"/>
              <w:jc w:val="center"/>
              <w:rPr>
                <w:rFonts w:eastAsiaTheme="minorEastAsia"/>
                <w:color w:val="000000" w:themeColor="text1"/>
                <w:szCs w:val="21"/>
              </w:rPr>
            </w:pPr>
          </w:p>
        </w:tc>
        <w:tc>
          <w:tcPr>
            <w:tcW w:w="2977" w:type="dxa"/>
            <w:vAlign w:val="center"/>
          </w:tcPr>
          <w:p>
            <w:pPr>
              <w:spacing w:line="280" w:lineRule="exact"/>
              <w:rPr>
                <w:rFonts w:eastAsiaTheme="minorEastAsia"/>
                <w:color w:val="000000" w:themeColor="text1"/>
                <w:szCs w:val="21"/>
              </w:rPr>
            </w:pPr>
            <w:r>
              <w:rPr>
                <w:rFonts w:eastAsiaTheme="minorEastAsia"/>
                <w:color w:val="000000" w:themeColor="text1"/>
                <w:szCs w:val="21"/>
              </w:rPr>
              <w:t>在使用过程中有可能遭受雷击的生产设备，必须采取适当的防护措施，以使雷击时产生的电荷被安全、迅速导入大地。</w:t>
            </w:r>
          </w:p>
        </w:tc>
        <w:tc>
          <w:tcPr>
            <w:tcW w:w="2552" w:type="dxa"/>
            <w:vAlign w:val="center"/>
          </w:tcPr>
          <w:p>
            <w:pPr>
              <w:spacing w:line="280" w:lineRule="exact"/>
              <w:jc w:val="center"/>
              <w:rPr>
                <w:rFonts w:eastAsiaTheme="minorEastAsia"/>
                <w:color w:val="000000" w:themeColor="text1"/>
                <w:szCs w:val="21"/>
              </w:rPr>
            </w:pPr>
            <w:r>
              <w:rPr>
                <w:rFonts w:eastAsiaTheme="minorEastAsia"/>
                <w:color w:val="000000" w:themeColor="text1"/>
                <w:szCs w:val="21"/>
              </w:rPr>
              <w:t>《生产设备安全卫生设计总则》（</w:t>
            </w:r>
            <w:r>
              <w:rPr>
                <w:rFonts w:hint="eastAsia" w:eastAsiaTheme="minorEastAsia"/>
                <w:color w:val="000000" w:themeColor="text1"/>
                <w:szCs w:val="21"/>
                <w:lang w:eastAsia="zh-CN"/>
              </w:rPr>
              <w:t>GB5083-2023</w:t>
            </w:r>
            <w:r>
              <w:rPr>
                <w:rFonts w:eastAsiaTheme="minorEastAsia"/>
                <w:color w:val="000000" w:themeColor="text1"/>
                <w:szCs w:val="21"/>
              </w:rPr>
              <w:t>）</w:t>
            </w:r>
          </w:p>
          <w:p>
            <w:pPr>
              <w:spacing w:line="280" w:lineRule="exact"/>
              <w:jc w:val="center"/>
              <w:rPr>
                <w:rFonts w:eastAsiaTheme="minorEastAsia"/>
                <w:color w:val="000000" w:themeColor="text1"/>
                <w:szCs w:val="21"/>
              </w:rPr>
            </w:pPr>
            <w:r>
              <w:rPr>
                <w:rFonts w:eastAsiaTheme="minorEastAsia"/>
                <w:color w:val="000000" w:themeColor="text1"/>
                <w:szCs w:val="21"/>
              </w:rPr>
              <w:t>第6.10条</w:t>
            </w:r>
          </w:p>
        </w:tc>
        <w:tc>
          <w:tcPr>
            <w:tcW w:w="2268" w:type="dxa"/>
            <w:vAlign w:val="center"/>
          </w:tcPr>
          <w:p>
            <w:pPr>
              <w:spacing w:line="280" w:lineRule="exact"/>
              <w:rPr>
                <w:rFonts w:eastAsiaTheme="minorEastAsia"/>
                <w:color w:val="000000" w:themeColor="text1"/>
                <w:szCs w:val="21"/>
              </w:rPr>
            </w:pPr>
            <w:r>
              <w:rPr>
                <w:rFonts w:eastAsiaTheme="minorEastAsia"/>
                <w:color w:val="000000" w:themeColor="text1"/>
                <w:szCs w:val="21"/>
              </w:rPr>
              <w:t>甲醇罐区等建（构）筑物已设置防雷装置，</w:t>
            </w:r>
            <w:r>
              <w:rPr>
                <w:rFonts w:hint="eastAsia" w:eastAsiaTheme="minorEastAsia"/>
                <w:color w:val="000000" w:themeColor="text1"/>
                <w:szCs w:val="21"/>
                <w:lang w:val="en-US" w:eastAsia="zh-CN"/>
              </w:rPr>
              <w:t>2025年</w:t>
            </w:r>
            <w:r>
              <w:rPr>
                <w:rFonts w:hint="eastAsia"/>
                <w:color w:val="000000" w:themeColor="text1"/>
                <w:szCs w:val="21"/>
              </w:rPr>
              <w:t>经云南省气象灾害防御技术中心</w:t>
            </w:r>
            <w:r>
              <w:rPr>
                <w:rFonts w:eastAsiaTheme="minorEastAsia"/>
                <w:color w:val="000000" w:themeColor="text1"/>
                <w:szCs w:val="21"/>
              </w:rPr>
              <w:t>进行了检测，并出具了检测报告，详见报告附件。</w:t>
            </w:r>
          </w:p>
        </w:tc>
        <w:tc>
          <w:tcPr>
            <w:tcW w:w="748" w:type="dxa"/>
            <w:vAlign w:val="center"/>
          </w:tcPr>
          <w:p>
            <w:pPr>
              <w:spacing w:line="280" w:lineRule="exact"/>
              <w:jc w:val="center"/>
              <w:rPr>
                <w:rFonts w:eastAsiaTheme="minorEastAsia"/>
                <w:color w:val="000000" w:themeColor="text1"/>
                <w:szCs w:val="21"/>
              </w:rPr>
            </w:pPr>
            <w:r>
              <w:rPr>
                <w:rFonts w:eastAsiaTheme="minorEastAsia"/>
                <w:color w:val="000000" w:themeColor="text1"/>
                <w:szCs w:val="21"/>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73" w:type="dxa"/>
            <w:vAlign w:val="center"/>
          </w:tcPr>
          <w:p>
            <w:pPr>
              <w:numPr>
                <w:ilvl w:val="0"/>
                <w:numId w:val="22"/>
              </w:numPr>
              <w:spacing w:line="280" w:lineRule="exact"/>
              <w:jc w:val="center"/>
              <w:rPr>
                <w:rFonts w:eastAsiaTheme="minorEastAsia"/>
                <w:color w:val="000000" w:themeColor="text1"/>
                <w:szCs w:val="21"/>
              </w:rPr>
            </w:pPr>
          </w:p>
        </w:tc>
        <w:tc>
          <w:tcPr>
            <w:tcW w:w="2977" w:type="dxa"/>
            <w:vAlign w:val="center"/>
          </w:tcPr>
          <w:p>
            <w:pPr>
              <w:spacing w:line="280" w:lineRule="exact"/>
              <w:rPr>
                <w:rFonts w:eastAsiaTheme="minorEastAsia"/>
                <w:color w:val="000000" w:themeColor="text1"/>
                <w:szCs w:val="21"/>
              </w:rPr>
            </w:pPr>
            <w:r>
              <w:rPr>
                <w:rFonts w:eastAsiaTheme="minorEastAsia"/>
                <w:color w:val="000000" w:themeColor="text1"/>
                <w:szCs w:val="21"/>
              </w:rPr>
              <w:t>易燃液体泵房（棚）的防雷应按第二类防雷建筑物设防。</w:t>
            </w:r>
          </w:p>
        </w:tc>
        <w:tc>
          <w:tcPr>
            <w:tcW w:w="2552" w:type="dxa"/>
            <w:vAlign w:val="center"/>
          </w:tcPr>
          <w:p>
            <w:pPr>
              <w:spacing w:line="280" w:lineRule="exact"/>
              <w:jc w:val="center"/>
              <w:rPr>
                <w:rFonts w:eastAsiaTheme="minorEastAsia"/>
                <w:color w:val="000000" w:themeColor="text1"/>
                <w:szCs w:val="21"/>
              </w:rPr>
            </w:pPr>
            <w:r>
              <w:rPr>
                <w:rFonts w:eastAsiaTheme="minorEastAsia"/>
                <w:color w:val="000000" w:themeColor="text1"/>
                <w:szCs w:val="21"/>
              </w:rPr>
              <w:t>《汽车加油加气加氢站技术标准》（GB50156-2021）第14.2.9条</w:t>
            </w:r>
          </w:p>
        </w:tc>
        <w:tc>
          <w:tcPr>
            <w:tcW w:w="2268" w:type="dxa"/>
            <w:vAlign w:val="center"/>
          </w:tcPr>
          <w:p>
            <w:pPr>
              <w:spacing w:line="280" w:lineRule="exact"/>
              <w:rPr>
                <w:rFonts w:eastAsiaTheme="minorEastAsia"/>
                <w:color w:val="000000" w:themeColor="text1"/>
                <w:szCs w:val="21"/>
              </w:rPr>
            </w:pPr>
            <w:r>
              <w:rPr>
                <w:rFonts w:eastAsiaTheme="minorEastAsia"/>
                <w:color w:val="000000" w:themeColor="text1"/>
                <w:szCs w:val="21"/>
              </w:rPr>
              <w:t>根据该项目区《防雷装置安全检测报告书》，其防雷类别为二类。</w:t>
            </w:r>
          </w:p>
        </w:tc>
        <w:tc>
          <w:tcPr>
            <w:tcW w:w="748" w:type="dxa"/>
          </w:tcPr>
          <w:p>
            <w:pPr>
              <w:spacing w:line="280" w:lineRule="exact"/>
              <w:jc w:val="center"/>
              <w:rPr>
                <w:rFonts w:eastAsiaTheme="minorEastAsia"/>
                <w:color w:val="000000" w:themeColor="text1"/>
                <w:szCs w:val="21"/>
              </w:rPr>
            </w:pPr>
          </w:p>
          <w:p>
            <w:pPr>
              <w:spacing w:line="280" w:lineRule="exact"/>
              <w:jc w:val="center"/>
              <w:rPr>
                <w:rFonts w:eastAsiaTheme="minorEastAsia"/>
                <w:color w:val="000000" w:themeColor="text1"/>
                <w:szCs w:val="21"/>
              </w:rPr>
            </w:pPr>
            <w:r>
              <w:rPr>
                <w:rFonts w:eastAsiaTheme="minorEastAsia"/>
                <w:color w:val="000000" w:themeColor="text1"/>
                <w:szCs w:val="21"/>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73" w:type="dxa"/>
            <w:vAlign w:val="center"/>
          </w:tcPr>
          <w:p>
            <w:pPr>
              <w:numPr>
                <w:ilvl w:val="0"/>
                <w:numId w:val="22"/>
              </w:numPr>
              <w:spacing w:line="280" w:lineRule="exact"/>
              <w:jc w:val="center"/>
              <w:rPr>
                <w:rFonts w:eastAsiaTheme="minorEastAsia"/>
                <w:color w:val="000000" w:themeColor="text1"/>
                <w:szCs w:val="21"/>
              </w:rPr>
            </w:pPr>
          </w:p>
        </w:tc>
        <w:tc>
          <w:tcPr>
            <w:tcW w:w="2977" w:type="dxa"/>
            <w:vAlign w:val="center"/>
          </w:tcPr>
          <w:p>
            <w:pPr>
              <w:spacing w:line="280" w:lineRule="exact"/>
              <w:rPr>
                <w:rFonts w:eastAsiaTheme="minorEastAsia"/>
                <w:color w:val="000000" w:themeColor="text1"/>
                <w:szCs w:val="21"/>
              </w:rPr>
            </w:pPr>
            <w:r>
              <w:rPr>
                <w:rFonts w:eastAsiaTheme="minorEastAsia"/>
                <w:color w:val="000000" w:themeColor="text1"/>
                <w:szCs w:val="21"/>
              </w:rPr>
              <w:t>储存甲、乙、丙A类液体的钢储罐，应采取防静电措施。</w:t>
            </w:r>
          </w:p>
        </w:tc>
        <w:tc>
          <w:tcPr>
            <w:tcW w:w="2552" w:type="dxa"/>
            <w:vAlign w:val="center"/>
          </w:tcPr>
          <w:p>
            <w:pPr>
              <w:tabs>
                <w:tab w:val="left" w:pos="2898"/>
              </w:tabs>
              <w:spacing w:line="280" w:lineRule="exact"/>
              <w:jc w:val="center"/>
              <w:rPr>
                <w:rFonts w:eastAsiaTheme="minorEastAsia"/>
                <w:color w:val="000000" w:themeColor="text1"/>
                <w:szCs w:val="21"/>
              </w:rPr>
            </w:pPr>
            <w:r>
              <w:rPr>
                <w:rFonts w:eastAsiaTheme="minorEastAsia"/>
                <w:color w:val="000000" w:themeColor="text1"/>
                <w:szCs w:val="21"/>
              </w:rPr>
              <w:t>《汽车加油加气加氢站技术标准》（GB50156-2021）第14.3.1条</w:t>
            </w:r>
          </w:p>
        </w:tc>
        <w:tc>
          <w:tcPr>
            <w:tcW w:w="2268" w:type="dxa"/>
            <w:vAlign w:val="center"/>
          </w:tcPr>
          <w:p>
            <w:pPr>
              <w:spacing w:line="280" w:lineRule="exact"/>
              <w:rPr>
                <w:rFonts w:eastAsiaTheme="minorEastAsia"/>
                <w:color w:val="000000" w:themeColor="text1"/>
                <w:szCs w:val="21"/>
              </w:rPr>
            </w:pPr>
            <w:r>
              <w:rPr>
                <w:rFonts w:eastAsiaTheme="minorEastAsia"/>
                <w:color w:val="000000" w:themeColor="text1"/>
                <w:szCs w:val="21"/>
              </w:rPr>
              <w:t>甲醇罐已采取了防静电措施。</w:t>
            </w:r>
          </w:p>
        </w:tc>
        <w:tc>
          <w:tcPr>
            <w:tcW w:w="748" w:type="dxa"/>
            <w:vAlign w:val="center"/>
          </w:tcPr>
          <w:p>
            <w:pPr>
              <w:spacing w:line="280" w:lineRule="exact"/>
              <w:jc w:val="center"/>
              <w:rPr>
                <w:rFonts w:eastAsiaTheme="minorEastAsia"/>
                <w:color w:val="000000" w:themeColor="text1"/>
                <w:szCs w:val="21"/>
              </w:rPr>
            </w:pPr>
            <w:r>
              <w:rPr>
                <w:rFonts w:eastAsiaTheme="minorEastAsia"/>
                <w:color w:val="000000" w:themeColor="text1"/>
                <w:szCs w:val="21"/>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73" w:type="dxa"/>
            <w:vAlign w:val="center"/>
          </w:tcPr>
          <w:p>
            <w:pPr>
              <w:numPr>
                <w:ilvl w:val="0"/>
                <w:numId w:val="22"/>
              </w:numPr>
              <w:spacing w:line="280" w:lineRule="exact"/>
              <w:jc w:val="center"/>
              <w:rPr>
                <w:rFonts w:eastAsiaTheme="minorEastAsia"/>
                <w:color w:val="000000" w:themeColor="text1"/>
                <w:szCs w:val="21"/>
              </w:rPr>
            </w:pPr>
          </w:p>
        </w:tc>
        <w:tc>
          <w:tcPr>
            <w:tcW w:w="2977" w:type="dxa"/>
            <w:vAlign w:val="center"/>
          </w:tcPr>
          <w:p>
            <w:pPr>
              <w:spacing w:line="280" w:lineRule="exact"/>
              <w:rPr>
                <w:rFonts w:eastAsiaTheme="minorEastAsia"/>
                <w:color w:val="000000" w:themeColor="text1"/>
                <w:szCs w:val="21"/>
              </w:rPr>
            </w:pPr>
            <w:r>
              <w:rPr>
                <w:rFonts w:eastAsiaTheme="minorEastAsia"/>
                <w:color w:val="000000" w:themeColor="text1"/>
                <w:szCs w:val="21"/>
              </w:rPr>
              <w:t>甲、乙和丙A类液体的汽车罐车或灌桶设施，应设置与罐车或桶跨接的防静电接地装置。</w:t>
            </w:r>
          </w:p>
        </w:tc>
        <w:tc>
          <w:tcPr>
            <w:tcW w:w="2552" w:type="dxa"/>
            <w:vAlign w:val="center"/>
          </w:tcPr>
          <w:p>
            <w:pPr>
              <w:spacing w:line="280" w:lineRule="exact"/>
              <w:jc w:val="center"/>
              <w:rPr>
                <w:rFonts w:eastAsiaTheme="minorEastAsia"/>
                <w:color w:val="000000" w:themeColor="text1"/>
                <w:szCs w:val="21"/>
              </w:rPr>
            </w:pPr>
            <w:r>
              <w:rPr>
                <w:rFonts w:eastAsiaTheme="minorEastAsia"/>
                <w:color w:val="000000" w:themeColor="text1"/>
                <w:szCs w:val="21"/>
              </w:rPr>
              <w:t>《汽车加油加气加氢站技术标准》（GB50156-2021）第14.3.8条</w:t>
            </w:r>
          </w:p>
        </w:tc>
        <w:tc>
          <w:tcPr>
            <w:tcW w:w="2268" w:type="dxa"/>
            <w:vAlign w:val="center"/>
          </w:tcPr>
          <w:p>
            <w:pPr>
              <w:spacing w:line="280" w:lineRule="exact"/>
              <w:rPr>
                <w:rFonts w:eastAsiaTheme="minorEastAsia"/>
                <w:color w:val="000000" w:themeColor="text1"/>
                <w:szCs w:val="21"/>
              </w:rPr>
            </w:pPr>
            <w:r>
              <w:rPr>
                <w:rFonts w:eastAsiaTheme="minorEastAsia"/>
                <w:color w:val="000000" w:themeColor="text1"/>
                <w:szCs w:val="21"/>
              </w:rPr>
              <w:t>汽车装车区静电夹安装在</w:t>
            </w:r>
            <w:r>
              <w:rPr>
                <w:rFonts w:hint="eastAsia" w:eastAsiaTheme="minorEastAsia"/>
                <w:color w:val="000000" w:themeColor="text1"/>
                <w:szCs w:val="21"/>
              </w:rPr>
              <w:t>卸车口一侧</w:t>
            </w:r>
            <w:r>
              <w:rPr>
                <w:rFonts w:eastAsiaTheme="minorEastAsia"/>
                <w:color w:val="000000" w:themeColor="text1"/>
                <w:szCs w:val="21"/>
              </w:rPr>
              <w:t>。</w:t>
            </w:r>
          </w:p>
        </w:tc>
        <w:tc>
          <w:tcPr>
            <w:tcW w:w="748" w:type="dxa"/>
            <w:vAlign w:val="center"/>
          </w:tcPr>
          <w:p>
            <w:pPr>
              <w:spacing w:line="280" w:lineRule="exact"/>
              <w:jc w:val="center"/>
              <w:rPr>
                <w:rFonts w:eastAsiaTheme="minorEastAsia"/>
                <w:color w:val="000000" w:themeColor="text1"/>
                <w:szCs w:val="21"/>
              </w:rPr>
            </w:pPr>
            <w:r>
              <w:rPr>
                <w:rFonts w:eastAsiaTheme="minorEastAsia"/>
                <w:color w:val="000000" w:themeColor="text1"/>
                <w:szCs w:val="21"/>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73" w:type="dxa"/>
            <w:vAlign w:val="center"/>
          </w:tcPr>
          <w:p>
            <w:pPr>
              <w:numPr>
                <w:ilvl w:val="0"/>
                <w:numId w:val="22"/>
              </w:numPr>
              <w:spacing w:line="280" w:lineRule="exact"/>
              <w:jc w:val="center"/>
              <w:rPr>
                <w:rFonts w:eastAsiaTheme="minorEastAsia"/>
                <w:color w:val="000000" w:themeColor="text1"/>
                <w:szCs w:val="21"/>
              </w:rPr>
            </w:pPr>
          </w:p>
        </w:tc>
        <w:tc>
          <w:tcPr>
            <w:tcW w:w="2977" w:type="dxa"/>
          </w:tcPr>
          <w:p>
            <w:pPr>
              <w:spacing w:line="280" w:lineRule="exact"/>
              <w:rPr>
                <w:rFonts w:eastAsiaTheme="minorEastAsia"/>
                <w:color w:val="000000" w:themeColor="text1"/>
                <w:szCs w:val="21"/>
              </w:rPr>
            </w:pPr>
            <w:r>
              <w:rPr>
                <w:rFonts w:eastAsiaTheme="minorEastAsia"/>
                <w:color w:val="000000" w:themeColor="text1"/>
                <w:szCs w:val="21"/>
              </w:rPr>
              <w:t>下列甲、乙、丙A类液体作业场所，应设消除人体静电装置：（1）泵房的门外；（2）储罐的上罐扶梯入口处；（3）装卸作业区内操作平台的扶梯入口处；（4）码头上下船的出入口处。</w:t>
            </w:r>
          </w:p>
        </w:tc>
        <w:tc>
          <w:tcPr>
            <w:tcW w:w="2552" w:type="dxa"/>
            <w:vAlign w:val="center"/>
          </w:tcPr>
          <w:p>
            <w:pPr>
              <w:spacing w:line="280" w:lineRule="exact"/>
              <w:jc w:val="center"/>
              <w:rPr>
                <w:rFonts w:eastAsiaTheme="minorEastAsia"/>
                <w:color w:val="000000" w:themeColor="text1"/>
                <w:szCs w:val="21"/>
              </w:rPr>
            </w:pPr>
            <w:r>
              <w:rPr>
                <w:rFonts w:eastAsiaTheme="minorEastAsia"/>
                <w:color w:val="000000" w:themeColor="text1"/>
                <w:szCs w:val="21"/>
              </w:rPr>
              <w:t>《汽车加油加气加氢站技术标准》（GB50156-2021）第14.3.14条</w:t>
            </w:r>
          </w:p>
        </w:tc>
        <w:tc>
          <w:tcPr>
            <w:tcW w:w="2268" w:type="dxa"/>
            <w:vAlign w:val="center"/>
          </w:tcPr>
          <w:p>
            <w:pPr>
              <w:spacing w:line="280" w:lineRule="exact"/>
              <w:rPr>
                <w:rFonts w:eastAsiaTheme="minorEastAsia"/>
                <w:color w:val="000000" w:themeColor="text1"/>
                <w:szCs w:val="21"/>
              </w:rPr>
            </w:pPr>
            <w:r>
              <w:rPr>
                <w:rFonts w:eastAsiaTheme="minorEastAsia"/>
                <w:color w:val="000000" w:themeColor="text1"/>
                <w:szCs w:val="21"/>
              </w:rPr>
              <w:t>评价现场检查时，装卸区域</w:t>
            </w:r>
            <w:r>
              <w:rPr>
                <w:rFonts w:hint="eastAsia" w:eastAsiaTheme="minorEastAsia"/>
                <w:color w:val="000000" w:themeColor="text1"/>
                <w:szCs w:val="21"/>
              </w:rPr>
              <w:t>未</w:t>
            </w:r>
            <w:r>
              <w:rPr>
                <w:rFonts w:eastAsiaTheme="minorEastAsia"/>
                <w:color w:val="000000" w:themeColor="text1"/>
                <w:szCs w:val="21"/>
              </w:rPr>
              <w:t>安装有</w:t>
            </w:r>
            <w:r>
              <w:rPr>
                <w:rFonts w:eastAsiaTheme="minorEastAsia"/>
                <w:color w:val="000000" w:themeColor="text1"/>
              </w:rPr>
              <w:t>消除人体静电装置</w:t>
            </w:r>
            <w:r>
              <w:rPr>
                <w:rFonts w:eastAsiaTheme="minorEastAsia"/>
                <w:color w:val="000000" w:themeColor="text1"/>
                <w:szCs w:val="21"/>
              </w:rPr>
              <w:t>。</w:t>
            </w:r>
          </w:p>
        </w:tc>
        <w:tc>
          <w:tcPr>
            <w:tcW w:w="748" w:type="dxa"/>
            <w:vAlign w:val="center"/>
          </w:tcPr>
          <w:p>
            <w:pPr>
              <w:spacing w:line="280" w:lineRule="exact"/>
              <w:jc w:val="center"/>
              <w:rPr>
                <w:rFonts w:eastAsiaTheme="minorEastAsia"/>
                <w:color w:val="000000" w:themeColor="text1"/>
                <w:szCs w:val="21"/>
              </w:rPr>
            </w:pPr>
            <w:r>
              <w:rPr>
                <w:rFonts w:hint="eastAsia" w:eastAsiaTheme="minorEastAsia"/>
                <w:color w:val="000000" w:themeColor="text1"/>
                <w:szCs w:val="21"/>
              </w:rPr>
              <w:t>不</w:t>
            </w:r>
            <w:r>
              <w:rPr>
                <w:rFonts w:eastAsiaTheme="minorEastAsia"/>
                <w:color w:val="000000" w:themeColor="text1"/>
                <w:szCs w:val="21"/>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73" w:type="dxa"/>
            <w:vAlign w:val="center"/>
          </w:tcPr>
          <w:p>
            <w:pPr>
              <w:numPr>
                <w:ilvl w:val="0"/>
                <w:numId w:val="22"/>
              </w:numPr>
              <w:spacing w:line="280" w:lineRule="exact"/>
              <w:jc w:val="center"/>
              <w:rPr>
                <w:rFonts w:eastAsiaTheme="minorEastAsia"/>
                <w:color w:val="000000" w:themeColor="text1"/>
                <w:szCs w:val="21"/>
              </w:rPr>
            </w:pPr>
          </w:p>
        </w:tc>
        <w:tc>
          <w:tcPr>
            <w:tcW w:w="2977" w:type="dxa"/>
            <w:vAlign w:val="center"/>
          </w:tcPr>
          <w:p>
            <w:pPr>
              <w:spacing w:line="280" w:lineRule="exact"/>
              <w:rPr>
                <w:rFonts w:eastAsiaTheme="minorEastAsia"/>
                <w:color w:val="000000" w:themeColor="text1"/>
                <w:szCs w:val="21"/>
              </w:rPr>
            </w:pPr>
            <w:r>
              <w:rPr>
                <w:rFonts w:eastAsiaTheme="minorEastAsia"/>
                <w:color w:val="000000" w:themeColor="text1"/>
                <w:szCs w:val="21"/>
              </w:rPr>
              <w:t>可能产生静电危害的工作场所，应配置个人防静电防护用品。重点防火、防爆作业区的入口处，应设计人体导除静电装置。</w:t>
            </w:r>
          </w:p>
        </w:tc>
        <w:tc>
          <w:tcPr>
            <w:tcW w:w="2552" w:type="dxa"/>
            <w:vAlign w:val="center"/>
          </w:tcPr>
          <w:p>
            <w:pPr>
              <w:spacing w:line="280" w:lineRule="exact"/>
              <w:rPr>
                <w:rFonts w:eastAsiaTheme="minorEastAsia"/>
                <w:color w:val="000000" w:themeColor="text1"/>
              </w:rPr>
            </w:pPr>
            <w:r>
              <w:rPr>
                <w:rFonts w:eastAsiaTheme="minorEastAsia"/>
                <w:color w:val="000000" w:themeColor="text1"/>
              </w:rPr>
              <w:t>《化工企业安全卫生设计规范》（HG20571-2014）</w:t>
            </w:r>
          </w:p>
          <w:p>
            <w:pPr>
              <w:spacing w:line="280" w:lineRule="exact"/>
              <w:jc w:val="center"/>
              <w:rPr>
                <w:rFonts w:eastAsiaTheme="minorEastAsia"/>
                <w:color w:val="000000" w:themeColor="text1"/>
                <w:szCs w:val="21"/>
              </w:rPr>
            </w:pPr>
            <w:r>
              <w:rPr>
                <w:rFonts w:eastAsiaTheme="minorEastAsia"/>
                <w:color w:val="000000" w:themeColor="text1"/>
              </w:rPr>
              <w:t>第4.2.10条</w:t>
            </w:r>
          </w:p>
        </w:tc>
        <w:tc>
          <w:tcPr>
            <w:tcW w:w="2268" w:type="dxa"/>
            <w:vAlign w:val="center"/>
          </w:tcPr>
          <w:p>
            <w:pPr>
              <w:spacing w:line="280" w:lineRule="exact"/>
              <w:rPr>
                <w:rFonts w:eastAsiaTheme="minorEastAsia"/>
                <w:color w:val="000000" w:themeColor="text1"/>
                <w:szCs w:val="21"/>
              </w:rPr>
            </w:pPr>
            <w:r>
              <w:rPr>
                <w:rFonts w:eastAsiaTheme="minorEastAsia"/>
                <w:color w:val="000000" w:themeColor="text1"/>
                <w:szCs w:val="21"/>
              </w:rPr>
              <w:t>评价现场检查时，</w:t>
            </w:r>
            <w:r>
              <w:rPr>
                <w:rFonts w:hint="eastAsia" w:eastAsiaTheme="minorEastAsia"/>
                <w:color w:val="000000" w:themeColor="text1"/>
                <w:szCs w:val="21"/>
              </w:rPr>
              <w:t>现场检查工作人员未穿戴防静电工作服进行作业</w:t>
            </w:r>
            <w:r>
              <w:rPr>
                <w:rFonts w:eastAsiaTheme="minorEastAsia"/>
                <w:color w:val="000000" w:themeColor="text1"/>
                <w:szCs w:val="21"/>
              </w:rPr>
              <w:t>。</w:t>
            </w:r>
          </w:p>
        </w:tc>
        <w:tc>
          <w:tcPr>
            <w:tcW w:w="748" w:type="dxa"/>
            <w:vAlign w:val="center"/>
          </w:tcPr>
          <w:p>
            <w:pPr>
              <w:spacing w:line="280" w:lineRule="exact"/>
              <w:jc w:val="center"/>
              <w:rPr>
                <w:rFonts w:eastAsiaTheme="minorEastAsia"/>
                <w:color w:val="000000" w:themeColor="text1"/>
                <w:szCs w:val="21"/>
              </w:rPr>
            </w:pPr>
            <w:r>
              <w:rPr>
                <w:rFonts w:hint="eastAsia" w:eastAsiaTheme="minorEastAsia"/>
                <w:color w:val="000000" w:themeColor="text1"/>
                <w:szCs w:val="21"/>
              </w:rPr>
              <w:t>不</w:t>
            </w:r>
            <w:r>
              <w:rPr>
                <w:rFonts w:eastAsiaTheme="minorEastAsia"/>
                <w:color w:val="000000" w:themeColor="text1"/>
                <w:szCs w:val="21"/>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73" w:type="dxa"/>
            <w:vAlign w:val="center"/>
          </w:tcPr>
          <w:p>
            <w:pPr>
              <w:tabs>
                <w:tab w:val="left" w:pos="533"/>
              </w:tabs>
              <w:spacing w:line="280" w:lineRule="exact"/>
              <w:ind w:left="113"/>
              <w:jc w:val="center"/>
              <w:rPr>
                <w:rFonts w:eastAsiaTheme="minorEastAsia"/>
                <w:b/>
                <w:color w:val="000000" w:themeColor="text1"/>
                <w:szCs w:val="21"/>
              </w:rPr>
            </w:pPr>
            <w:r>
              <w:rPr>
                <w:rFonts w:eastAsiaTheme="minorEastAsia"/>
                <w:b/>
                <w:color w:val="000000" w:themeColor="text1"/>
                <w:szCs w:val="21"/>
              </w:rPr>
              <w:t>四</w:t>
            </w:r>
          </w:p>
        </w:tc>
        <w:tc>
          <w:tcPr>
            <w:tcW w:w="2977" w:type="dxa"/>
            <w:vAlign w:val="center"/>
          </w:tcPr>
          <w:p>
            <w:pPr>
              <w:spacing w:line="280" w:lineRule="exact"/>
              <w:rPr>
                <w:rFonts w:eastAsiaTheme="minorEastAsia"/>
                <w:color w:val="000000" w:themeColor="text1"/>
                <w:szCs w:val="21"/>
              </w:rPr>
            </w:pPr>
            <w:r>
              <w:rPr>
                <w:rFonts w:eastAsiaTheme="minorEastAsia"/>
                <w:b/>
                <w:bCs/>
                <w:color w:val="000000" w:themeColor="text1"/>
                <w:szCs w:val="21"/>
              </w:rPr>
              <w:t>防机械伤害设施</w:t>
            </w:r>
          </w:p>
        </w:tc>
        <w:tc>
          <w:tcPr>
            <w:tcW w:w="2552" w:type="dxa"/>
            <w:vAlign w:val="center"/>
          </w:tcPr>
          <w:p>
            <w:pPr>
              <w:spacing w:line="280" w:lineRule="exact"/>
              <w:rPr>
                <w:rFonts w:eastAsiaTheme="minorEastAsia"/>
                <w:color w:val="000000" w:themeColor="text1"/>
              </w:rPr>
            </w:pPr>
          </w:p>
        </w:tc>
        <w:tc>
          <w:tcPr>
            <w:tcW w:w="2268" w:type="dxa"/>
            <w:vAlign w:val="center"/>
          </w:tcPr>
          <w:p>
            <w:pPr>
              <w:spacing w:line="280" w:lineRule="exact"/>
              <w:rPr>
                <w:rFonts w:eastAsiaTheme="minorEastAsia"/>
                <w:color w:val="000000" w:themeColor="text1"/>
                <w:szCs w:val="21"/>
              </w:rPr>
            </w:pPr>
          </w:p>
        </w:tc>
        <w:tc>
          <w:tcPr>
            <w:tcW w:w="748" w:type="dxa"/>
            <w:vAlign w:val="center"/>
          </w:tcPr>
          <w:p>
            <w:pPr>
              <w:spacing w:line="280" w:lineRule="exact"/>
              <w:jc w:val="center"/>
              <w:rPr>
                <w:rFonts w:eastAsiaTheme="minorEastAsia"/>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73" w:type="dxa"/>
            <w:vAlign w:val="center"/>
          </w:tcPr>
          <w:p>
            <w:pPr>
              <w:numPr>
                <w:ilvl w:val="0"/>
                <w:numId w:val="22"/>
              </w:numPr>
              <w:spacing w:line="280" w:lineRule="exact"/>
              <w:jc w:val="center"/>
              <w:rPr>
                <w:rFonts w:eastAsiaTheme="minorEastAsia"/>
                <w:color w:val="000000" w:themeColor="text1"/>
                <w:szCs w:val="21"/>
              </w:rPr>
            </w:pPr>
          </w:p>
        </w:tc>
        <w:tc>
          <w:tcPr>
            <w:tcW w:w="2977" w:type="dxa"/>
            <w:vAlign w:val="center"/>
          </w:tcPr>
          <w:p>
            <w:pPr>
              <w:spacing w:line="280" w:lineRule="exact"/>
              <w:rPr>
                <w:rFonts w:eastAsiaTheme="minorEastAsia"/>
                <w:color w:val="000000" w:themeColor="text1"/>
                <w:szCs w:val="21"/>
              </w:rPr>
            </w:pPr>
            <w:r>
              <w:rPr>
                <w:rFonts w:eastAsiaTheme="minorEastAsia"/>
                <w:color w:val="000000" w:themeColor="text1"/>
                <w:kern w:val="0"/>
                <w:szCs w:val="21"/>
              </w:rPr>
              <w:t>运动的传动部件：对于带轮、传动带、齿条齿轮和传动轴等传动部件产生的危险，应采用固定式防护装置或联锁的活动式防护装置进行防护</w:t>
            </w:r>
            <w:r>
              <w:rPr>
                <w:rFonts w:eastAsiaTheme="minorEastAsia"/>
                <w:color w:val="000000" w:themeColor="text1"/>
                <w:szCs w:val="21"/>
              </w:rPr>
              <w:t>。</w:t>
            </w:r>
          </w:p>
        </w:tc>
        <w:tc>
          <w:tcPr>
            <w:tcW w:w="2552" w:type="dxa"/>
            <w:vAlign w:val="center"/>
          </w:tcPr>
          <w:p>
            <w:pPr>
              <w:tabs>
                <w:tab w:val="left" w:pos="2898"/>
              </w:tabs>
              <w:spacing w:line="280" w:lineRule="exact"/>
              <w:jc w:val="center"/>
              <w:rPr>
                <w:rFonts w:eastAsiaTheme="minorEastAsia"/>
                <w:color w:val="000000" w:themeColor="text1"/>
              </w:rPr>
            </w:pPr>
            <w:r>
              <w:rPr>
                <w:rFonts w:eastAsiaTheme="minorEastAsia"/>
                <w:color w:val="000000" w:themeColor="text1"/>
                <w:szCs w:val="21"/>
              </w:rPr>
              <w:t>《机械安全防护装置 固定式和活动式防护装置的设计与制造一般要求》（GB/T 8196-2018）第6.4.2条</w:t>
            </w:r>
          </w:p>
        </w:tc>
        <w:tc>
          <w:tcPr>
            <w:tcW w:w="2268" w:type="dxa"/>
            <w:vAlign w:val="center"/>
          </w:tcPr>
          <w:p>
            <w:pPr>
              <w:spacing w:line="280" w:lineRule="exact"/>
              <w:rPr>
                <w:rFonts w:eastAsiaTheme="minorEastAsia"/>
                <w:color w:val="000000" w:themeColor="text1"/>
                <w:szCs w:val="21"/>
              </w:rPr>
            </w:pPr>
            <w:r>
              <w:rPr>
                <w:rFonts w:eastAsiaTheme="minorEastAsia"/>
                <w:color w:val="000000" w:themeColor="text1"/>
                <w:szCs w:val="21"/>
              </w:rPr>
              <w:t>评价组现场检查时，现场未见运动传动部件。</w:t>
            </w:r>
          </w:p>
        </w:tc>
        <w:tc>
          <w:tcPr>
            <w:tcW w:w="748" w:type="dxa"/>
            <w:vAlign w:val="center"/>
          </w:tcPr>
          <w:p>
            <w:pPr>
              <w:spacing w:line="280" w:lineRule="exact"/>
              <w:jc w:val="center"/>
              <w:rPr>
                <w:rFonts w:eastAsiaTheme="minorEastAsia"/>
                <w:color w:val="000000" w:themeColor="text1"/>
                <w:szCs w:val="21"/>
              </w:rPr>
            </w:pPr>
            <w:r>
              <w:rPr>
                <w:rFonts w:eastAsiaTheme="minorEastAsia"/>
                <w:color w:val="000000" w:themeColor="text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73" w:type="dxa"/>
            <w:vAlign w:val="center"/>
          </w:tcPr>
          <w:p>
            <w:pPr>
              <w:tabs>
                <w:tab w:val="left" w:pos="533"/>
              </w:tabs>
              <w:spacing w:line="280" w:lineRule="exact"/>
              <w:rPr>
                <w:rFonts w:eastAsiaTheme="minorEastAsia"/>
                <w:b/>
                <w:color w:val="000000" w:themeColor="text1"/>
                <w:szCs w:val="21"/>
              </w:rPr>
            </w:pPr>
            <w:r>
              <w:rPr>
                <w:rFonts w:eastAsiaTheme="minorEastAsia"/>
                <w:b/>
                <w:color w:val="000000" w:themeColor="text1"/>
                <w:szCs w:val="21"/>
              </w:rPr>
              <w:t>五</w:t>
            </w:r>
          </w:p>
        </w:tc>
        <w:tc>
          <w:tcPr>
            <w:tcW w:w="2977" w:type="dxa"/>
            <w:vAlign w:val="center"/>
          </w:tcPr>
          <w:p>
            <w:pPr>
              <w:spacing w:line="280" w:lineRule="exact"/>
              <w:rPr>
                <w:rFonts w:eastAsiaTheme="minorEastAsia"/>
                <w:color w:val="000000" w:themeColor="text1"/>
                <w:kern w:val="0"/>
                <w:szCs w:val="21"/>
              </w:rPr>
            </w:pPr>
            <w:r>
              <w:rPr>
                <w:rFonts w:eastAsiaTheme="minorEastAsia"/>
                <w:b/>
                <w:color w:val="000000" w:themeColor="text1"/>
                <w:szCs w:val="21"/>
              </w:rPr>
              <w:t>防触电设施</w:t>
            </w:r>
          </w:p>
        </w:tc>
        <w:tc>
          <w:tcPr>
            <w:tcW w:w="2552" w:type="dxa"/>
            <w:vAlign w:val="center"/>
          </w:tcPr>
          <w:p>
            <w:pPr>
              <w:tabs>
                <w:tab w:val="left" w:pos="2898"/>
              </w:tabs>
              <w:spacing w:line="280" w:lineRule="exact"/>
              <w:jc w:val="center"/>
              <w:rPr>
                <w:rFonts w:eastAsiaTheme="minorEastAsia"/>
                <w:color w:val="000000" w:themeColor="text1"/>
                <w:szCs w:val="21"/>
              </w:rPr>
            </w:pPr>
          </w:p>
        </w:tc>
        <w:tc>
          <w:tcPr>
            <w:tcW w:w="2268" w:type="dxa"/>
            <w:vAlign w:val="center"/>
          </w:tcPr>
          <w:p>
            <w:pPr>
              <w:spacing w:line="280" w:lineRule="exact"/>
              <w:rPr>
                <w:rFonts w:eastAsiaTheme="minorEastAsia"/>
                <w:color w:val="000000" w:themeColor="text1"/>
                <w:szCs w:val="21"/>
              </w:rPr>
            </w:pPr>
          </w:p>
        </w:tc>
        <w:tc>
          <w:tcPr>
            <w:tcW w:w="748" w:type="dxa"/>
            <w:vAlign w:val="center"/>
          </w:tcPr>
          <w:p>
            <w:pPr>
              <w:spacing w:line="280" w:lineRule="exact"/>
              <w:jc w:val="center"/>
              <w:rPr>
                <w:rFonts w:eastAsiaTheme="minorEastAsia"/>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73" w:type="dxa"/>
            <w:vAlign w:val="center"/>
          </w:tcPr>
          <w:p>
            <w:pPr>
              <w:numPr>
                <w:ilvl w:val="0"/>
                <w:numId w:val="22"/>
              </w:numPr>
              <w:spacing w:line="280" w:lineRule="exact"/>
              <w:jc w:val="center"/>
              <w:rPr>
                <w:rFonts w:eastAsiaTheme="minorEastAsia"/>
                <w:color w:val="000000" w:themeColor="text1"/>
                <w:szCs w:val="21"/>
              </w:rPr>
            </w:pPr>
          </w:p>
        </w:tc>
        <w:tc>
          <w:tcPr>
            <w:tcW w:w="2977" w:type="dxa"/>
            <w:vAlign w:val="center"/>
          </w:tcPr>
          <w:p>
            <w:pPr>
              <w:spacing w:line="280" w:lineRule="exact"/>
              <w:rPr>
                <w:rFonts w:eastAsiaTheme="minorEastAsia"/>
                <w:color w:val="000000" w:themeColor="text1"/>
                <w:kern w:val="0"/>
                <w:szCs w:val="21"/>
              </w:rPr>
            </w:pPr>
            <w:r>
              <w:rPr>
                <w:rFonts w:eastAsiaTheme="minorEastAsia"/>
                <w:color w:val="000000" w:themeColor="text1"/>
                <w:szCs w:val="21"/>
              </w:rPr>
              <w:t>正常不带电而事故时可能带电的配电装置及电气设备外露可导电部分，均应按《交流电气装置接地设计规范》（GB/T50065）要求设计可靠接地装置。</w:t>
            </w:r>
          </w:p>
        </w:tc>
        <w:tc>
          <w:tcPr>
            <w:tcW w:w="2552" w:type="dxa"/>
            <w:vAlign w:val="center"/>
          </w:tcPr>
          <w:p>
            <w:pPr>
              <w:spacing w:line="280" w:lineRule="exact"/>
              <w:jc w:val="center"/>
              <w:rPr>
                <w:rFonts w:eastAsiaTheme="minorEastAsia"/>
                <w:color w:val="000000" w:themeColor="text1"/>
                <w:szCs w:val="21"/>
              </w:rPr>
            </w:pPr>
            <w:r>
              <w:rPr>
                <w:rFonts w:eastAsiaTheme="minorEastAsia"/>
                <w:color w:val="000000" w:themeColor="text1"/>
                <w:szCs w:val="21"/>
              </w:rPr>
              <w:t>《化工企业安全卫生设计规范》（HG20571-2014）</w:t>
            </w:r>
          </w:p>
          <w:p>
            <w:pPr>
              <w:spacing w:line="280" w:lineRule="exact"/>
              <w:jc w:val="center"/>
              <w:rPr>
                <w:rFonts w:eastAsiaTheme="minorEastAsia"/>
                <w:color w:val="000000" w:themeColor="text1"/>
                <w:szCs w:val="21"/>
              </w:rPr>
            </w:pPr>
            <w:r>
              <w:rPr>
                <w:rFonts w:eastAsiaTheme="minorEastAsia"/>
                <w:color w:val="000000" w:themeColor="text1"/>
                <w:szCs w:val="21"/>
              </w:rPr>
              <w:t>第4.4.1条</w:t>
            </w:r>
          </w:p>
        </w:tc>
        <w:tc>
          <w:tcPr>
            <w:tcW w:w="2268" w:type="dxa"/>
            <w:vAlign w:val="center"/>
          </w:tcPr>
          <w:p>
            <w:pPr>
              <w:spacing w:line="280" w:lineRule="exact"/>
              <w:rPr>
                <w:rFonts w:eastAsiaTheme="minorEastAsia"/>
                <w:color w:val="000000" w:themeColor="text1"/>
                <w:szCs w:val="21"/>
              </w:rPr>
            </w:pPr>
            <w:r>
              <w:rPr>
                <w:rFonts w:eastAsiaTheme="minorEastAsia"/>
                <w:color w:val="000000" w:themeColor="text1"/>
                <w:szCs w:val="21"/>
              </w:rPr>
              <w:t>项目区主要配电装置及电气设备外露可导电部分采取了接地装置。</w:t>
            </w:r>
          </w:p>
        </w:tc>
        <w:tc>
          <w:tcPr>
            <w:tcW w:w="748" w:type="dxa"/>
            <w:vAlign w:val="center"/>
          </w:tcPr>
          <w:p>
            <w:pPr>
              <w:spacing w:line="280" w:lineRule="exact"/>
              <w:jc w:val="center"/>
              <w:rPr>
                <w:rFonts w:eastAsiaTheme="minorEastAsia"/>
                <w:color w:val="000000" w:themeColor="text1"/>
                <w:szCs w:val="21"/>
              </w:rPr>
            </w:pPr>
            <w:r>
              <w:rPr>
                <w:rFonts w:eastAsiaTheme="minorEastAsia"/>
                <w:color w:val="000000" w:themeColor="text1"/>
                <w:szCs w:val="21"/>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73" w:type="dxa"/>
            <w:vAlign w:val="center"/>
          </w:tcPr>
          <w:p>
            <w:pPr>
              <w:tabs>
                <w:tab w:val="left" w:pos="533"/>
              </w:tabs>
              <w:spacing w:line="280" w:lineRule="exact"/>
              <w:rPr>
                <w:rFonts w:eastAsiaTheme="minorEastAsia"/>
                <w:b/>
                <w:color w:val="000000" w:themeColor="text1"/>
                <w:szCs w:val="21"/>
              </w:rPr>
            </w:pPr>
            <w:r>
              <w:rPr>
                <w:rFonts w:eastAsiaTheme="minorEastAsia"/>
                <w:b/>
                <w:color w:val="000000" w:themeColor="text1"/>
                <w:szCs w:val="21"/>
              </w:rPr>
              <w:t>六</w:t>
            </w:r>
          </w:p>
        </w:tc>
        <w:tc>
          <w:tcPr>
            <w:tcW w:w="2977" w:type="dxa"/>
            <w:vAlign w:val="center"/>
          </w:tcPr>
          <w:p>
            <w:pPr>
              <w:spacing w:line="280" w:lineRule="exact"/>
              <w:rPr>
                <w:rFonts w:eastAsiaTheme="minorEastAsia"/>
                <w:color w:val="000000" w:themeColor="text1"/>
                <w:szCs w:val="21"/>
              </w:rPr>
            </w:pPr>
            <w:r>
              <w:rPr>
                <w:rFonts w:eastAsiaTheme="minorEastAsia"/>
                <w:b/>
                <w:bCs/>
                <w:color w:val="000000" w:themeColor="text1"/>
                <w:kern w:val="0"/>
                <w:szCs w:val="21"/>
              </w:rPr>
              <w:t>安全色与安全标识</w:t>
            </w:r>
          </w:p>
        </w:tc>
        <w:tc>
          <w:tcPr>
            <w:tcW w:w="2552" w:type="dxa"/>
            <w:vAlign w:val="center"/>
          </w:tcPr>
          <w:p>
            <w:pPr>
              <w:spacing w:line="280" w:lineRule="exact"/>
              <w:jc w:val="center"/>
              <w:rPr>
                <w:rFonts w:eastAsiaTheme="minorEastAsia"/>
                <w:color w:val="000000" w:themeColor="text1"/>
                <w:szCs w:val="21"/>
              </w:rPr>
            </w:pPr>
          </w:p>
        </w:tc>
        <w:tc>
          <w:tcPr>
            <w:tcW w:w="2268" w:type="dxa"/>
            <w:vAlign w:val="center"/>
          </w:tcPr>
          <w:p>
            <w:pPr>
              <w:spacing w:line="280" w:lineRule="exact"/>
              <w:rPr>
                <w:rFonts w:eastAsiaTheme="minorEastAsia"/>
                <w:color w:val="000000" w:themeColor="text1"/>
                <w:szCs w:val="21"/>
              </w:rPr>
            </w:pPr>
          </w:p>
        </w:tc>
        <w:tc>
          <w:tcPr>
            <w:tcW w:w="748" w:type="dxa"/>
            <w:vAlign w:val="center"/>
          </w:tcPr>
          <w:p>
            <w:pPr>
              <w:spacing w:line="280" w:lineRule="exact"/>
              <w:jc w:val="center"/>
              <w:rPr>
                <w:rFonts w:eastAsiaTheme="minorEastAsia"/>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73" w:type="dxa"/>
            <w:vAlign w:val="center"/>
          </w:tcPr>
          <w:p>
            <w:pPr>
              <w:numPr>
                <w:ilvl w:val="0"/>
                <w:numId w:val="22"/>
              </w:numPr>
              <w:spacing w:line="280" w:lineRule="exact"/>
              <w:jc w:val="center"/>
              <w:rPr>
                <w:rFonts w:eastAsiaTheme="minorEastAsia"/>
                <w:color w:val="000000" w:themeColor="text1"/>
                <w:szCs w:val="21"/>
              </w:rPr>
            </w:pPr>
          </w:p>
        </w:tc>
        <w:tc>
          <w:tcPr>
            <w:tcW w:w="2977" w:type="dxa"/>
            <w:vAlign w:val="center"/>
          </w:tcPr>
          <w:p>
            <w:pPr>
              <w:spacing w:line="280" w:lineRule="exact"/>
              <w:rPr>
                <w:rFonts w:eastAsiaTheme="minorEastAsia"/>
                <w:color w:val="000000" w:themeColor="text1"/>
                <w:szCs w:val="21"/>
              </w:rPr>
            </w:pPr>
            <w:r>
              <w:rPr>
                <w:rFonts w:eastAsiaTheme="minorEastAsia"/>
                <w:color w:val="000000" w:themeColor="text1"/>
                <w:kern w:val="0"/>
                <w:szCs w:val="21"/>
              </w:rPr>
              <w:t>化学品作业场所安全警示标志应设在与安全有关的醒目处，并使进入作业场所的人员看见后，有足够的时间来注意它所表示的内容。</w:t>
            </w:r>
          </w:p>
        </w:tc>
        <w:tc>
          <w:tcPr>
            <w:tcW w:w="2552" w:type="dxa"/>
            <w:vAlign w:val="center"/>
          </w:tcPr>
          <w:p>
            <w:pPr>
              <w:tabs>
                <w:tab w:val="left" w:pos="2898"/>
              </w:tabs>
              <w:spacing w:line="280" w:lineRule="exact"/>
              <w:jc w:val="center"/>
              <w:rPr>
                <w:rFonts w:eastAsiaTheme="minorEastAsia"/>
                <w:color w:val="000000" w:themeColor="text1"/>
                <w:kern w:val="0"/>
                <w:szCs w:val="21"/>
              </w:rPr>
            </w:pPr>
            <w:r>
              <w:rPr>
                <w:rFonts w:eastAsiaTheme="minorEastAsia"/>
                <w:color w:val="000000" w:themeColor="text1"/>
                <w:kern w:val="0"/>
                <w:szCs w:val="21"/>
              </w:rPr>
              <w:t>《化学品作业场所安全警示标志规范》</w:t>
            </w:r>
          </w:p>
          <w:p>
            <w:pPr>
              <w:tabs>
                <w:tab w:val="left" w:pos="2898"/>
              </w:tabs>
              <w:spacing w:line="280" w:lineRule="exact"/>
              <w:jc w:val="center"/>
              <w:rPr>
                <w:rFonts w:eastAsiaTheme="minorEastAsia"/>
                <w:color w:val="000000" w:themeColor="text1"/>
                <w:kern w:val="0"/>
                <w:szCs w:val="21"/>
              </w:rPr>
            </w:pPr>
            <w:r>
              <w:rPr>
                <w:rFonts w:eastAsiaTheme="minorEastAsia"/>
                <w:color w:val="000000" w:themeColor="text1"/>
                <w:kern w:val="0"/>
                <w:szCs w:val="21"/>
              </w:rPr>
              <w:t>（AQ 3047-2013）</w:t>
            </w:r>
          </w:p>
          <w:p>
            <w:pPr>
              <w:spacing w:line="280" w:lineRule="exact"/>
              <w:jc w:val="center"/>
              <w:rPr>
                <w:rFonts w:eastAsiaTheme="minorEastAsia"/>
                <w:color w:val="000000" w:themeColor="text1"/>
                <w:szCs w:val="21"/>
              </w:rPr>
            </w:pPr>
            <w:r>
              <w:rPr>
                <w:rFonts w:eastAsiaTheme="minorEastAsia"/>
                <w:color w:val="000000" w:themeColor="text1"/>
                <w:kern w:val="0"/>
                <w:szCs w:val="21"/>
              </w:rPr>
              <w:t>第5.4.1条</w:t>
            </w:r>
          </w:p>
        </w:tc>
        <w:tc>
          <w:tcPr>
            <w:tcW w:w="2268" w:type="dxa"/>
            <w:vAlign w:val="center"/>
          </w:tcPr>
          <w:p>
            <w:pPr>
              <w:spacing w:line="280" w:lineRule="exact"/>
              <w:rPr>
                <w:rFonts w:eastAsiaTheme="minorEastAsia"/>
                <w:color w:val="000000" w:themeColor="text1"/>
                <w:szCs w:val="21"/>
              </w:rPr>
            </w:pPr>
            <w:r>
              <w:rPr>
                <w:rFonts w:eastAsiaTheme="minorEastAsia"/>
                <w:color w:val="000000" w:themeColor="text1"/>
                <w:szCs w:val="21"/>
              </w:rPr>
              <w:t>出入口无“禁止吸烟、禁打手机”等安全警示标识。</w:t>
            </w:r>
          </w:p>
        </w:tc>
        <w:tc>
          <w:tcPr>
            <w:tcW w:w="748" w:type="dxa"/>
            <w:vAlign w:val="center"/>
          </w:tcPr>
          <w:p>
            <w:pPr>
              <w:spacing w:line="280" w:lineRule="exact"/>
              <w:jc w:val="center"/>
              <w:rPr>
                <w:rFonts w:eastAsiaTheme="minorEastAsia"/>
                <w:color w:val="000000" w:themeColor="text1"/>
                <w:szCs w:val="21"/>
              </w:rPr>
            </w:pPr>
            <w:r>
              <w:rPr>
                <w:rFonts w:eastAsiaTheme="minorEastAsia"/>
                <w:color w:val="000000" w:themeColor="text1"/>
              </w:rPr>
              <w:t>不符合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73" w:type="dxa"/>
            <w:vAlign w:val="center"/>
          </w:tcPr>
          <w:p>
            <w:pPr>
              <w:numPr>
                <w:ilvl w:val="0"/>
                <w:numId w:val="22"/>
              </w:numPr>
              <w:spacing w:line="280" w:lineRule="exact"/>
              <w:jc w:val="center"/>
              <w:rPr>
                <w:rFonts w:eastAsiaTheme="minorEastAsia"/>
                <w:color w:val="000000" w:themeColor="text1"/>
                <w:szCs w:val="21"/>
              </w:rPr>
            </w:pPr>
          </w:p>
        </w:tc>
        <w:tc>
          <w:tcPr>
            <w:tcW w:w="2977" w:type="dxa"/>
            <w:vAlign w:val="center"/>
          </w:tcPr>
          <w:p>
            <w:pPr>
              <w:spacing w:line="280" w:lineRule="exact"/>
              <w:rPr>
                <w:rFonts w:eastAsiaTheme="minorEastAsia"/>
                <w:color w:val="000000" w:themeColor="text1"/>
                <w:szCs w:val="21"/>
              </w:rPr>
            </w:pPr>
            <w:r>
              <w:rPr>
                <w:rFonts w:eastAsiaTheme="minorEastAsia"/>
                <w:color w:val="000000" w:themeColor="text1"/>
                <w:kern w:val="0"/>
                <w:szCs w:val="21"/>
              </w:rPr>
              <w:t>化学品作业场所安全警示标志不应设在门、窗、架等可移动的物体上。标志前不得放置妨碍认读的障碍物。</w:t>
            </w:r>
          </w:p>
        </w:tc>
        <w:tc>
          <w:tcPr>
            <w:tcW w:w="2552" w:type="dxa"/>
            <w:vAlign w:val="center"/>
          </w:tcPr>
          <w:p>
            <w:pPr>
              <w:tabs>
                <w:tab w:val="left" w:pos="2898"/>
              </w:tabs>
              <w:spacing w:line="280" w:lineRule="exact"/>
              <w:jc w:val="center"/>
              <w:rPr>
                <w:rFonts w:eastAsiaTheme="minorEastAsia"/>
                <w:color w:val="000000" w:themeColor="text1"/>
                <w:szCs w:val="21"/>
              </w:rPr>
            </w:pPr>
            <w:r>
              <w:rPr>
                <w:rFonts w:eastAsiaTheme="minorEastAsia"/>
                <w:color w:val="000000" w:themeColor="text1"/>
                <w:kern w:val="0"/>
                <w:szCs w:val="21"/>
              </w:rPr>
              <w:t>《化学品作业场所安全警示标志规范》（AQ 3047-2013）第5.4.2条</w:t>
            </w:r>
          </w:p>
        </w:tc>
        <w:tc>
          <w:tcPr>
            <w:tcW w:w="2268" w:type="dxa"/>
            <w:vAlign w:val="center"/>
          </w:tcPr>
          <w:p>
            <w:pPr>
              <w:spacing w:line="280" w:lineRule="exact"/>
              <w:rPr>
                <w:rFonts w:eastAsiaTheme="minorEastAsia"/>
                <w:color w:val="000000" w:themeColor="text1"/>
                <w:szCs w:val="21"/>
              </w:rPr>
            </w:pPr>
            <w:r>
              <w:rPr>
                <w:rFonts w:eastAsiaTheme="minorEastAsia"/>
                <w:color w:val="000000" w:themeColor="text1"/>
                <w:szCs w:val="21"/>
              </w:rPr>
              <w:t>各区已设安全警示标志未设在门、窗、架等可移动的物体上，标志前未放置妨碍认读的障碍物。</w:t>
            </w:r>
          </w:p>
        </w:tc>
        <w:tc>
          <w:tcPr>
            <w:tcW w:w="748" w:type="dxa"/>
            <w:vAlign w:val="center"/>
          </w:tcPr>
          <w:p>
            <w:pPr>
              <w:spacing w:line="280" w:lineRule="exact"/>
              <w:jc w:val="center"/>
              <w:rPr>
                <w:rFonts w:eastAsiaTheme="minorEastAsia"/>
                <w:color w:val="000000" w:themeColor="text1"/>
                <w:szCs w:val="21"/>
              </w:rPr>
            </w:pPr>
            <w:r>
              <w:rPr>
                <w:rFonts w:eastAsiaTheme="minorEastAsia"/>
                <w:color w:val="000000" w:themeColor="text1"/>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73" w:type="dxa"/>
            <w:vAlign w:val="center"/>
          </w:tcPr>
          <w:p>
            <w:pPr>
              <w:numPr>
                <w:ilvl w:val="0"/>
                <w:numId w:val="22"/>
              </w:numPr>
              <w:spacing w:line="280" w:lineRule="exact"/>
              <w:jc w:val="center"/>
              <w:rPr>
                <w:rFonts w:eastAsiaTheme="minorEastAsia"/>
                <w:color w:val="000000" w:themeColor="text1"/>
                <w:szCs w:val="21"/>
              </w:rPr>
            </w:pPr>
          </w:p>
        </w:tc>
        <w:tc>
          <w:tcPr>
            <w:tcW w:w="2977" w:type="dxa"/>
            <w:vAlign w:val="center"/>
          </w:tcPr>
          <w:p>
            <w:pPr>
              <w:spacing w:line="280" w:lineRule="exact"/>
              <w:rPr>
                <w:rFonts w:eastAsiaTheme="minorEastAsia"/>
                <w:color w:val="000000" w:themeColor="text1"/>
                <w:kern w:val="0"/>
                <w:szCs w:val="21"/>
              </w:rPr>
            </w:pPr>
            <w:r>
              <w:rPr>
                <w:rFonts w:eastAsiaTheme="minorEastAsia"/>
                <w:color w:val="000000" w:themeColor="text1"/>
                <w:kern w:val="0"/>
                <w:szCs w:val="21"/>
              </w:rPr>
              <w:t>工业管道内物质的流向用箭头表示，如果管道内物质的流向是双向的，则以双向箭头表示。</w:t>
            </w:r>
          </w:p>
        </w:tc>
        <w:tc>
          <w:tcPr>
            <w:tcW w:w="2552" w:type="dxa"/>
            <w:vAlign w:val="center"/>
          </w:tcPr>
          <w:p>
            <w:pPr>
              <w:tabs>
                <w:tab w:val="left" w:pos="2898"/>
              </w:tabs>
              <w:spacing w:line="280" w:lineRule="exact"/>
              <w:jc w:val="center"/>
              <w:rPr>
                <w:rFonts w:eastAsiaTheme="minorEastAsia"/>
                <w:color w:val="000000" w:themeColor="text1"/>
                <w:kern w:val="0"/>
                <w:szCs w:val="21"/>
              </w:rPr>
            </w:pPr>
            <w:r>
              <w:rPr>
                <w:rFonts w:eastAsiaTheme="minorEastAsia"/>
                <w:color w:val="000000" w:themeColor="text1"/>
                <w:kern w:val="0"/>
                <w:szCs w:val="21"/>
              </w:rPr>
              <w:t>《工业管道的基本识别色、识别符合和安全标识》（GB231-2003）第5.2a条</w:t>
            </w:r>
          </w:p>
        </w:tc>
        <w:tc>
          <w:tcPr>
            <w:tcW w:w="2268" w:type="dxa"/>
            <w:vAlign w:val="center"/>
          </w:tcPr>
          <w:p>
            <w:pPr>
              <w:spacing w:line="280" w:lineRule="exact"/>
              <w:rPr>
                <w:rFonts w:eastAsiaTheme="minorEastAsia"/>
                <w:color w:val="000000" w:themeColor="text1"/>
                <w:szCs w:val="21"/>
              </w:rPr>
            </w:pPr>
            <w:r>
              <w:rPr>
                <w:rFonts w:eastAsiaTheme="minorEastAsia"/>
                <w:color w:val="000000" w:themeColor="text1"/>
                <w:szCs w:val="21"/>
              </w:rPr>
              <w:t>现场检查时，埋地甲醇罐操作井盖无介质流向标识。</w:t>
            </w:r>
          </w:p>
        </w:tc>
        <w:tc>
          <w:tcPr>
            <w:tcW w:w="748" w:type="dxa"/>
            <w:vAlign w:val="center"/>
          </w:tcPr>
          <w:p>
            <w:pPr>
              <w:spacing w:line="280" w:lineRule="exact"/>
              <w:jc w:val="center"/>
              <w:rPr>
                <w:rFonts w:eastAsiaTheme="minorEastAsia"/>
                <w:color w:val="000000" w:themeColor="text1"/>
              </w:rPr>
            </w:pPr>
            <w:r>
              <w:rPr>
                <w:rFonts w:eastAsiaTheme="minorEastAsia"/>
                <w:color w:val="000000" w:themeColor="text1"/>
              </w:rPr>
              <w:t>不符合</w:t>
            </w:r>
          </w:p>
        </w:tc>
      </w:tr>
    </w:tbl>
    <w:p>
      <w:pPr>
        <w:pStyle w:val="19"/>
        <w:spacing w:afterLines="100" w:line="500" w:lineRule="exact"/>
        <w:rPr>
          <w:rFonts w:ascii="黑体" w:hAnsi="宋体" w:eastAsia="黑体"/>
          <w:color w:val="000000" w:themeColor="text1"/>
          <w:kern w:val="3"/>
          <w:sz w:val="28"/>
          <w:szCs w:val="28"/>
        </w:rPr>
      </w:pPr>
      <w:r>
        <w:rPr>
          <w:rFonts w:hint="eastAsia" w:ascii="黑体" w:hAnsi="宋体" w:eastAsia="黑体"/>
          <w:color w:val="000000" w:themeColor="text1"/>
          <w:kern w:val="3"/>
          <w:sz w:val="28"/>
          <w:szCs w:val="28"/>
        </w:rPr>
        <w:t>5.6.2 评价单元小结</w:t>
      </w:r>
      <w:bookmarkEnd w:id="1874"/>
      <w:bookmarkEnd w:id="1875"/>
      <w:bookmarkEnd w:id="1876"/>
      <w:bookmarkEnd w:id="1877"/>
      <w:bookmarkEnd w:id="1878"/>
      <w:bookmarkEnd w:id="1879"/>
      <w:bookmarkEnd w:id="1880"/>
      <w:bookmarkEnd w:id="1881"/>
      <w:bookmarkEnd w:id="1882"/>
      <w:bookmarkEnd w:id="1883"/>
    </w:p>
    <w:p>
      <w:pPr>
        <w:tabs>
          <w:tab w:val="left" w:pos="0"/>
        </w:tabs>
        <w:adjustRightInd w:val="0"/>
        <w:snapToGrid w:val="0"/>
        <w:spacing w:line="500" w:lineRule="exact"/>
        <w:ind w:firstLine="560" w:firstLineChars="200"/>
        <w:rPr>
          <w:bCs/>
          <w:color w:val="000000" w:themeColor="text1"/>
          <w:sz w:val="28"/>
          <w:szCs w:val="28"/>
        </w:rPr>
      </w:pPr>
      <w:bookmarkStart w:id="1884" w:name="_Toc16540"/>
      <w:bookmarkStart w:id="1885" w:name="_Toc32127"/>
      <w:bookmarkStart w:id="1886" w:name="_Toc7634"/>
      <w:bookmarkStart w:id="1887" w:name="_Toc23538"/>
      <w:bookmarkStart w:id="1888" w:name="_Toc24904"/>
      <w:bookmarkStart w:id="1889" w:name="_Toc2070"/>
      <w:bookmarkStart w:id="1890" w:name="_Toc2795"/>
      <w:bookmarkStart w:id="1891" w:name="_Toc6180"/>
      <w:bookmarkStart w:id="1892" w:name="_Toc22379"/>
      <w:bookmarkStart w:id="1893" w:name="_Toc16536"/>
      <w:bookmarkStart w:id="1894" w:name="_Toc32513"/>
      <w:bookmarkStart w:id="1895" w:name="_Toc14147"/>
      <w:bookmarkStart w:id="1896" w:name="_Toc31256"/>
      <w:bookmarkStart w:id="1897" w:name="_Toc16928"/>
      <w:bookmarkStart w:id="1898" w:name="_Toc19264"/>
      <w:bookmarkStart w:id="1899" w:name="_Toc445750308"/>
      <w:r>
        <w:rPr>
          <w:rFonts w:eastAsiaTheme="minorEastAsia"/>
          <w:snapToGrid w:val="0"/>
          <w:color w:val="000000" w:themeColor="text1"/>
          <w:kern w:val="0"/>
          <w:sz w:val="28"/>
          <w:szCs w:val="28"/>
        </w:rPr>
        <w:t>由上述分析评价结果可知，该项目安全设施方面除</w:t>
      </w:r>
      <w:r>
        <w:rPr>
          <w:rFonts w:hint="eastAsia" w:eastAsiaTheme="minorEastAsia"/>
          <w:snapToGrid w:val="0"/>
          <w:color w:val="000000" w:themeColor="text1"/>
          <w:kern w:val="0"/>
          <w:sz w:val="28"/>
          <w:szCs w:val="28"/>
        </w:rPr>
        <w:t>未设置人体静电消除装置；工作人员未穿戴防静电工作服进行作业；</w:t>
      </w:r>
      <w:r>
        <w:rPr>
          <w:rFonts w:eastAsiaTheme="minorEastAsia"/>
          <w:snapToGrid w:val="0"/>
          <w:color w:val="000000" w:themeColor="text1"/>
          <w:kern w:val="0"/>
          <w:sz w:val="28"/>
          <w:szCs w:val="28"/>
        </w:rPr>
        <w:t>出入口无“禁止吸烟、禁打手机”等安全警示标识；埋地甲醇罐操作井盖无介质流向标识</w:t>
      </w:r>
      <w:bookmarkStart w:id="1900" w:name="_Toc7562"/>
      <w:r>
        <w:rPr>
          <w:rFonts w:eastAsiaTheme="minorEastAsia"/>
          <w:snapToGrid w:val="0"/>
          <w:color w:val="000000" w:themeColor="text1"/>
          <w:kern w:val="0"/>
          <w:sz w:val="28"/>
          <w:szCs w:val="28"/>
        </w:rPr>
        <w:t>等问题外，其余均符合《生产设备安全卫生设计总则》（</w:t>
      </w:r>
      <w:r>
        <w:rPr>
          <w:rFonts w:hint="eastAsia" w:eastAsiaTheme="minorEastAsia"/>
          <w:snapToGrid w:val="0"/>
          <w:color w:val="000000" w:themeColor="text1"/>
          <w:kern w:val="0"/>
          <w:sz w:val="28"/>
          <w:szCs w:val="28"/>
          <w:lang w:eastAsia="zh-CN"/>
        </w:rPr>
        <w:t>GB5083-2023</w:t>
      </w:r>
      <w:r>
        <w:rPr>
          <w:rFonts w:eastAsiaTheme="minorEastAsia"/>
          <w:snapToGrid w:val="0"/>
          <w:color w:val="000000" w:themeColor="text1"/>
          <w:kern w:val="0"/>
          <w:sz w:val="28"/>
          <w:szCs w:val="28"/>
        </w:rPr>
        <w:t>）、《化学品作业场所安全警示标志规范》（AQ 3047</w:t>
      </w:r>
      <w:r>
        <w:rPr>
          <w:rFonts w:hint="eastAsia" w:eastAsiaTheme="minorEastAsia"/>
          <w:snapToGrid w:val="0"/>
          <w:color w:val="000000" w:themeColor="text1"/>
          <w:kern w:val="0"/>
          <w:sz w:val="28"/>
          <w:szCs w:val="28"/>
        </w:rPr>
        <w:t>-</w:t>
      </w:r>
      <w:r>
        <w:rPr>
          <w:rFonts w:eastAsiaTheme="minorEastAsia"/>
          <w:snapToGrid w:val="0"/>
          <w:color w:val="000000" w:themeColor="text1"/>
          <w:kern w:val="0"/>
          <w:sz w:val="28"/>
          <w:szCs w:val="28"/>
        </w:rPr>
        <w:t>2013）、《工业企业设计卫生标准》（GBZ1-2010）、《固定式钢梯及平台安全要求 第3部分工业防护栏杆及钢平台》（GB 4053.3-2009）、《化工企业安全卫生设计规范》（HG20571-2014）、《工业管道的基本识别色、识别符合和安全标识》（GB231-2003）</w:t>
      </w:r>
      <w:r>
        <w:rPr>
          <w:rFonts w:hint="eastAsia" w:eastAsiaTheme="minorEastAsia"/>
          <w:snapToGrid w:val="0"/>
          <w:color w:val="000000" w:themeColor="text1"/>
          <w:kern w:val="0"/>
          <w:sz w:val="28"/>
          <w:szCs w:val="28"/>
        </w:rPr>
        <w:t>、</w:t>
      </w:r>
      <w:r>
        <w:rPr>
          <w:rFonts w:eastAsiaTheme="minorEastAsia"/>
          <w:snapToGrid w:val="0"/>
          <w:color w:val="000000" w:themeColor="text1"/>
          <w:kern w:val="0"/>
          <w:sz w:val="28"/>
          <w:szCs w:val="28"/>
        </w:rPr>
        <w:t>《机械安全防护装置 固定式和活动式防护装置的设计与制造一般要</w:t>
      </w:r>
      <w:r>
        <w:rPr>
          <w:bCs/>
          <w:color w:val="000000" w:themeColor="text1"/>
          <w:sz w:val="28"/>
          <w:szCs w:val="28"/>
        </w:rPr>
        <w:t>求》（GB/T 8196-2018）</w:t>
      </w:r>
      <w:r>
        <w:rPr>
          <w:rFonts w:hint="eastAsia"/>
          <w:bCs/>
          <w:color w:val="000000" w:themeColor="text1"/>
          <w:sz w:val="28"/>
          <w:szCs w:val="28"/>
        </w:rPr>
        <w:t>、</w:t>
      </w:r>
      <w:r>
        <w:rPr>
          <w:bCs/>
          <w:color w:val="000000" w:themeColor="text1"/>
          <w:sz w:val="28"/>
          <w:szCs w:val="28"/>
        </w:rPr>
        <w:t>《爆炸危险环境电力装置设计规范》（GB50058-2014）</w:t>
      </w:r>
      <w:r>
        <w:rPr>
          <w:rFonts w:hint="eastAsia"/>
          <w:bCs/>
          <w:color w:val="000000" w:themeColor="text1"/>
          <w:sz w:val="28"/>
          <w:szCs w:val="28"/>
        </w:rPr>
        <w:t>、</w:t>
      </w:r>
      <w:r>
        <w:rPr>
          <w:bCs/>
          <w:color w:val="000000" w:themeColor="text1"/>
          <w:sz w:val="28"/>
          <w:szCs w:val="28"/>
        </w:rPr>
        <w:t>《汽车加油加气加氢站技术标准》（GB50156-2021）等标准、规范的要求。</w:t>
      </w:r>
      <w:bookmarkEnd w:id="1900"/>
    </w:p>
    <w:p>
      <w:pPr>
        <w:pStyle w:val="19"/>
        <w:spacing w:afterLines="100" w:line="500" w:lineRule="exact"/>
        <w:jc w:val="center"/>
        <w:rPr>
          <w:rFonts w:ascii="楷体_GB2312" w:hAnsi="宋体" w:eastAsia="楷体_GB2312"/>
          <w:color w:val="000000" w:themeColor="text1"/>
          <w:kern w:val="3"/>
        </w:rPr>
      </w:pPr>
      <w:bookmarkStart w:id="1901" w:name="_Toc787_WPSOffice_Level2"/>
      <w:r>
        <w:rPr>
          <w:rFonts w:hint="eastAsia" w:ascii="楷体_GB2312" w:hAnsi="宋体" w:eastAsia="楷体_GB2312"/>
          <w:color w:val="000000" w:themeColor="text1"/>
          <w:kern w:val="3"/>
        </w:rPr>
        <w:t>5.7安全管理评价单元</w:t>
      </w:r>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1"/>
    </w:p>
    <w:p>
      <w:pPr>
        <w:pStyle w:val="19"/>
        <w:spacing w:afterLines="100" w:line="500" w:lineRule="exact"/>
        <w:rPr>
          <w:rFonts w:ascii="黑体" w:hAnsi="宋体" w:eastAsia="黑体"/>
          <w:color w:val="000000" w:themeColor="text1"/>
          <w:kern w:val="3"/>
          <w:sz w:val="28"/>
          <w:szCs w:val="28"/>
        </w:rPr>
      </w:pPr>
      <w:bookmarkStart w:id="1902" w:name="_Toc3040"/>
      <w:bookmarkStart w:id="1903" w:name="_Toc445750309"/>
      <w:bookmarkStart w:id="1904" w:name="_Toc15915"/>
      <w:bookmarkStart w:id="1905" w:name="_Toc20215"/>
      <w:bookmarkStart w:id="1906" w:name="_Toc16347"/>
      <w:bookmarkStart w:id="1907" w:name="_Toc13709"/>
      <w:bookmarkStart w:id="1908" w:name="_Toc8889"/>
      <w:bookmarkStart w:id="1909" w:name="_Toc15139"/>
      <w:bookmarkStart w:id="1910" w:name="_Toc11301"/>
      <w:bookmarkStart w:id="1911" w:name="_Toc22034"/>
      <w:bookmarkStart w:id="1912" w:name="_Toc19743"/>
      <w:r>
        <w:rPr>
          <w:rFonts w:hint="eastAsia" w:ascii="黑体" w:hAnsi="宋体" w:eastAsia="黑体"/>
          <w:color w:val="000000" w:themeColor="text1"/>
          <w:kern w:val="3"/>
          <w:sz w:val="28"/>
          <w:szCs w:val="28"/>
        </w:rPr>
        <w:t>5.7.1安全管理安全检查表</w:t>
      </w:r>
      <w:bookmarkEnd w:id="1902"/>
      <w:bookmarkEnd w:id="1903"/>
      <w:bookmarkEnd w:id="1904"/>
      <w:bookmarkEnd w:id="1905"/>
      <w:bookmarkEnd w:id="1906"/>
      <w:bookmarkEnd w:id="1907"/>
      <w:bookmarkEnd w:id="1908"/>
      <w:bookmarkEnd w:id="1909"/>
      <w:bookmarkEnd w:id="1910"/>
      <w:bookmarkEnd w:id="1911"/>
      <w:bookmarkEnd w:id="1912"/>
    </w:p>
    <w:p>
      <w:pPr>
        <w:tabs>
          <w:tab w:val="left" w:pos="0"/>
        </w:tabs>
        <w:adjustRightInd w:val="0"/>
        <w:snapToGrid w:val="0"/>
        <w:spacing w:line="500" w:lineRule="exact"/>
        <w:ind w:firstLine="560" w:firstLineChars="200"/>
        <w:rPr>
          <w:rFonts w:eastAsiaTheme="minorEastAsia"/>
          <w:color w:val="000000" w:themeColor="text1"/>
          <w:sz w:val="28"/>
          <w:szCs w:val="21"/>
        </w:rPr>
      </w:pPr>
      <w:r>
        <w:rPr>
          <w:bCs/>
          <w:color w:val="000000" w:themeColor="text1"/>
          <w:sz w:val="28"/>
          <w:szCs w:val="28"/>
        </w:rPr>
        <w:t>根据《中华人民共和国安全生产法》（中华人民共和国主席令第八十八号）、《生产经营单位安全培训规定》（国家安全生产监督管理总局令第3号，根据2013年8月29日国家安全监管总局令第63号第一次修正，根据2015年5月29日国家安全生产监管总局令第80号第二次修正）、《应急管理部关于修改〈生产安全事故应急预案管理办法〉的决定》（已经2019年6月24日应急管理部第20次部务会议审议通过，现予公布，自2019年9月1日起施行）、《云南省安全生产条例》等法律、文件的要求，对该项目的安全管理机构、安全管理规章制度、安全教育培训及人员持证、事故应急管理、安全投入等进行安全分析评价，具体情况如下表所示：</w:t>
      </w:r>
    </w:p>
    <w:p>
      <w:pPr>
        <w:spacing w:line="500" w:lineRule="exact"/>
        <w:ind w:firstLine="480" w:firstLineChars="200"/>
        <w:jc w:val="center"/>
        <w:rPr>
          <w:rFonts w:eastAsiaTheme="minorEastAsia"/>
          <w:bCs/>
          <w:color w:val="000000" w:themeColor="text1"/>
          <w:sz w:val="24"/>
        </w:rPr>
      </w:pPr>
      <w:r>
        <w:rPr>
          <w:rFonts w:eastAsiaTheme="minorEastAsia"/>
          <w:bCs/>
          <w:color w:val="000000" w:themeColor="text1"/>
          <w:sz w:val="24"/>
        </w:rPr>
        <w:t>表5-1</w:t>
      </w:r>
      <w:r>
        <w:rPr>
          <w:rFonts w:hint="eastAsia" w:eastAsiaTheme="minorEastAsia"/>
          <w:bCs/>
          <w:color w:val="000000" w:themeColor="text1"/>
          <w:sz w:val="24"/>
        </w:rPr>
        <w:t>4</w:t>
      </w:r>
      <w:r>
        <w:rPr>
          <w:rFonts w:eastAsiaTheme="minorEastAsia"/>
          <w:bCs/>
          <w:color w:val="000000" w:themeColor="text1"/>
          <w:sz w:val="24"/>
        </w:rPr>
        <w:t xml:space="preserve"> 安全管理安全检查表</w:t>
      </w:r>
    </w:p>
    <w:tbl>
      <w:tblPr>
        <w:tblStyle w:val="52"/>
        <w:tblW w:w="9401" w:type="dxa"/>
        <w:jc w:val="center"/>
        <w:tblLayout w:type="fixed"/>
        <w:tblCellMar>
          <w:top w:w="0" w:type="dxa"/>
          <w:left w:w="108" w:type="dxa"/>
          <w:bottom w:w="0" w:type="dxa"/>
          <w:right w:w="108" w:type="dxa"/>
        </w:tblCellMar>
      </w:tblPr>
      <w:tblGrid>
        <w:gridCol w:w="702"/>
        <w:gridCol w:w="3104"/>
        <w:gridCol w:w="2193"/>
        <w:gridCol w:w="2689"/>
        <w:gridCol w:w="713"/>
      </w:tblGrid>
      <w:tr>
        <w:tblPrEx>
          <w:tblCellMar>
            <w:top w:w="0" w:type="dxa"/>
            <w:left w:w="108" w:type="dxa"/>
            <w:bottom w:w="0" w:type="dxa"/>
            <w:right w:w="108" w:type="dxa"/>
          </w:tblCellMar>
        </w:tblPrEx>
        <w:trPr>
          <w:trHeight w:val="454" w:hRule="atLeast"/>
          <w:tblHeader/>
          <w:jc w:val="center"/>
        </w:trPr>
        <w:tc>
          <w:tcPr>
            <w:tcW w:w="702"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rPr>
                <w:b/>
                <w:bCs/>
                <w:color w:val="000000" w:themeColor="text1"/>
                <w:szCs w:val="21"/>
              </w:rPr>
            </w:pPr>
            <w:r>
              <w:rPr>
                <w:b/>
                <w:bCs/>
                <w:color w:val="000000" w:themeColor="text1"/>
                <w:szCs w:val="21"/>
                <w:lang w:val="zh-CN"/>
              </w:rPr>
              <w:t>序号</w:t>
            </w:r>
          </w:p>
        </w:tc>
        <w:tc>
          <w:tcPr>
            <w:tcW w:w="3104"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b/>
                <w:bCs/>
                <w:color w:val="000000" w:themeColor="text1"/>
                <w:szCs w:val="21"/>
              </w:rPr>
            </w:pPr>
            <w:r>
              <w:rPr>
                <w:b/>
                <w:bCs/>
                <w:color w:val="000000" w:themeColor="text1"/>
                <w:szCs w:val="21"/>
                <w:lang w:val="zh-CN"/>
              </w:rPr>
              <w:t>检查内容</w:t>
            </w:r>
          </w:p>
        </w:tc>
        <w:tc>
          <w:tcPr>
            <w:tcW w:w="2193"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b/>
                <w:bCs/>
                <w:color w:val="000000" w:themeColor="text1"/>
                <w:szCs w:val="21"/>
              </w:rPr>
            </w:pPr>
            <w:r>
              <w:rPr>
                <w:b/>
                <w:bCs/>
                <w:color w:val="000000" w:themeColor="text1"/>
                <w:szCs w:val="21"/>
                <w:lang w:val="zh-CN"/>
              </w:rPr>
              <w:t>检查依据</w:t>
            </w:r>
          </w:p>
        </w:tc>
        <w:tc>
          <w:tcPr>
            <w:tcW w:w="2689"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b/>
                <w:bCs/>
                <w:color w:val="000000" w:themeColor="text1"/>
                <w:szCs w:val="21"/>
              </w:rPr>
            </w:pPr>
            <w:r>
              <w:rPr>
                <w:b/>
                <w:bCs/>
                <w:color w:val="000000" w:themeColor="text1"/>
                <w:szCs w:val="21"/>
                <w:lang w:val="zh-CN"/>
              </w:rPr>
              <w:t>检查情况</w:t>
            </w:r>
          </w:p>
        </w:tc>
        <w:tc>
          <w:tcPr>
            <w:tcW w:w="713"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rPr>
                <w:b/>
                <w:bCs/>
                <w:color w:val="000000" w:themeColor="text1"/>
                <w:szCs w:val="21"/>
                <w:lang w:val="zh-CN"/>
              </w:rPr>
            </w:pPr>
            <w:r>
              <w:rPr>
                <w:b/>
                <w:bCs/>
                <w:color w:val="000000" w:themeColor="text1"/>
                <w:szCs w:val="21"/>
                <w:lang w:val="zh-CN"/>
              </w:rPr>
              <w:t>检查</w:t>
            </w:r>
          </w:p>
          <w:p>
            <w:pPr>
              <w:autoSpaceDE w:val="0"/>
              <w:autoSpaceDN w:val="0"/>
              <w:adjustRightInd w:val="0"/>
              <w:rPr>
                <w:b/>
                <w:bCs/>
                <w:color w:val="000000" w:themeColor="text1"/>
                <w:szCs w:val="21"/>
              </w:rPr>
            </w:pPr>
            <w:r>
              <w:rPr>
                <w:b/>
                <w:bCs/>
                <w:color w:val="000000" w:themeColor="text1"/>
                <w:szCs w:val="21"/>
                <w:lang w:val="zh-CN"/>
              </w:rPr>
              <w:t>结果</w:t>
            </w:r>
          </w:p>
        </w:tc>
      </w:tr>
      <w:tr>
        <w:tblPrEx>
          <w:tblCellMar>
            <w:top w:w="0" w:type="dxa"/>
            <w:left w:w="108" w:type="dxa"/>
            <w:bottom w:w="0" w:type="dxa"/>
            <w:right w:w="108" w:type="dxa"/>
          </w:tblCellMar>
        </w:tblPrEx>
        <w:trPr>
          <w:trHeight w:val="454" w:hRule="atLeast"/>
          <w:jc w:val="center"/>
        </w:trPr>
        <w:tc>
          <w:tcPr>
            <w:tcW w:w="9401" w:type="dxa"/>
            <w:gridSpan w:val="5"/>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b/>
                <w:color w:val="000000" w:themeColor="text1"/>
                <w:szCs w:val="21"/>
                <w:lang w:val="zh-CN"/>
              </w:rPr>
            </w:pPr>
            <w:r>
              <w:rPr>
                <w:b/>
                <w:color w:val="000000" w:themeColor="text1"/>
                <w:szCs w:val="21"/>
                <w:lang w:val="zh-CN"/>
              </w:rPr>
              <w:t>安全管理机构</w:t>
            </w:r>
          </w:p>
        </w:tc>
      </w:tr>
      <w:tr>
        <w:tblPrEx>
          <w:tblCellMar>
            <w:top w:w="0" w:type="dxa"/>
            <w:left w:w="108" w:type="dxa"/>
            <w:bottom w:w="0" w:type="dxa"/>
            <w:right w:w="108" w:type="dxa"/>
          </w:tblCellMar>
        </w:tblPrEx>
        <w:trPr>
          <w:trHeight w:val="454" w:hRule="atLeast"/>
          <w:jc w:val="center"/>
        </w:trPr>
        <w:tc>
          <w:tcPr>
            <w:tcW w:w="702" w:type="dxa"/>
            <w:tcBorders>
              <w:top w:val="single" w:color="auto" w:sz="6" w:space="0"/>
              <w:left w:val="single" w:color="auto" w:sz="6" w:space="0"/>
              <w:bottom w:val="single" w:color="auto" w:sz="6" w:space="0"/>
              <w:right w:val="single" w:color="auto" w:sz="6" w:space="0"/>
            </w:tcBorders>
            <w:vAlign w:val="center"/>
          </w:tcPr>
          <w:p>
            <w:pPr>
              <w:numPr>
                <w:ilvl w:val="0"/>
                <w:numId w:val="23"/>
              </w:numPr>
              <w:tabs>
                <w:tab w:val="left" w:pos="630"/>
              </w:tabs>
              <w:autoSpaceDE w:val="0"/>
              <w:autoSpaceDN w:val="0"/>
              <w:adjustRightInd w:val="0"/>
              <w:ind w:left="0" w:firstLine="0"/>
              <w:rPr>
                <w:color w:val="000000" w:themeColor="text1"/>
                <w:szCs w:val="21"/>
              </w:rPr>
            </w:pPr>
          </w:p>
        </w:tc>
        <w:tc>
          <w:tcPr>
            <w:tcW w:w="3104" w:type="dxa"/>
            <w:tcBorders>
              <w:top w:val="single" w:color="auto" w:sz="6" w:space="0"/>
              <w:left w:val="single" w:color="auto" w:sz="6" w:space="0"/>
              <w:bottom w:val="single" w:color="auto" w:sz="6" w:space="0"/>
              <w:right w:val="single" w:color="auto" w:sz="6" w:space="0"/>
            </w:tcBorders>
            <w:vAlign w:val="center"/>
          </w:tcPr>
          <w:p>
            <w:pPr>
              <w:rPr>
                <w:color w:val="000000" w:themeColor="text1"/>
                <w:szCs w:val="21"/>
              </w:rPr>
            </w:pPr>
            <w:r>
              <w:rPr>
                <w:color w:val="000000" w:themeColor="text1"/>
                <w:szCs w:val="21"/>
              </w:rPr>
              <w:t>矿山、金属冶炼、建筑施工、运输单位和危险物品的生产、经营、储存、装卸单位，应当设置安全生产管理机构或者配备专职安全生产管理人员。</w:t>
            </w:r>
          </w:p>
          <w:p>
            <w:pPr>
              <w:rPr>
                <w:color w:val="000000" w:themeColor="text1"/>
                <w:szCs w:val="21"/>
                <w:lang w:val="zh-CN"/>
              </w:rPr>
            </w:pPr>
            <w:r>
              <w:rPr>
                <w:color w:val="000000" w:themeColor="text1"/>
                <w:szCs w:val="21"/>
              </w:rPr>
              <w:t>前款规定以外的其他生产经营单位，从业人员超过一百人的，应当设置安全生产管理机构或者配备专职安全生产管理人员；从业人员在一百人以下的，应当配备专职或者兼职的安全生产管理人员。</w:t>
            </w:r>
          </w:p>
        </w:tc>
        <w:tc>
          <w:tcPr>
            <w:tcW w:w="2193" w:type="dxa"/>
            <w:tcBorders>
              <w:top w:val="single" w:color="auto" w:sz="6" w:space="0"/>
              <w:left w:val="single" w:color="auto" w:sz="6" w:space="0"/>
              <w:bottom w:val="single" w:color="auto" w:sz="6" w:space="0"/>
              <w:right w:val="single" w:color="auto" w:sz="6" w:space="0"/>
            </w:tcBorders>
            <w:vAlign w:val="center"/>
          </w:tcPr>
          <w:p>
            <w:pPr>
              <w:rPr>
                <w:color w:val="000000" w:themeColor="text1"/>
                <w:szCs w:val="21"/>
                <w:lang w:val="zh-CN"/>
              </w:rPr>
            </w:pPr>
            <w:r>
              <w:rPr>
                <w:color w:val="000000" w:themeColor="text1"/>
                <w:szCs w:val="21"/>
              </w:rPr>
              <w:t>《中华人民共和国安全生产法》（中华人民共和国主席令第八十八号）第二十四条</w:t>
            </w:r>
          </w:p>
        </w:tc>
        <w:tc>
          <w:tcPr>
            <w:tcW w:w="2689" w:type="dxa"/>
            <w:tcBorders>
              <w:top w:val="single" w:color="auto" w:sz="6" w:space="0"/>
              <w:left w:val="single" w:color="auto" w:sz="6" w:space="0"/>
              <w:bottom w:val="single" w:color="auto" w:sz="6" w:space="0"/>
              <w:right w:val="single" w:color="auto" w:sz="6" w:space="0"/>
            </w:tcBorders>
            <w:vAlign w:val="center"/>
          </w:tcPr>
          <w:p>
            <w:pPr>
              <w:rPr>
                <w:color w:val="000000" w:themeColor="text1"/>
                <w:szCs w:val="21"/>
                <w:lang w:val="zh-CN"/>
              </w:rPr>
            </w:pPr>
            <w:r>
              <w:rPr>
                <w:color w:val="000000" w:themeColor="text1"/>
                <w:szCs w:val="21"/>
                <w:lang w:val="zh-CN"/>
              </w:rPr>
              <w:t>该公司成立了安全生产领导小组，并任命了专职安全员。</w:t>
            </w:r>
          </w:p>
        </w:tc>
        <w:tc>
          <w:tcPr>
            <w:tcW w:w="713" w:type="dxa"/>
            <w:tcBorders>
              <w:top w:val="single" w:color="auto" w:sz="6" w:space="0"/>
              <w:left w:val="single" w:color="auto" w:sz="6" w:space="0"/>
              <w:bottom w:val="single" w:color="auto" w:sz="6" w:space="0"/>
              <w:right w:val="single" w:color="auto" w:sz="6" w:space="0"/>
            </w:tcBorders>
            <w:vAlign w:val="center"/>
          </w:tcPr>
          <w:p>
            <w:pPr>
              <w:rPr>
                <w:color w:val="000000" w:themeColor="text1"/>
                <w:szCs w:val="21"/>
                <w:lang w:val="zh-CN"/>
              </w:rPr>
            </w:pPr>
            <w:r>
              <w:rPr>
                <w:color w:val="000000" w:themeColor="text1"/>
                <w:szCs w:val="21"/>
              </w:rPr>
              <w:t>符合</w:t>
            </w:r>
          </w:p>
        </w:tc>
      </w:tr>
      <w:tr>
        <w:tblPrEx>
          <w:tblCellMar>
            <w:top w:w="0" w:type="dxa"/>
            <w:left w:w="108" w:type="dxa"/>
            <w:bottom w:w="0" w:type="dxa"/>
            <w:right w:w="108" w:type="dxa"/>
          </w:tblCellMar>
        </w:tblPrEx>
        <w:trPr>
          <w:trHeight w:val="454" w:hRule="atLeast"/>
          <w:jc w:val="center"/>
        </w:trPr>
        <w:tc>
          <w:tcPr>
            <w:tcW w:w="9401" w:type="dxa"/>
            <w:gridSpan w:val="5"/>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color w:val="000000" w:themeColor="text1"/>
                <w:szCs w:val="21"/>
                <w:lang w:val="zh-CN"/>
              </w:rPr>
            </w:pPr>
            <w:r>
              <w:rPr>
                <w:b/>
                <w:bCs/>
                <w:color w:val="000000" w:themeColor="text1"/>
                <w:szCs w:val="21"/>
                <w:lang w:val="zh-CN"/>
              </w:rPr>
              <w:t>安全规章管理制度</w:t>
            </w:r>
          </w:p>
        </w:tc>
      </w:tr>
      <w:tr>
        <w:tblPrEx>
          <w:tblCellMar>
            <w:top w:w="0" w:type="dxa"/>
            <w:left w:w="108" w:type="dxa"/>
            <w:bottom w:w="0" w:type="dxa"/>
            <w:right w:w="108" w:type="dxa"/>
          </w:tblCellMar>
        </w:tblPrEx>
        <w:trPr>
          <w:trHeight w:val="454" w:hRule="atLeast"/>
          <w:jc w:val="center"/>
        </w:trPr>
        <w:tc>
          <w:tcPr>
            <w:tcW w:w="702" w:type="dxa"/>
            <w:tcBorders>
              <w:top w:val="single" w:color="auto" w:sz="6" w:space="0"/>
              <w:left w:val="single" w:color="auto" w:sz="6" w:space="0"/>
              <w:bottom w:val="single" w:color="auto" w:sz="6" w:space="0"/>
              <w:right w:val="single" w:color="auto" w:sz="6" w:space="0"/>
            </w:tcBorders>
            <w:vAlign w:val="center"/>
          </w:tcPr>
          <w:p>
            <w:pPr>
              <w:numPr>
                <w:ilvl w:val="0"/>
                <w:numId w:val="24"/>
              </w:numPr>
              <w:tabs>
                <w:tab w:val="left" w:pos="630"/>
              </w:tabs>
              <w:autoSpaceDE w:val="0"/>
              <w:autoSpaceDN w:val="0"/>
              <w:adjustRightInd w:val="0"/>
              <w:rPr>
                <w:color w:val="000000" w:themeColor="text1"/>
                <w:szCs w:val="21"/>
              </w:rPr>
            </w:pPr>
          </w:p>
        </w:tc>
        <w:tc>
          <w:tcPr>
            <w:tcW w:w="3104" w:type="dxa"/>
            <w:tcBorders>
              <w:top w:val="single" w:color="auto" w:sz="6" w:space="0"/>
              <w:left w:val="single" w:color="auto" w:sz="6" w:space="0"/>
              <w:bottom w:val="single" w:color="auto" w:sz="6" w:space="0"/>
              <w:right w:val="single" w:color="auto" w:sz="6" w:space="0"/>
            </w:tcBorders>
          </w:tcPr>
          <w:p>
            <w:pPr>
              <w:rPr>
                <w:color w:val="000000" w:themeColor="text1"/>
                <w:kern w:val="0"/>
                <w:szCs w:val="21"/>
              </w:rPr>
            </w:pPr>
            <w:r>
              <w:rPr>
                <w:color w:val="000000" w:themeColor="text1"/>
                <w:kern w:val="0"/>
                <w:szCs w:val="21"/>
              </w:rPr>
              <w:t>生产经营单位必须遵守本法和其他有关安全生产的法律、法规，加强安全生产管理，建立健全全员安全生产责任制和安全生产规章制度，加大对安全生产资金、物资、技术、人员的投入保障力度，改善安全生产条件，加强安全生产标准化、信息化建设，构建安全风险分级管控和隐患排查治理双重预防机制，健全风险防范化解机制，提高安全生产水平，确保安全生产。</w:t>
            </w:r>
          </w:p>
          <w:p>
            <w:pPr>
              <w:rPr>
                <w:color w:val="000000" w:themeColor="text1"/>
                <w:szCs w:val="21"/>
                <w:lang w:val="zh-CN"/>
              </w:rPr>
            </w:pPr>
            <w:r>
              <w:rPr>
                <w:color w:val="000000" w:themeColor="text1"/>
                <w:kern w:val="0"/>
                <w:szCs w:val="21"/>
              </w:rPr>
              <w:t>平台经济等新兴行业、领域的生产经营单位应当根据本行业、领域的特点，建立健全并落实全员安全生产责任制，加强从业人员安全生产教育和培训，履行本法和其他法律、法规规定的有关安全生产义务。</w:t>
            </w:r>
          </w:p>
        </w:tc>
        <w:tc>
          <w:tcPr>
            <w:tcW w:w="2193" w:type="dxa"/>
            <w:tcBorders>
              <w:top w:val="single" w:color="auto" w:sz="6" w:space="0"/>
              <w:left w:val="single" w:color="auto" w:sz="6" w:space="0"/>
              <w:bottom w:val="single" w:color="auto" w:sz="6" w:space="0"/>
              <w:right w:val="single" w:color="auto" w:sz="6" w:space="0"/>
            </w:tcBorders>
          </w:tcPr>
          <w:p>
            <w:pPr>
              <w:rPr>
                <w:color w:val="000000" w:themeColor="text1"/>
                <w:kern w:val="0"/>
                <w:szCs w:val="21"/>
              </w:rPr>
            </w:pPr>
          </w:p>
          <w:p>
            <w:pPr>
              <w:rPr>
                <w:color w:val="000000" w:themeColor="text1"/>
                <w:szCs w:val="21"/>
                <w:lang w:val="zh-CN"/>
              </w:rPr>
            </w:pPr>
            <w:r>
              <w:rPr>
                <w:color w:val="000000" w:themeColor="text1"/>
                <w:szCs w:val="21"/>
              </w:rPr>
              <w:t>《中华人民共和国安全生产法》（中华人民共和国主席令第八十八号）第四条</w:t>
            </w:r>
          </w:p>
        </w:tc>
        <w:tc>
          <w:tcPr>
            <w:tcW w:w="2689" w:type="dxa"/>
            <w:tcBorders>
              <w:top w:val="single" w:color="auto" w:sz="6" w:space="0"/>
              <w:left w:val="single" w:color="auto" w:sz="6" w:space="0"/>
              <w:bottom w:val="single" w:color="auto" w:sz="6" w:space="0"/>
              <w:right w:val="single" w:color="auto" w:sz="6" w:space="0"/>
            </w:tcBorders>
            <w:vAlign w:val="center"/>
          </w:tcPr>
          <w:p>
            <w:pPr>
              <w:rPr>
                <w:color w:val="000000" w:themeColor="text1"/>
                <w:szCs w:val="21"/>
              </w:rPr>
            </w:pPr>
            <w:r>
              <w:rPr>
                <w:color w:val="000000" w:themeColor="text1"/>
                <w:kern w:val="0"/>
                <w:szCs w:val="21"/>
              </w:rPr>
              <w:t>该公司制定了相应的安全责任和安全生产规章制度。</w:t>
            </w:r>
          </w:p>
        </w:tc>
        <w:tc>
          <w:tcPr>
            <w:tcW w:w="713" w:type="dxa"/>
            <w:tcBorders>
              <w:top w:val="single" w:color="auto" w:sz="6" w:space="0"/>
              <w:left w:val="single" w:color="auto" w:sz="6" w:space="0"/>
              <w:bottom w:val="single" w:color="auto" w:sz="6" w:space="0"/>
              <w:right w:val="single" w:color="auto" w:sz="6" w:space="0"/>
            </w:tcBorders>
            <w:vAlign w:val="center"/>
          </w:tcPr>
          <w:p>
            <w:pPr>
              <w:rPr>
                <w:color w:val="000000" w:themeColor="text1"/>
                <w:szCs w:val="21"/>
              </w:rPr>
            </w:pPr>
            <w:r>
              <w:rPr>
                <w:color w:val="000000" w:themeColor="text1"/>
                <w:szCs w:val="21"/>
              </w:rPr>
              <w:t>符合</w:t>
            </w:r>
          </w:p>
        </w:tc>
      </w:tr>
      <w:tr>
        <w:tblPrEx>
          <w:tblCellMar>
            <w:top w:w="0" w:type="dxa"/>
            <w:left w:w="108" w:type="dxa"/>
            <w:bottom w:w="0" w:type="dxa"/>
            <w:right w:w="108" w:type="dxa"/>
          </w:tblCellMar>
        </w:tblPrEx>
        <w:trPr>
          <w:trHeight w:val="454" w:hRule="atLeast"/>
          <w:jc w:val="center"/>
        </w:trPr>
        <w:tc>
          <w:tcPr>
            <w:tcW w:w="702" w:type="dxa"/>
            <w:tcBorders>
              <w:top w:val="single" w:color="auto" w:sz="6" w:space="0"/>
              <w:left w:val="single" w:color="auto" w:sz="6" w:space="0"/>
              <w:bottom w:val="single" w:color="auto" w:sz="6" w:space="0"/>
              <w:right w:val="single" w:color="auto" w:sz="6" w:space="0"/>
            </w:tcBorders>
            <w:vAlign w:val="center"/>
          </w:tcPr>
          <w:p>
            <w:pPr>
              <w:numPr>
                <w:ilvl w:val="0"/>
                <w:numId w:val="24"/>
              </w:numPr>
              <w:tabs>
                <w:tab w:val="left" w:pos="630"/>
              </w:tabs>
              <w:autoSpaceDE w:val="0"/>
              <w:autoSpaceDN w:val="0"/>
              <w:adjustRightInd w:val="0"/>
              <w:rPr>
                <w:color w:val="000000" w:themeColor="text1"/>
                <w:szCs w:val="21"/>
              </w:rPr>
            </w:pPr>
          </w:p>
        </w:tc>
        <w:tc>
          <w:tcPr>
            <w:tcW w:w="3104" w:type="dxa"/>
            <w:tcBorders>
              <w:top w:val="single" w:color="auto" w:sz="6" w:space="0"/>
              <w:left w:val="single" w:color="auto" w:sz="6" w:space="0"/>
              <w:bottom w:val="single" w:color="auto" w:sz="6" w:space="0"/>
              <w:right w:val="single" w:color="auto" w:sz="6" w:space="0"/>
            </w:tcBorders>
          </w:tcPr>
          <w:p>
            <w:pPr>
              <w:rPr>
                <w:color w:val="000000" w:themeColor="text1"/>
                <w:szCs w:val="21"/>
                <w:lang w:val="zh-CN"/>
              </w:rPr>
            </w:pPr>
            <w:r>
              <w:rPr>
                <w:color w:val="000000" w:themeColor="text1"/>
                <w:kern w:val="0"/>
                <w:szCs w:val="21"/>
              </w:rPr>
              <w:t>生产经营单位的主要负责人是本单位安全生产第一责任人，对本单位的安全生产工作全面负责。其他负责人对职责范围内的安全生产工作负责。</w:t>
            </w:r>
          </w:p>
        </w:tc>
        <w:tc>
          <w:tcPr>
            <w:tcW w:w="2193" w:type="dxa"/>
            <w:tcBorders>
              <w:top w:val="single" w:color="auto" w:sz="6" w:space="0"/>
              <w:left w:val="single" w:color="auto" w:sz="6" w:space="0"/>
              <w:bottom w:val="single" w:color="auto" w:sz="6" w:space="0"/>
              <w:right w:val="single" w:color="auto" w:sz="6" w:space="0"/>
            </w:tcBorders>
          </w:tcPr>
          <w:p>
            <w:pPr>
              <w:rPr>
                <w:color w:val="000000" w:themeColor="text1"/>
                <w:szCs w:val="21"/>
                <w:lang w:val="zh-CN"/>
              </w:rPr>
            </w:pPr>
            <w:r>
              <w:rPr>
                <w:color w:val="000000" w:themeColor="text1"/>
                <w:szCs w:val="21"/>
              </w:rPr>
              <w:t>《中华人民共和国安全生产法》（中华人民共和国主席令第八十八号）</w:t>
            </w:r>
            <w:r>
              <w:rPr>
                <w:color w:val="000000" w:themeColor="text1"/>
                <w:kern w:val="0"/>
                <w:szCs w:val="21"/>
              </w:rPr>
              <w:t>第五条</w:t>
            </w:r>
          </w:p>
        </w:tc>
        <w:tc>
          <w:tcPr>
            <w:tcW w:w="2689" w:type="dxa"/>
            <w:tcBorders>
              <w:top w:val="single" w:color="auto" w:sz="6" w:space="0"/>
              <w:left w:val="single" w:color="auto" w:sz="6" w:space="0"/>
              <w:bottom w:val="single" w:color="auto" w:sz="6" w:space="0"/>
              <w:right w:val="single" w:color="auto" w:sz="6" w:space="0"/>
            </w:tcBorders>
            <w:vAlign w:val="center"/>
          </w:tcPr>
          <w:p>
            <w:pPr>
              <w:rPr>
                <w:color w:val="000000" w:themeColor="text1"/>
                <w:szCs w:val="21"/>
              </w:rPr>
            </w:pPr>
            <w:r>
              <w:rPr>
                <w:color w:val="000000" w:themeColor="text1"/>
                <w:kern w:val="0"/>
                <w:szCs w:val="21"/>
              </w:rPr>
              <w:t>根据公司内制定的安全责任制，公司主要负责人对其安全生产工作全面负责。</w:t>
            </w:r>
          </w:p>
        </w:tc>
        <w:tc>
          <w:tcPr>
            <w:tcW w:w="713" w:type="dxa"/>
            <w:tcBorders>
              <w:top w:val="single" w:color="auto" w:sz="6" w:space="0"/>
              <w:left w:val="single" w:color="auto" w:sz="6" w:space="0"/>
              <w:bottom w:val="single" w:color="auto" w:sz="6" w:space="0"/>
              <w:right w:val="single" w:color="auto" w:sz="6" w:space="0"/>
            </w:tcBorders>
            <w:vAlign w:val="center"/>
          </w:tcPr>
          <w:p>
            <w:pPr>
              <w:rPr>
                <w:color w:val="000000" w:themeColor="text1"/>
                <w:szCs w:val="21"/>
              </w:rPr>
            </w:pPr>
            <w:r>
              <w:rPr>
                <w:color w:val="000000" w:themeColor="text1"/>
                <w:szCs w:val="21"/>
              </w:rPr>
              <w:t>符合</w:t>
            </w:r>
          </w:p>
        </w:tc>
      </w:tr>
      <w:tr>
        <w:tblPrEx>
          <w:tblCellMar>
            <w:top w:w="0" w:type="dxa"/>
            <w:left w:w="108" w:type="dxa"/>
            <w:bottom w:w="0" w:type="dxa"/>
            <w:right w:w="108" w:type="dxa"/>
          </w:tblCellMar>
        </w:tblPrEx>
        <w:trPr>
          <w:trHeight w:val="454" w:hRule="atLeast"/>
          <w:jc w:val="center"/>
        </w:trPr>
        <w:tc>
          <w:tcPr>
            <w:tcW w:w="702" w:type="dxa"/>
            <w:tcBorders>
              <w:top w:val="single" w:color="auto" w:sz="6" w:space="0"/>
              <w:left w:val="single" w:color="auto" w:sz="6" w:space="0"/>
              <w:bottom w:val="single" w:color="auto" w:sz="6" w:space="0"/>
              <w:right w:val="single" w:color="auto" w:sz="6" w:space="0"/>
            </w:tcBorders>
            <w:vAlign w:val="center"/>
          </w:tcPr>
          <w:p>
            <w:pPr>
              <w:numPr>
                <w:ilvl w:val="0"/>
                <w:numId w:val="24"/>
              </w:numPr>
              <w:tabs>
                <w:tab w:val="left" w:pos="630"/>
              </w:tabs>
              <w:autoSpaceDE w:val="0"/>
              <w:autoSpaceDN w:val="0"/>
              <w:adjustRightInd w:val="0"/>
              <w:rPr>
                <w:color w:val="000000" w:themeColor="text1"/>
                <w:szCs w:val="21"/>
              </w:rPr>
            </w:pPr>
          </w:p>
        </w:tc>
        <w:tc>
          <w:tcPr>
            <w:tcW w:w="3104" w:type="dxa"/>
            <w:tcBorders>
              <w:top w:val="single" w:color="auto" w:sz="6" w:space="0"/>
              <w:left w:val="single" w:color="auto" w:sz="6" w:space="0"/>
              <w:bottom w:val="single" w:color="auto" w:sz="6" w:space="0"/>
              <w:right w:val="single" w:color="auto" w:sz="6" w:space="0"/>
            </w:tcBorders>
          </w:tcPr>
          <w:p>
            <w:pPr>
              <w:rPr>
                <w:color w:val="000000" w:themeColor="text1"/>
                <w:kern w:val="0"/>
                <w:szCs w:val="21"/>
              </w:rPr>
            </w:pPr>
            <w:r>
              <w:rPr>
                <w:color w:val="000000" w:themeColor="text1"/>
                <w:kern w:val="0"/>
                <w:szCs w:val="21"/>
              </w:rPr>
              <w:t>生产经营单位应当建立安全风险分级管控制度，按照安全风险分级采取相应的管控措施。</w:t>
            </w:r>
          </w:p>
          <w:p>
            <w:pPr>
              <w:rPr>
                <w:color w:val="000000" w:themeColor="text1"/>
                <w:kern w:val="0"/>
                <w:szCs w:val="21"/>
              </w:rPr>
            </w:pPr>
            <w:r>
              <w:rPr>
                <w:color w:val="000000" w:themeColor="text1"/>
                <w:kern w:val="0"/>
                <w:szCs w:val="21"/>
              </w:rPr>
              <w:t>生产经营单位应当建立健全并落实生产安全事故隐患排查治理制度，采取技术、管理措施，及时发现并消除事故隐患。事故隐患排查治理情况应当如实记录，并通过职工大会或者职工代表大会、信息公示栏等方式向从业人员通报。其中，重大事故隐患排查治理情况应当及时向负有安全生产监督管理职责的部门和职工大会或者职工代表大会报告。</w:t>
            </w:r>
          </w:p>
          <w:p>
            <w:pPr>
              <w:rPr>
                <w:color w:val="000000" w:themeColor="text1"/>
                <w:kern w:val="0"/>
                <w:szCs w:val="21"/>
              </w:rPr>
            </w:pPr>
            <w:r>
              <w:rPr>
                <w:color w:val="000000" w:themeColor="text1"/>
                <w:kern w:val="0"/>
                <w:szCs w:val="21"/>
              </w:rPr>
              <w:t>县级以上地方各级人民政府负有安全生产监督管理职责的部门应当将重大事故隐患纳入相关信息系统，建立健全重大事故隐患治理督办制度，督促生产经营单位消除重大事故隐患。</w:t>
            </w:r>
          </w:p>
        </w:tc>
        <w:tc>
          <w:tcPr>
            <w:tcW w:w="2193" w:type="dxa"/>
            <w:tcBorders>
              <w:top w:val="single" w:color="auto" w:sz="6" w:space="0"/>
              <w:left w:val="single" w:color="auto" w:sz="6" w:space="0"/>
              <w:bottom w:val="single" w:color="auto" w:sz="6" w:space="0"/>
              <w:right w:val="single" w:color="auto" w:sz="6" w:space="0"/>
            </w:tcBorders>
          </w:tcPr>
          <w:p>
            <w:pPr>
              <w:rPr>
                <w:color w:val="000000" w:themeColor="text1"/>
                <w:kern w:val="0"/>
                <w:szCs w:val="21"/>
              </w:rPr>
            </w:pPr>
            <w:r>
              <w:rPr>
                <w:color w:val="000000" w:themeColor="text1"/>
                <w:szCs w:val="21"/>
              </w:rPr>
              <w:t>《中华人民共和国安全生产法》（中华人民共和国主席令第八十八号）</w:t>
            </w:r>
            <w:r>
              <w:rPr>
                <w:color w:val="000000" w:themeColor="text1"/>
                <w:kern w:val="0"/>
                <w:szCs w:val="21"/>
              </w:rPr>
              <w:t>第四十一条</w:t>
            </w:r>
          </w:p>
        </w:tc>
        <w:tc>
          <w:tcPr>
            <w:tcW w:w="2689" w:type="dxa"/>
            <w:tcBorders>
              <w:top w:val="single" w:color="auto" w:sz="6" w:space="0"/>
              <w:left w:val="single" w:color="auto" w:sz="6" w:space="0"/>
              <w:bottom w:val="single" w:color="auto" w:sz="6" w:space="0"/>
              <w:right w:val="single" w:color="auto" w:sz="6" w:space="0"/>
            </w:tcBorders>
            <w:vAlign w:val="center"/>
          </w:tcPr>
          <w:p>
            <w:pPr>
              <w:rPr>
                <w:color w:val="000000" w:themeColor="text1"/>
                <w:kern w:val="0"/>
                <w:szCs w:val="21"/>
              </w:rPr>
            </w:pPr>
            <w:r>
              <w:rPr>
                <w:color w:val="000000" w:themeColor="text1"/>
                <w:kern w:val="0"/>
                <w:szCs w:val="21"/>
              </w:rPr>
              <w:t>公司编制了隐患治理管理制度，还制定了事故管理制度并进行了日常安全检查。</w:t>
            </w:r>
          </w:p>
        </w:tc>
        <w:tc>
          <w:tcPr>
            <w:tcW w:w="713" w:type="dxa"/>
            <w:tcBorders>
              <w:top w:val="single" w:color="auto" w:sz="6" w:space="0"/>
              <w:left w:val="single" w:color="auto" w:sz="6" w:space="0"/>
              <w:bottom w:val="single" w:color="auto" w:sz="6" w:space="0"/>
              <w:right w:val="single" w:color="auto" w:sz="6" w:space="0"/>
            </w:tcBorders>
            <w:vAlign w:val="center"/>
          </w:tcPr>
          <w:p>
            <w:pPr>
              <w:rPr>
                <w:color w:val="000000" w:themeColor="text1"/>
                <w:szCs w:val="21"/>
              </w:rPr>
            </w:pPr>
            <w:r>
              <w:rPr>
                <w:color w:val="000000" w:themeColor="text1"/>
                <w:szCs w:val="21"/>
              </w:rPr>
              <w:t>符合</w:t>
            </w:r>
          </w:p>
        </w:tc>
      </w:tr>
      <w:tr>
        <w:tblPrEx>
          <w:tblCellMar>
            <w:top w:w="0" w:type="dxa"/>
            <w:left w:w="108" w:type="dxa"/>
            <w:bottom w:w="0" w:type="dxa"/>
            <w:right w:w="108" w:type="dxa"/>
          </w:tblCellMar>
        </w:tblPrEx>
        <w:trPr>
          <w:trHeight w:val="454" w:hRule="atLeast"/>
          <w:jc w:val="center"/>
        </w:trPr>
        <w:tc>
          <w:tcPr>
            <w:tcW w:w="702" w:type="dxa"/>
            <w:tcBorders>
              <w:top w:val="single" w:color="auto" w:sz="6" w:space="0"/>
              <w:left w:val="single" w:color="auto" w:sz="6" w:space="0"/>
              <w:bottom w:val="single" w:color="auto" w:sz="6" w:space="0"/>
              <w:right w:val="single" w:color="auto" w:sz="6" w:space="0"/>
            </w:tcBorders>
            <w:vAlign w:val="center"/>
          </w:tcPr>
          <w:p>
            <w:pPr>
              <w:numPr>
                <w:ilvl w:val="0"/>
                <w:numId w:val="24"/>
              </w:numPr>
              <w:tabs>
                <w:tab w:val="left" w:pos="630"/>
              </w:tabs>
              <w:autoSpaceDE w:val="0"/>
              <w:autoSpaceDN w:val="0"/>
              <w:adjustRightInd w:val="0"/>
              <w:rPr>
                <w:color w:val="000000" w:themeColor="text1"/>
                <w:szCs w:val="21"/>
              </w:rPr>
            </w:pPr>
          </w:p>
        </w:tc>
        <w:tc>
          <w:tcPr>
            <w:tcW w:w="3104" w:type="dxa"/>
            <w:tcBorders>
              <w:top w:val="single" w:color="auto" w:sz="6" w:space="0"/>
              <w:left w:val="single" w:color="auto" w:sz="6" w:space="0"/>
              <w:bottom w:val="single" w:color="auto" w:sz="6" w:space="0"/>
              <w:right w:val="single" w:color="auto" w:sz="6" w:space="0"/>
            </w:tcBorders>
          </w:tcPr>
          <w:p>
            <w:pPr>
              <w:jc w:val="left"/>
              <w:rPr>
                <w:color w:val="000000" w:themeColor="text1"/>
                <w:szCs w:val="21"/>
                <w:lang w:val="zh-CN"/>
              </w:rPr>
            </w:pPr>
            <w:r>
              <w:rPr>
                <w:color w:val="000000" w:themeColor="text1"/>
                <w:szCs w:val="21"/>
              </w:rPr>
              <w:t>生产经营单位应当建立健全下列制度：(一)安全生产责任制度；(二)安全生产教育培训制度；(三)安全生产检查制度；(四))劳动防护用品管理制度；(五)法律、法规规定应当制定的其他安全生产制度。</w:t>
            </w:r>
          </w:p>
        </w:tc>
        <w:tc>
          <w:tcPr>
            <w:tcW w:w="2193" w:type="dxa"/>
            <w:tcBorders>
              <w:top w:val="single" w:color="auto" w:sz="6" w:space="0"/>
              <w:left w:val="single" w:color="auto" w:sz="6" w:space="0"/>
              <w:bottom w:val="single" w:color="auto" w:sz="6" w:space="0"/>
              <w:right w:val="single" w:color="auto" w:sz="6" w:space="0"/>
            </w:tcBorders>
            <w:vAlign w:val="center"/>
          </w:tcPr>
          <w:p>
            <w:pPr>
              <w:jc w:val="left"/>
              <w:rPr>
                <w:color w:val="000000" w:themeColor="text1"/>
                <w:szCs w:val="21"/>
                <w:lang w:val="zh-CN"/>
              </w:rPr>
            </w:pPr>
            <w:r>
              <w:rPr>
                <w:color w:val="000000" w:themeColor="text1"/>
                <w:szCs w:val="21"/>
              </w:rPr>
              <w:t>《云南省安全生产条例》第二章第十六条</w:t>
            </w:r>
          </w:p>
        </w:tc>
        <w:tc>
          <w:tcPr>
            <w:tcW w:w="2689" w:type="dxa"/>
            <w:tcBorders>
              <w:top w:val="single" w:color="auto" w:sz="6" w:space="0"/>
              <w:left w:val="single" w:color="auto" w:sz="6" w:space="0"/>
              <w:bottom w:val="single" w:color="auto" w:sz="6" w:space="0"/>
              <w:right w:val="single" w:color="auto" w:sz="6" w:space="0"/>
            </w:tcBorders>
            <w:vAlign w:val="center"/>
          </w:tcPr>
          <w:p>
            <w:pPr>
              <w:jc w:val="left"/>
              <w:rPr>
                <w:color w:val="000000" w:themeColor="text1"/>
                <w:szCs w:val="21"/>
              </w:rPr>
            </w:pPr>
            <w:r>
              <w:rPr>
                <w:color w:val="000000" w:themeColor="text1"/>
                <w:szCs w:val="21"/>
              </w:rPr>
              <w:t>公司制定了各级人员安全职责、安全培训教育制度、安全劳动防护用品（具）以及其他相应的安全管理制度。</w:t>
            </w:r>
          </w:p>
        </w:tc>
        <w:tc>
          <w:tcPr>
            <w:tcW w:w="713" w:type="dxa"/>
            <w:tcBorders>
              <w:top w:val="single" w:color="auto" w:sz="6" w:space="0"/>
              <w:left w:val="single" w:color="auto" w:sz="6" w:space="0"/>
              <w:bottom w:val="single" w:color="auto" w:sz="6" w:space="0"/>
              <w:right w:val="single" w:color="auto" w:sz="6" w:space="0"/>
            </w:tcBorders>
            <w:vAlign w:val="center"/>
          </w:tcPr>
          <w:p>
            <w:pPr>
              <w:rPr>
                <w:color w:val="000000" w:themeColor="text1"/>
                <w:szCs w:val="21"/>
              </w:rPr>
            </w:pPr>
            <w:r>
              <w:rPr>
                <w:color w:val="000000" w:themeColor="text1"/>
                <w:szCs w:val="21"/>
              </w:rPr>
              <w:t>符合</w:t>
            </w:r>
          </w:p>
        </w:tc>
      </w:tr>
      <w:tr>
        <w:tblPrEx>
          <w:tblCellMar>
            <w:top w:w="0" w:type="dxa"/>
            <w:left w:w="108" w:type="dxa"/>
            <w:bottom w:w="0" w:type="dxa"/>
            <w:right w:w="108" w:type="dxa"/>
          </w:tblCellMar>
        </w:tblPrEx>
        <w:trPr>
          <w:trHeight w:val="454" w:hRule="atLeast"/>
          <w:jc w:val="center"/>
        </w:trPr>
        <w:tc>
          <w:tcPr>
            <w:tcW w:w="9401" w:type="dxa"/>
            <w:gridSpan w:val="5"/>
            <w:tcBorders>
              <w:top w:val="single" w:color="auto" w:sz="6" w:space="0"/>
              <w:left w:val="single" w:color="auto" w:sz="6" w:space="0"/>
              <w:bottom w:val="single" w:color="auto" w:sz="6" w:space="0"/>
              <w:right w:val="single" w:color="auto" w:sz="6" w:space="0"/>
            </w:tcBorders>
            <w:vAlign w:val="center"/>
          </w:tcPr>
          <w:p>
            <w:pPr>
              <w:jc w:val="center"/>
              <w:rPr>
                <w:color w:val="000000" w:themeColor="text1"/>
                <w:szCs w:val="21"/>
              </w:rPr>
            </w:pPr>
            <w:r>
              <w:rPr>
                <w:b/>
                <w:bCs/>
                <w:color w:val="000000" w:themeColor="text1"/>
                <w:szCs w:val="21"/>
              </w:rPr>
              <w:t>安全教育培训及人员持证</w:t>
            </w:r>
          </w:p>
        </w:tc>
      </w:tr>
      <w:tr>
        <w:tblPrEx>
          <w:tblCellMar>
            <w:top w:w="0" w:type="dxa"/>
            <w:left w:w="108" w:type="dxa"/>
            <w:bottom w:w="0" w:type="dxa"/>
            <w:right w:w="108" w:type="dxa"/>
          </w:tblCellMar>
        </w:tblPrEx>
        <w:trPr>
          <w:trHeight w:val="454" w:hRule="atLeast"/>
          <w:jc w:val="center"/>
        </w:trPr>
        <w:tc>
          <w:tcPr>
            <w:tcW w:w="702" w:type="dxa"/>
            <w:tcBorders>
              <w:top w:val="single" w:color="auto" w:sz="6" w:space="0"/>
              <w:left w:val="single" w:color="auto" w:sz="6" w:space="0"/>
              <w:bottom w:val="single" w:color="auto" w:sz="6" w:space="0"/>
              <w:right w:val="single" w:color="auto" w:sz="6" w:space="0"/>
            </w:tcBorders>
            <w:vAlign w:val="center"/>
          </w:tcPr>
          <w:p>
            <w:pPr>
              <w:numPr>
                <w:ilvl w:val="0"/>
                <w:numId w:val="25"/>
              </w:numPr>
              <w:rPr>
                <w:color w:val="000000" w:themeColor="text1"/>
                <w:szCs w:val="21"/>
              </w:rPr>
            </w:pPr>
          </w:p>
        </w:tc>
        <w:tc>
          <w:tcPr>
            <w:tcW w:w="3104" w:type="dxa"/>
            <w:tcBorders>
              <w:top w:val="single" w:color="auto" w:sz="6" w:space="0"/>
              <w:left w:val="single" w:color="auto" w:sz="6" w:space="0"/>
              <w:bottom w:val="single" w:color="auto" w:sz="6" w:space="0"/>
              <w:right w:val="single" w:color="auto" w:sz="6" w:space="0"/>
            </w:tcBorders>
            <w:vAlign w:val="center"/>
          </w:tcPr>
          <w:p>
            <w:pPr>
              <w:jc w:val="left"/>
              <w:rPr>
                <w:color w:val="000000" w:themeColor="text1"/>
                <w:kern w:val="0"/>
                <w:szCs w:val="21"/>
              </w:rPr>
            </w:pPr>
            <w:r>
              <w:rPr>
                <w:color w:val="000000" w:themeColor="text1"/>
                <w:szCs w:val="21"/>
              </w:rPr>
              <w:t>生产经营单位应当按照安全生产法和有关法律、行政法规和本规定，建立健全安全培训工作制度。</w:t>
            </w:r>
          </w:p>
        </w:tc>
        <w:tc>
          <w:tcPr>
            <w:tcW w:w="2193" w:type="dxa"/>
            <w:tcBorders>
              <w:top w:val="single" w:color="auto" w:sz="6" w:space="0"/>
              <w:left w:val="single" w:color="auto" w:sz="6" w:space="0"/>
              <w:bottom w:val="single" w:color="auto" w:sz="6" w:space="0"/>
              <w:right w:val="single" w:color="auto" w:sz="6" w:space="0"/>
            </w:tcBorders>
            <w:vAlign w:val="center"/>
          </w:tcPr>
          <w:p>
            <w:pPr>
              <w:jc w:val="left"/>
              <w:rPr>
                <w:color w:val="000000" w:themeColor="text1"/>
                <w:kern w:val="0"/>
                <w:szCs w:val="21"/>
              </w:rPr>
            </w:pPr>
            <w:r>
              <w:rPr>
                <w:color w:val="000000" w:themeColor="text1"/>
                <w:szCs w:val="21"/>
              </w:rPr>
              <w:t>《生产经营单位安全培训规定》（修订）（国家安监总局令第3号，2013年8月29号）第三条</w:t>
            </w:r>
          </w:p>
        </w:tc>
        <w:tc>
          <w:tcPr>
            <w:tcW w:w="2689" w:type="dxa"/>
            <w:tcBorders>
              <w:top w:val="single" w:color="auto" w:sz="6" w:space="0"/>
              <w:left w:val="single" w:color="auto" w:sz="6" w:space="0"/>
              <w:bottom w:val="single" w:color="auto" w:sz="6" w:space="0"/>
              <w:right w:val="single" w:color="auto" w:sz="6" w:space="0"/>
            </w:tcBorders>
            <w:vAlign w:val="center"/>
          </w:tcPr>
          <w:p>
            <w:pPr>
              <w:jc w:val="left"/>
              <w:rPr>
                <w:color w:val="000000" w:themeColor="text1"/>
                <w:kern w:val="0"/>
                <w:szCs w:val="21"/>
              </w:rPr>
            </w:pPr>
            <w:r>
              <w:rPr>
                <w:color w:val="000000" w:themeColor="text1"/>
                <w:szCs w:val="21"/>
              </w:rPr>
              <w:t>制定了安全教育培训制度。</w:t>
            </w:r>
          </w:p>
        </w:tc>
        <w:tc>
          <w:tcPr>
            <w:tcW w:w="713" w:type="dxa"/>
            <w:tcBorders>
              <w:top w:val="single" w:color="auto" w:sz="6" w:space="0"/>
              <w:left w:val="single" w:color="auto" w:sz="6" w:space="0"/>
              <w:bottom w:val="single" w:color="auto" w:sz="6" w:space="0"/>
              <w:right w:val="single" w:color="auto" w:sz="6" w:space="0"/>
            </w:tcBorders>
            <w:vAlign w:val="center"/>
          </w:tcPr>
          <w:p>
            <w:pPr>
              <w:rPr>
                <w:color w:val="000000" w:themeColor="text1"/>
                <w:szCs w:val="21"/>
              </w:rPr>
            </w:pPr>
            <w:r>
              <w:rPr>
                <w:color w:val="000000" w:themeColor="text1"/>
                <w:szCs w:val="21"/>
              </w:rPr>
              <w:t>符合</w:t>
            </w:r>
          </w:p>
        </w:tc>
      </w:tr>
      <w:tr>
        <w:tblPrEx>
          <w:tblCellMar>
            <w:top w:w="0" w:type="dxa"/>
            <w:left w:w="108" w:type="dxa"/>
            <w:bottom w:w="0" w:type="dxa"/>
            <w:right w:w="108" w:type="dxa"/>
          </w:tblCellMar>
        </w:tblPrEx>
        <w:trPr>
          <w:trHeight w:val="454" w:hRule="atLeast"/>
          <w:jc w:val="center"/>
        </w:trPr>
        <w:tc>
          <w:tcPr>
            <w:tcW w:w="702" w:type="dxa"/>
            <w:tcBorders>
              <w:top w:val="single" w:color="auto" w:sz="6" w:space="0"/>
              <w:left w:val="single" w:color="auto" w:sz="6" w:space="0"/>
              <w:bottom w:val="single" w:color="auto" w:sz="6" w:space="0"/>
              <w:right w:val="single" w:color="auto" w:sz="6" w:space="0"/>
            </w:tcBorders>
            <w:vAlign w:val="center"/>
          </w:tcPr>
          <w:p>
            <w:pPr>
              <w:numPr>
                <w:ilvl w:val="0"/>
                <w:numId w:val="25"/>
              </w:numPr>
              <w:rPr>
                <w:color w:val="000000" w:themeColor="text1"/>
                <w:szCs w:val="21"/>
              </w:rPr>
            </w:pPr>
          </w:p>
        </w:tc>
        <w:tc>
          <w:tcPr>
            <w:tcW w:w="3104" w:type="dxa"/>
            <w:tcBorders>
              <w:top w:val="single" w:color="auto" w:sz="6" w:space="0"/>
              <w:left w:val="single" w:color="auto" w:sz="6" w:space="0"/>
              <w:bottom w:val="single" w:color="auto" w:sz="6" w:space="0"/>
              <w:right w:val="single" w:color="auto" w:sz="6" w:space="0"/>
            </w:tcBorders>
            <w:vAlign w:val="center"/>
          </w:tcPr>
          <w:p>
            <w:pPr>
              <w:jc w:val="left"/>
              <w:rPr>
                <w:color w:val="000000" w:themeColor="text1"/>
                <w:kern w:val="0"/>
                <w:szCs w:val="21"/>
              </w:rPr>
            </w:pPr>
            <w:r>
              <w:rPr>
                <w:color w:val="000000" w:themeColor="text1"/>
                <w:szCs w:val="21"/>
              </w:rPr>
              <w:t>生产经营单位应当进行安全培训的从业人员包括主要负责人、安全生产管理人员、特种作业人员和其他从业人员。生产经营单位从业人员应当接受安全培训，熟悉有关安全生产规章制度和安全操作规程，具备必要的安全生产知识，掌握本岗位的安全操作技能，增强预防事故、控制职业危害和应急处理的能力。未经安全生产培训合格的从业人员，不得上岗作业。</w:t>
            </w:r>
          </w:p>
        </w:tc>
        <w:tc>
          <w:tcPr>
            <w:tcW w:w="2193" w:type="dxa"/>
            <w:tcBorders>
              <w:top w:val="single" w:color="auto" w:sz="6" w:space="0"/>
              <w:left w:val="single" w:color="auto" w:sz="6" w:space="0"/>
              <w:bottom w:val="single" w:color="auto" w:sz="6" w:space="0"/>
              <w:right w:val="single" w:color="auto" w:sz="6" w:space="0"/>
            </w:tcBorders>
            <w:vAlign w:val="center"/>
          </w:tcPr>
          <w:p>
            <w:pPr>
              <w:jc w:val="left"/>
              <w:rPr>
                <w:color w:val="000000" w:themeColor="text1"/>
                <w:kern w:val="0"/>
                <w:szCs w:val="21"/>
              </w:rPr>
            </w:pPr>
            <w:r>
              <w:rPr>
                <w:color w:val="000000" w:themeColor="text1"/>
                <w:szCs w:val="21"/>
              </w:rPr>
              <w:t>《生产经营单位安全培训规定》（修订）（国家安监总局令第3号，2013年8月29号）第四条</w:t>
            </w:r>
          </w:p>
        </w:tc>
        <w:tc>
          <w:tcPr>
            <w:tcW w:w="2689" w:type="dxa"/>
            <w:tcBorders>
              <w:top w:val="single" w:color="auto" w:sz="6" w:space="0"/>
              <w:left w:val="single" w:color="auto" w:sz="6" w:space="0"/>
              <w:bottom w:val="single" w:color="auto" w:sz="6" w:space="0"/>
              <w:right w:val="single" w:color="auto" w:sz="6" w:space="0"/>
            </w:tcBorders>
            <w:vAlign w:val="center"/>
          </w:tcPr>
          <w:p>
            <w:pPr>
              <w:jc w:val="left"/>
              <w:rPr>
                <w:color w:val="000000" w:themeColor="text1"/>
                <w:kern w:val="0"/>
                <w:szCs w:val="21"/>
              </w:rPr>
            </w:pPr>
            <w:r>
              <w:rPr>
                <w:color w:val="000000" w:themeColor="text1"/>
                <w:szCs w:val="21"/>
              </w:rPr>
              <w:t>制定的安全培训教育制度。各级人员按要求取得相应的资质证书。</w:t>
            </w:r>
          </w:p>
        </w:tc>
        <w:tc>
          <w:tcPr>
            <w:tcW w:w="713" w:type="dxa"/>
            <w:tcBorders>
              <w:top w:val="single" w:color="auto" w:sz="6" w:space="0"/>
              <w:left w:val="single" w:color="auto" w:sz="6" w:space="0"/>
              <w:bottom w:val="single" w:color="auto" w:sz="6" w:space="0"/>
              <w:right w:val="single" w:color="auto" w:sz="6" w:space="0"/>
            </w:tcBorders>
            <w:vAlign w:val="center"/>
          </w:tcPr>
          <w:p>
            <w:pPr>
              <w:rPr>
                <w:color w:val="000000" w:themeColor="text1"/>
                <w:szCs w:val="21"/>
              </w:rPr>
            </w:pPr>
            <w:r>
              <w:rPr>
                <w:color w:val="000000" w:themeColor="text1"/>
                <w:szCs w:val="21"/>
              </w:rPr>
              <w:t>符合</w:t>
            </w:r>
          </w:p>
        </w:tc>
      </w:tr>
      <w:tr>
        <w:tblPrEx>
          <w:tblCellMar>
            <w:top w:w="0" w:type="dxa"/>
            <w:left w:w="108" w:type="dxa"/>
            <w:bottom w:w="0" w:type="dxa"/>
            <w:right w:w="108" w:type="dxa"/>
          </w:tblCellMar>
        </w:tblPrEx>
        <w:trPr>
          <w:trHeight w:val="454" w:hRule="atLeast"/>
          <w:jc w:val="center"/>
        </w:trPr>
        <w:tc>
          <w:tcPr>
            <w:tcW w:w="702" w:type="dxa"/>
            <w:tcBorders>
              <w:top w:val="single" w:color="auto" w:sz="6" w:space="0"/>
              <w:left w:val="single" w:color="auto" w:sz="6" w:space="0"/>
              <w:bottom w:val="single" w:color="auto" w:sz="6" w:space="0"/>
              <w:right w:val="single" w:color="auto" w:sz="6" w:space="0"/>
            </w:tcBorders>
            <w:vAlign w:val="center"/>
          </w:tcPr>
          <w:p>
            <w:pPr>
              <w:numPr>
                <w:ilvl w:val="0"/>
                <w:numId w:val="25"/>
              </w:numPr>
              <w:rPr>
                <w:color w:val="000000" w:themeColor="text1"/>
                <w:szCs w:val="21"/>
              </w:rPr>
            </w:pPr>
          </w:p>
        </w:tc>
        <w:tc>
          <w:tcPr>
            <w:tcW w:w="3104" w:type="dxa"/>
            <w:tcBorders>
              <w:top w:val="single" w:color="auto" w:sz="6" w:space="0"/>
              <w:left w:val="single" w:color="auto" w:sz="6" w:space="0"/>
              <w:bottom w:val="single" w:color="auto" w:sz="6" w:space="0"/>
              <w:right w:val="single" w:color="auto" w:sz="6" w:space="0"/>
            </w:tcBorders>
            <w:vAlign w:val="center"/>
          </w:tcPr>
          <w:p>
            <w:pPr>
              <w:jc w:val="left"/>
              <w:rPr>
                <w:color w:val="000000" w:themeColor="text1"/>
                <w:kern w:val="0"/>
                <w:szCs w:val="21"/>
              </w:rPr>
            </w:pPr>
            <w:r>
              <w:rPr>
                <w:color w:val="000000" w:themeColor="text1"/>
                <w:kern w:val="0"/>
                <w:szCs w:val="21"/>
              </w:rPr>
              <w:t>生产经营单位主要负责人和安全生产管理人员应当接受安全培训，具备与所从事的生产经营活动相适应的安全生产知识和管理能力。</w:t>
            </w:r>
          </w:p>
        </w:tc>
        <w:tc>
          <w:tcPr>
            <w:tcW w:w="2193" w:type="dxa"/>
            <w:tcBorders>
              <w:top w:val="single" w:color="auto" w:sz="6" w:space="0"/>
              <w:left w:val="single" w:color="auto" w:sz="6" w:space="0"/>
              <w:bottom w:val="single" w:color="auto" w:sz="6" w:space="0"/>
              <w:right w:val="single" w:color="auto" w:sz="6" w:space="0"/>
            </w:tcBorders>
            <w:vAlign w:val="center"/>
          </w:tcPr>
          <w:p>
            <w:pPr>
              <w:widowControl/>
              <w:jc w:val="left"/>
              <w:rPr>
                <w:color w:val="000000" w:themeColor="text1"/>
                <w:kern w:val="0"/>
                <w:szCs w:val="21"/>
              </w:rPr>
            </w:pPr>
            <w:r>
              <w:rPr>
                <w:color w:val="000000" w:themeColor="text1"/>
                <w:szCs w:val="21"/>
              </w:rPr>
              <w:t>《生产经营单位安全培训规定》（国家安监总局令第3号）</w:t>
            </w:r>
            <w:r>
              <w:rPr>
                <w:color w:val="000000" w:themeColor="text1"/>
                <w:kern w:val="0"/>
                <w:szCs w:val="21"/>
              </w:rPr>
              <w:t>第六条</w:t>
            </w:r>
          </w:p>
        </w:tc>
        <w:tc>
          <w:tcPr>
            <w:tcW w:w="2689" w:type="dxa"/>
            <w:tcBorders>
              <w:top w:val="single" w:color="auto" w:sz="6" w:space="0"/>
              <w:left w:val="single" w:color="auto" w:sz="6" w:space="0"/>
              <w:bottom w:val="single" w:color="auto" w:sz="6" w:space="0"/>
              <w:right w:val="single" w:color="auto" w:sz="6" w:space="0"/>
            </w:tcBorders>
            <w:vAlign w:val="center"/>
          </w:tcPr>
          <w:p>
            <w:pPr>
              <w:jc w:val="left"/>
              <w:rPr>
                <w:rFonts w:hint="default" w:eastAsia="宋体"/>
                <w:color w:val="000000" w:themeColor="text1"/>
                <w:kern w:val="0"/>
                <w:szCs w:val="21"/>
                <w:lang w:val="en-US" w:eastAsia="zh-CN"/>
              </w:rPr>
            </w:pPr>
            <w:r>
              <w:rPr>
                <w:rFonts w:hint="eastAsia"/>
                <w:color w:val="000000" w:themeColor="text1"/>
                <w:kern w:val="0"/>
                <w:szCs w:val="21"/>
                <w:lang w:val="en-US" w:eastAsia="zh-CN"/>
              </w:rPr>
              <w:t>主要负责人及安全管理人员持证上岗</w:t>
            </w:r>
          </w:p>
        </w:tc>
        <w:tc>
          <w:tcPr>
            <w:tcW w:w="713" w:type="dxa"/>
            <w:tcBorders>
              <w:top w:val="single" w:color="auto" w:sz="6" w:space="0"/>
              <w:left w:val="single" w:color="auto" w:sz="6" w:space="0"/>
              <w:bottom w:val="single" w:color="auto" w:sz="6" w:space="0"/>
              <w:right w:val="single" w:color="auto" w:sz="6" w:space="0"/>
            </w:tcBorders>
            <w:vAlign w:val="center"/>
          </w:tcPr>
          <w:p>
            <w:pPr>
              <w:rPr>
                <w:color w:val="000000" w:themeColor="text1"/>
                <w:szCs w:val="21"/>
              </w:rPr>
            </w:pPr>
            <w:r>
              <w:rPr>
                <w:color w:val="000000" w:themeColor="text1"/>
                <w:szCs w:val="21"/>
              </w:rPr>
              <w:t>符合</w:t>
            </w:r>
          </w:p>
        </w:tc>
      </w:tr>
      <w:tr>
        <w:tblPrEx>
          <w:tblCellMar>
            <w:top w:w="0" w:type="dxa"/>
            <w:left w:w="108" w:type="dxa"/>
            <w:bottom w:w="0" w:type="dxa"/>
            <w:right w:w="108" w:type="dxa"/>
          </w:tblCellMar>
        </w:tblPrEx>
        <w:trPr>
          <w:trHeight w:val="454" w:hRule="atLeast"/>
          <w:jc w:val="center"/>
        </w:trPr>
        <w:tc>
          <w:tcPr>
            <w:tcW w:w="9401" w:type="dxa"/>
            <w:gridSpan w:val="5"/>
            <w:tcBorders>
              <w:top w:val="single" w:color="auto" w:sz="6" w:space="0"/>
              <w:left w:val="single" w:color="auto" w:sz="6" w:space="0"/>
              <w:bottom w:val="single" w:color="auto" w:sz="6" w:space="0"/>
              <w:right w:val="single" w:color="auto" w:sz="6" w:space="0"/>
            </w:tcBorders>
            <w:vAlign w:val="center"/>
          </w:tcPr>
          <w:p>
            <w:pPr>
              <w:jc w:val="center"/>
              <w:rPr>
                <w:color w:val="000000" w:themeColor="text1"/>
                <w:szCs w:val="21"/>
              </w:rPr>
            </w:pPr>
            <w:r>
              <w:rPr>
                <w:b/>
                <w:bCs/>
                <w:color w:val="000000" w:themeColor="text1"/>
                <w:szCs w:val="21"/>
              </w:rPr>
              <w:t>事故应急救援管理</w:t>
            </w:r>
          </w:p>
        </w:tc>
      </w:tr>
      <w:tr>
        <w:tblPrEx>
          <w:tblCellMar>
            <w:top w:w="0" w:type="dxa"/>
            <w:left w:w="108" w:type="dxa"/>
            <w:bottom w:w="0" w:type="dxa"/>
            <w:right w:w="108" w:type="dxa"/>
          </w:tblCellMar>
        </w:tblPrEx>
        <w:trPr>
          <w:trHeight w:val="454" w:hRule="atLeast"/>
          <w:jc w:val="center"/>
        </w:trPr>
        <w:tc>
          <w:tcPr>
            <w:tcW w:w="702" w:type="dxa"/>
            <w:tcBorders>
              <w:top w:val="single" w:color="auto" w:sz="6" w:space="0"/>
              <w:left w:val="single" w:color="auto" w:sz="6" w:space="0"/>
              <w:bottom w:val="single" w:color="auto" w:sz="6" w:space="0"/>
              <w:right w:val="single" w:color="auto" w:sz="6" w:space="0"/>
            </w:tcBorders>
            <w:vAlign w:val="center"/>
          </w:tcPr>
          <w:p>
            <w:pPr>
              <w:numPr>
                <w:ilvl w:val="0"/>
                <w:numId w:val="26"/>
              </w:numPr>
              <w:ind w:firstLine="0"/>
              <w:rPr>
                <w:color w:val="000000" w:themeColor="text1"/>
                <w:szCs w:val="21"/>
              </w:rPr>
            </w:pPr>
          </w:p>
        </w:tc>
        <w:tc>
          <w:tcPr>
            <w:tcW w:w="3104" w:type="dxa"/>
            <w:tcBorders>
              <w:top w:val="single" w:color="auto" w:sz="6" w:space="0"/>
              <w:left w:val="single" w:color="auto" w:sz="6" w:space="0"/>
              <w:bottom w:val="single" w:color="auto" w:sz="6" w:space="0"/>
              <w:right w:val="single" w:color="auto" w:sz="6" w:space="0"/>
            </w:tcBorders>
            <w:vAlign w:val="center"/>
          </w:tcPr>
          <w:p>
            <w:pPr>
              <w:rPr>
                <w:color w:val="000000" w:themeColor="text1"/>
                <w:kern w:val="0"/>
                <w:szCs w:val="21"/>
              </w:rPr>
            </w:pPr>
            <w:r>
              <w:rPr>
                <w:color w:val="000000" w:themeColor="text1"/>
                <w:kern w:val="0"/>
                <w:szCs w:val="21"/>
              </w:rPr>
              <w:t>生产经营单位应当制定本单位生产安全事故应急救援预案，与所在地县级以上地方人民政府组织制定的生产安全事故应急救援预案相衔接，并定期组织演练。</w:t>
            </w:r>
          </w:p>
        </w:tc>
        <w:tc>
          <w:tcPr>
            <w:tcW w:w="2193" w:type="dxa"/>
            <w:tcBorders>
              <w:top w:val="single" w:color="auto" w:sz="6" w:space="0"/>
              <w:left w:val="single" w:color="auto" w:sz="6" w:space="0"/>
              <w:bottom w:val="single" w:color="auto" w:sz="6" w:space="0"/>
              <w:right w:val="single" w:color="auto" w:sz="6" w:space="0"/>
            </w:tcBorders>
            <w:vAlign w:val="center"/>
          </w:tcPr>
          <w:p>
            <w:pPr>
              <w:rPr>
                <w:color w:val="000000" w:themeColor="text1"/>
                <w:szCs w:val="21"/>
              </w:rPr>
            </w:pPr>
            <w:r>
              <w:rPr>
                <w:color w:val="000000" w:themeColor="text1"/>
                <w:szCs w:val="21"/>
              </w:rPr>
              <w:t>《中华人民共和国安全生产法》（中华人民共和国主席令第八十八号）</w:t>
            </w:r>
            <w:r>
              <w:rPr>
                <w:color w:val="000000" w:themeColor="text1"/>
                <w:kern w:val="0"/>
                <w:szCs w:val="21"/>
              </w:rPr>
              <w:t>第八十一条</w:t>
            </w:r>
          </w:p>
        </w:tc>
        <w:tc>
          <w:tcPr>
            <w:tcW w:w="2689" w:type="dxa"/>
            <w:tcBorders>
              <w:top w:val="single" w:color="auto" w:sz="6" w:space="0"/>
              <w:left w:val="single" w:color="auto" w:sz="6" w:space="0"/>
              <w:bottom w:val="single" w:color="auto" w:sz="6" w:space="0"/>
              <w:right w:val="single" w:color="auto" w:sz="6" w:space="0"/>
            </w:tcBorders>
            <w:vAlign w:val="center"/>
          </w:tcPr>
          <w:p>
            <w:pPr>
              <w:rPr>
                <w:color w:val="000000" w:themeColor="text1"/>
                <w:kern w:val="0"/>
                <w:szCs w:val="21"/>
              </w:rPr>
            </w:pPr>
            <w:r>
              <w:rPr>
                <w:color w:val="000000" w:themeColor="text1"/>
                <w:szCs w:val="21"/>
              </w:rPr>
              <w:t>公司编制了安全生产事故应急预案，并进行了演练。</w:t>
            </w:r>
          </w:p>
        </w:tc>
        <w:tc>
          <w:tcPr>
            <w:tcW w:w="713" w:type="dxa"/>
            <w:tcBorders>
              <w:top w:val="single" w:color="auto" w:sz="6" w:space="0"/>
              <w:left w:val="single" w:color="auto" w:sz="6" w:space="0"/>
              <w:bottom w:val="single" w:color="auto" w:sz="6" w:space="0"/>
              <w:right w:val="single" w:color="auto" w:sz="6" w:space="0"/>
            </w:tcBorders>
            <w:vAlign w:val="center"/>
          </w:tcPr>
          <w:p>
            <w:pPr>
              <w:rPr>
                <w:color w:val="000000" w:themeColor="text1"/>
                <w:szCs w:val="21"/>
              </w:rPr>
            </w:pPr>
            <w:r>
              <w:rPr>
                <w:color w:val="000000" w:themeColor="text1"/>
                <w:szCs w:val="21"/>
              </w:rPr>
              <w:t>符合</w:t>
            </w:r>
          </w:p>
        </w:tc>
      </w:tr>
      <w:tr>
        <w:tblPrEx>
          <w:tblCellMar>
            <w:top w:w="0" w:type="dxa"/>
            <w:left w:w="108" w:type="dxa"/>
            <w:bottom w:w="0" w:type="dxa"/>
            <w:right w:w="108" w:type="dxa"/>
          </w:tblCellMar>
        </w:tblPrEx>
        <w:trPr>
          <w:trHeight w:val="454" w:hRule="atLeast"/>
          <w:jc w:val="center"/>
        </w:trPr>
        <w:tc>
          <w:tcPr>
            <w:tcW w:w="702" w:type="dxa"/>
            <w:tcBorders>
              <w:top w:val="single" w:color="auto" w:sz="6" w:space="0"/>
              <w:left w:val="single" w:color="auto" w:sz="6" w:space="0"/>
              <w:bottom w:val="single" w:color="auto" w:sz="6" w:space="0"/>
              <w:right w:val="single" w:color="auto" w:sz="6" w:space="0"/>
            </w:tcBorders>
            <w:vAlign w:val="center"/>
          </w:tcPr>
          <w:p>
            <w:pPr>
              <w:numPr>
                <w:ilvl w:val="0"/>
                <w:numId w:val="26"/>
              </w:numPr>
              <w:ind w:firstLine="0"/>
              <w:rPr>
                <w:color w:val="000000" w:themeColor="text1"/>
                <w:szCs w:val="21"/>
              </w:rPr>
            </w:pPr>
          </w:p>
        </w:tc>
        <w:tc>
          <w:tcPr>
            <w:tcW w:w="3104" w:type="dxa"/>
            <w:tcBorders>
              <w:top w:val="single" w:color="auto" w:sz="6" w:space="0"/>
              <w:left w:val="single" w:color="auto" w:sz="6" w:space="0"/>
              <w:bottom w:val="single" w:color="auto" w:sz="6" w:space="0"/>
              <w:right w:val="single" w:color="auto" w:sz="6" w:space="0"/>
            </w:tcBorders>
            <w:vAlign w:val="center"/>
          </w:tcPr>
          <w:p>
            <w:pPr>
              <w:rPr>
                <w:color w:val="000000" w:themeColor="text1"/>
                <w:kern w:val="0"/>
                <w:szCs w:val="21"/>
              </w:rPr>
            </w:pPr>
            <w:r>
              <w:rPr>
                <w:color w:val="000000" w:themeColor="text1"/>
                <w:kern w:val="0"/>
                <w:szCs w:val="21"/>
              </w:rPr>
              <w:t>危险物品的生产、经营、储存单位以及矿山、金属冶炼、城市轨道交通运营、建筑施工单位应当建立应急救援组织；生产经营规模较小的，可以不建立应急救援组织，但应当指定兼职的应急救援人员。</w:t>
            </w:r>
          </w:p>
          <w:p>
            <w:pPr>
              <w:rPr>
                <w:color w:val="000000" w:themeColor="text1"/>
                <w:kern w:val="0"/>
                <w:szCs w:val="21"/>
              </w:rPr>
            </w:pPr>
            <w:r>
              <w:rPr>
                <w:color w:val="000000" w:themeColor="text1"/>
                <w:kern w:val="0"/>
                <w:szCs w:val="21"/>
              </w:rPr>
              <w:t>危险物品的生产、经营、储存、运输单位以及矿山、金属冶炼、城市轨道交通运营、建筑施工单位应当配备必要的应急救援器材、设备和物资，并进行经常性维护、保养，保证正常运转。</w:t>
            </w:r>
          </w:p>
        </w:tc>
        <w:tc>
          <w:tcPr>
            <w:tcW w:w="2193" w:type="dxa"/>
            <w:tcBorders>
              <w:top w:val="single" w:color="auto" w:sz="6" w:space="0"/>
              <w:left w:val="single" w:color="auto" w:sz="6" w:space="0"/>
              <w:bottom w:val="single" w:color="auto" w:sz="6" w:space="0"/>
              <w:right w:val="single" w:color="auto" w:sz="6" w:space="0"/>
            </w:tcBorders>
            <w:vAlign w:val="center"/>
          </w:tcPr>
          <w:p>
            <w:pPr>
              <w:rPr>
                <w:color w:val="000000" w:themeColor="text1"/>
                <w:szCs w:val="21"/>
              </w:rPr>
            </w:pPr>
            <w:r>
              <w:rPr>
                <w:color w:val="000000" w:themeColor="text1"/>
                <w:szCs w:val="21"/>
              </w:rPr>
              <w:t>《中华人民共和国安全生产法》（中华人民共和国主席令第八十八号）</w:t>
            </w:r>
            <w:r>
              <w:rPr>
                <w:color w:val="000000" w:themeColor="text1"/>
                <w:kern w:val="0"/>
                <w:szCs w:val="21"/>
              </w:rPr>
              <w:t>第八十二条</w:t>
            </w:r>
          </w:p>
        </w:tc>
        <w:tc>
          <w:tcPr>
            <w:tcW w:w="2689" w:type="dxa"/>
            <w:tcBorders>
              <w:top w:val="single" w:color="auto" w:sz="6" w:space="0"/>
              <w:left w:val="single" w:color="auto" w:sz="6" w:space="0"/>
              <w:bottom w:val="single" w:color="auto" w:sz="6" w:space="0"/>
              <w:right w:val="single" w:color="auto" w:sz="6" w:space="0"/>
            </w:tcBorders>
            <w:vAlign w:val="center"/>
          </w:tcPr>
          <w:p>
            <w:pPr>
              <w:rPr>
                <w:color w:val="000000" w:themeColor="text1"/>
                <w:kern w:val="0"/>
                <w:szCs w:val="21"/>
              </w:rPr>
            </w:pPr>
            <w:r>
              <w:rPr>
                <w:color w:val="000000" w:themeColor="text1"/>
                <w:kern w:val="0"/>
                <w:szCs w:val="21"/>
              </w:rPr>
              <w:t>根据公司编制的事故应急预案内容，成立了应急救援组织，配备了相应的应急救援器材和设备，并基本能够进行日常维护和保养。</w:t>
            </w:r>
          </w:p>
        </w:tc>
        <w:tc>
          <w:tcPr>
            <w:tcW w:w="713" w:type="dxa"/>
            <w:tcBorders>
              <w:top w:val="single" w:color="auto" w:sz="6" w:space="0"/>
              <w:left w:val="single" w:color="auto" w:sz="6" w:space="0"/>
              <w:bottom w:val="single" w:color="auto" w:sz="6" w:space="0"/>
              <w:right w:val="single" w:color="auto" w:sz="6" w:space="0"/>
            </w:tcBorders>
            <w:vAlign w:val="center"/>
          </w:tcPr>
          <w:p>
            <w:pPr>
              <w:rPr>
                <w:color w:val="000000" w:themeColor="text1"/>
                <w:szCs w:val="21"/>
              </w:rPr>
            </w:pPr>
            <w:r>
              <w:rPr>
                <w:color w:val="000000" w:themeColor="text1"/>
                <w:szCs w:val="21"/>
              </w:rPr>
              <w:t>符合</w:t>
            </w:r>
          </w:p>
        </w:tc>
      </w:tr>
      <w:tr>
        <w:tblPrEx>
          <w:tblCellMar>
            <w:top w:w="0" w:type="dxa"/>
            <w:left w:w="108" w:type="dxa"/>
            <w:bottom w:w="0" w:type="dxa"/>
            <w:right w:w="108" w:type="dxa"/>
          </w:tblCellMar>
        </w:tblPrEx>
        <w:trPr>
          <w:trHeight w:val="454" w:hRule="atLeast"/>
          <w:jc w:val="center"/>
        </w:trPr>
        <w:tc>
          <w:tcPr>
            <w:tcW w:w="702" w:type="dxa"/>
            <w:tcBorders>
              <w:top w:val="single" w:color="auto" w:sz="6" w:space="0"/>
              <w:left w:val="single" w:color="auto" w:sz="6" w:space="0"/>
              <w:bottom w:val="single" w:color="auto" w:sz="6" w:space="0"/>
              <w:right w:val="single" w:color="auto" w:sz="6" w:space="0"/>
            </w:tcBorders>
            <w:vAlign w:val="center"/>
          </w:tcPr>
          <w:p>
            <w:pPr>
              <w:numPr>
                <w:ilvl w:val="0"/>
                <w:numId w:val="26"/>
              </w:numPr>
              <w:ind w:firstLine="0"/>
              <w:rPr>
                <w:color w:val="000000" w:themeColor="text1"/>
                <w:szCs w:val="21"/>
              </w:rPr>
            </w:pPr>
          </w:p>
        </w:tc>
        <w:tc>
          <w:tcPr>
            <w:tcW w:w="3104" w:type="dxa"/>
            <w:tcBorders>
              <w:top w:val="single" w:color="auto" w:sz="6" w:space="0"/>
              <w:left w:val="single" w:color="auto" w:sz="6" w:space="0"/>
              <w:bottom w:val="single" w:color="auto" w:sz="6" w:space="0"/>
              <w:right w:val="single" w:color="auto" w:sz="6" w:space="0"/>
            </w:tcBorders>
            <w:vAlign w:val="center"/>
          </w:tcPr>
          <w:p>
            <w:pPr>
              <w:rPr>
                <w:color w:val="000000" w:themeColor="text1"/>
                <w:kern w:val="0"/>
                <w:szCs w:val="21"/>
              </w:rPr>
            </w:pPr>
            <w:r>
              <w:rPr>
                <w:color w:val="000000" w:themeColor="text1"/>
                <w:kern w:val="0"/>
                <w:szCs w:val="21"/>
              </w:rPr>
              <w:t>生产经营单位应当根据有关法律、法规和《生产经营单位安全生产事故应急预案编制导则》（GB/T29639-2020），结合本单位的危险源状况、危险性分析情况和可能发生的事故特点，制定相应的应急预案。</w:t>
            </w:r>
          </w:p>
          <w:p>
            <w:pPr>
              <w:rPr>
                <w:color w:val="000000" w:themeColor="text1"/>
                <w:kern w:val="0"/>
                <w:szCs w:val="21"/>
              </w:rPr>
            </w:pPr>
            <w:r>
              <w:rPr>
                <w:color w:val="000000" w:themeColor="text1"/>
                <w:kern w:val="0"/>
                <w:szCs w:val="21"/>
              </w:rPr>
              <w:t>生产经营单位的应急预案按照针对情况的不同，分为综合应急预案、专项应急预案和现场处置方案。</w:t>
            </w:r>
          </w:p>
        </w:tc>
        <w:tc>
          <w:tcPr>
            <w:tcW w:w="2193" w:type="dxa"/>
            <w:tcBorders>
              <w:top w:val="single" w:color="auto" w:sz="6" w:space="0"/>
              <w:left w:val="single" w:color="auto" w:sz="6" w:space="0"/>
              <w:bottom w:val="single" w:color="auto" w:sz="6" w:space="0"/>
              <w:right w:val="single" w:color="auto" w:sz="6" w:space="0"/>
            </w:tcBorders>
            <w:vAlign w:val="center"/>
          </w:tcPr>
          <w:p>
            <w:pPr>
              <w:rPr>
                <w:color w:val="000000" w:themeColor="text1"/>
                <w:szCs w:val="21"/>
              </w:rPr>
            </w:pPr>
            <w:r>
              <w:rPr>
                <w:color w:val="000000" w:themeColor="text1"/>
                <w:szCs w:val="21"/>
              </w:rPr>
              <w:t>《生产安全事故应急预案管理办法》（根据2019年6月24日《应急管理部关于修改〈生产安全事故应急预案管理办法〉的决定》修订，自2019年9月1日起实施）</w:t>
            </w:r>
          </w:p>
        </w:tc>
        <w:tc>
          <w:tcPr>
            <w:tcW w:w="2689" w:type="dxa"/>
            <w:tcBorders>
              <w:top w:val="single" w:color="auto" w:sz="6" w:space="0"/>
              <w:left w:val="single" w:color="auto" w:sz="6" w:space="0"/>
              <w:bottom w:val="single" w:color="auto" w:sz="6" w:space="0"/>
              <w:right w:val="single" w:color="auto" w:sz="6" w:space="0"/>
            </w:tcBorders>
            <w:vAlign w:val="center"/>
          </w:tcPr>
          <w:p>
            <w:pPr>
              <w:rPr>
                <w:color w:val="000000" w:themeColor="text1"/>
                <w:kern w:val="0"/>
                <w:szCs w:val="21"/>
              </w:rPr>
            </w:pPr>
            <w:r>
              <w:rPr>
                <w:color w:val="000000" w:themeColor="text1"/>
                <w:szCs w:val="21"/>
              </w:rPr>
              <w:t>该公司在</w:t>
            </w:r>
            <w:r>
              <w:rPr>
                <w:rFonts w:hint="eastAsia"/>
                <w:color w:val="000000" w:themeColor="text1"/>
                <w:szCs w:val="21"/>
                <w:lang w:val="en-US" w:eastAsia="zh-CN"/>
              </w:rPr>
              <w:t>2025</w:t>
            </w:r>
            <w:r>
              <w:rPr>
                <w:color w:val="000000" w:themeColor="text1"/>
                <w:szCs w:val="21"/>
              </w:rPr>
              <w:t>年编制了生产安全事故应急预案，已经专家评审，报</w:t>
            </w:r>
            <w:r>
              <w:rPr>
                <w:rFonts w:hint="eastAsia"/>
                <w:color w:val="000000" w:themeColor="text1"/>
                <w:szCs w:val="21"/>
              </w:rPr>
              <w:t>昭阳区</w:t>
            </w:r>
            <w:r>
              <w:rPr>
                <w:color w:val="000000" w:themeColor="text1"/>
                <w:szCs w:val="21"/>
              </w:rPr>
              <w:t>应急管理局备案，并进行了演练。</w:t>
            </w:r>
          </w:p>
        </w:tc>
        <w:tc>
          <w:tcPr>
            <w:tcW w:w="713" w:type="dxa"/>
            <w:tcBorders>
              <w:top w:val="single" w:color="auto" w:sz="6" w:space="0"/>
              <w:left w:val="single" w:color="auto" w:sz="6" w:space="0"/>
              <w:bottom w:val="single" w:color="auto" w:sz="6" w:space="0"/>
              <w:right w:val="single" w:color="auto" w:sz="6" w:space="0"/>
            </w:tcBorders>
            <w:vAlign w:val="center"/>
          </w:tcPr>
          <w:p>
            <w:pPr>
              <w:rPr>
                <w:color w:val="000000" w:themeColor="text1"/>
                <w:szCs w:val="21"/>
              </w:rPr>
            </w:pPr>
            <w:r>
              <w:rPr>
                <w:color w:val="000000" w:themeColor="text1"/>
                <w:szCs w:val="21"/>
              </w:rPr>
              <w:t>符合</w:t>
            </w:r>
          </w:p>
        </w:tc>
      </w:tr>
      <w:tr>
        <w:tblPrEx>
          <w:tblCellMar>
            <w:top w:w="0" w:type="dxa"/>
            <w:left w:w="108" w:type="dxa"/>
            <w:bottom w:w="0" w:type="dxa"/>
            <w:right w:w="108" w:type="dxa"/>
          </w:tblCellMar>
        </w:tblPrEx>
        <w:trPr>
          <w:trHeight w:val="454" w:hRule="atLeast"/>
          <w:jc w:val="center"/>
        </w:trPr>
        <w:tc>
          <w:tcPr>
            <w:tcW w:w="9401" w:type="dxa"/>
            <w:gridSpan w:val="5"/>
            <w:tcBorders>
              <w:top w:val="single" w:color="auto" w:sz="6" w:space="0"/>
              <w:left w:val="single" w:color="auto" w:sz="6" w:space="0"/>
              <w:bottom w:val="single" w:color="auto" w:sz="6" w:space="0"/>
              <w:right w:val="single" w:color="auto" w:sz="6" w:space="0"/>
            </w:tcBorders>
            <w:vAlign w:val="center"/>
          </w:tcPr>
          <w:p>
            <w:pPr>
              <w:jc w:val="center"/>
              <w:rPr>
                <w:color w:val="000000" w:themeColor="text1"/>
                <w:szCs w:val="21"/>
              </w:rPr>
            </w:pPr>
            <w:r>
              <w:rPr>
                <w:b/>
                <w:bCs/>
                <w:color w:val="000000" w:themeColor="text1"/>
                <w:szCs w:val="21"/>
              </w:rPr>
              <w:t>安全投入</w:t>
            </w:r>
          </w:p>
        </w:tc>
      </w:tr>
      <w:tr>
        <w:tblPrEx>
          <w:tblCellMar>
            <w:top w:w="0" w:type="dxa"/>
            <w:left w:w="108" w:type="dxa"/>
            <w:bottom w:w="0" w:type="dxa"/>
            <w:right w:w="108" w:type="dxa"/>
          </w:tblCellMar>
        </w:tblPrEx>
        <w:trPr>
          <w:trHeight w:val="454" w:hRule="atLeast"/>
          <w:jc w:val="center"/>
        </w:trPr>
        <w:tc>
          <w:tcPr>
            <w:tcW w:w="702" w:type="dxa"/>
            <w:tcBorders>
              <w:top w:val="single" w:color="auto" w:sz="6" w:space="0"/>
              <w:left w:val="single" w:color="auto" w:sz="6" w:space="0"/>
              <w:bottom w:val="single" w:color="auto" w:sz="6" w:space="0"/>
              <w:right w:val="single" w:color="auto" w:sz="6" w:space="0"/>
            </w:tcBorders>
            <w:vAlign w:val="center"/>
          </w:tcPr>
          <w:p>
            <w:pPr>
              <w:numPr>
                <w:ilvl w:val="0"/>
                <w:numId w:val="27"/>
              </w:numPr>
              <w:ind w:firstLine="0"/>
              <w:jc w:val="left"/>
              <w:rPr>
                <w:color w:val="000000" w:themeColor="text1"/>
                <w:szCs w:val="21"/>
              </w:rPr>
            </w:pPr>
          </w:p>
        </w:tc>
        <w:tc>
          <w:tcPr>
            <w:tcW w:w="3104" w:type="dxa"/>
            <w:tcBorders>
              <w:top w:val="single" w:color="auto" w:sz="6" w:space="0"/>
              <w:left w:val="single" w:color="auto" w:sz="6" w:space="0"/>
              <w:bottom w:val="single" w:color="auto" w:sz="6" w:space="0"/>
              <w:right w:val="single" w:color="auto" w:sz="6" w:space="0"/>
            </w:tcBorders>
            <w:vAlign w:val="center"/>
          </w:tcPr>
          <w:p>
            <w:pPr>
              <w:rPr>
                <w:color w:val="000000" w:themeColor="text1"/>
                <w:kern w:val="0"/>
                <w:szCs w:val="21"/>
              </w:rPr>
            </w:pPr>
            <w:r>
              <w:rPr>
                <w:color w:val="000000" w:themeColor="text1"/>
                <w:kern w:val="0"/>
                <w:szCs w:val="21"/>
              </w:rPr>
              <w:t>生产经营单位应当安排用于配备劳动防护用品、进行安全生产培训的经费。</w:t>
            </w:r>
          </w:p>
        </w:tc>
        <w:tc>
          <w:tcPr>
            <w:tcW w:w="2193" w:type="dxa"/>
            <w:tcBorders>
              <w:top w:val="single" w:color="auto" w:sz="6" w:space="0"/>
              <w:left w:val="single" w:color="auto" w:sz="6" w:space="0"/>
              <w:bottom w:val="single" w:color="auto" w:sz="6" w:space="0"/>
              <w:right w:val="single" w:color="auto" w:sz="6" w:space="0"/>
            </w:tcBorders>
          </w:tcPr>
          <w:p>
            <w:pPr>
              <w:rPr>
                <w:color w:val="000000" w:themeColor="text1"/>
                <w:kern w:val="0"/>
                <w:szCs w:val="21"/>
              </w:rPr>
            </w:pPr>
            <w:r>
              <w:rPr>
                <w:color w:val="000000" w:themeColor="text1"/>
                <w:szCs w:val="21"/>
              </w:rPr>
              <w:t>《中华人民共和国安全生产法》（中华人民共和国主席令第八十八号）</w:t>
            </w:r>
            <w:r>
              <w:rPr>
                <w:color w:val="000000" w:themeColor="text1"/>
                <w:kern w:val="0"/>
                <w:szCs w:val="21"/>
              </w:rPr>
              <w:t>第四十四条</w:t>
            </w:r>
          </w:p>
        </w:tc>
        <w:tc>
          <w:tcPr>
            <w:tcW w:w="2689" w:type="dxa"/>
            <w:tcBorders>
              <w:top w:val="single" w:color="auto" w:sz="6" w:space="0"/>
              <w:left w:val="single" w:color="auto" w:sz="6" w:space="0"/>
              <w:bottom w:val="single" w:color="auto" w:sz="6" w:space="0"/>
              <w:right w:val="single" w:color="auto" w:sz="6" w:space="0"/>
            </w:tcBorders>
            <w:vAlign w:val="center"/>
          </w:tcPr>
          <w:p>
            <w:pPr>
              <w:rPr>
                <w:color w:val="000000" w:themeColor="text1"/>
                <w:kern w:val="0"/>
                <w:szCs w:val="21"/>
              </w:rPr>
            </w:pPr>
            <w:r>
              <w:rPr>
                <w:color w:val="000000" w:themeColor="text1"/>
                <w:szCs w:val="21"/>
              </w:rPr>
              <w:t>该公司安排了相应的经费投入。</w:t>
            </w:r>
          </w:p>
        </w:tc>
        <w:tc>
          <w:tcPr>
            <w:tcW w:w="713" w:type="dxa"/>
            <w:tcBorders>
              <w:top w:val="single" w:color="auto" w:sz="6" w:space="0"/>
              <w:left w:val="single" w:color="auto" w:sz="6" w:space="0"/>
              <w:bottom w:val="single" w:color="auto" w:sz="6" w:space="0"/>
              <w:right w:val="single" w:color="auto" w:sz="6" w:space="0"/>
            </w:tcBorders>
            <w:vAlign w:val="center"/>
          </w:tcPr>
          <w:p>
            <w:pPr>
              <w:rPr>
                <w:color w:val="000000" w:themeColor="text1"/>
                <w:kern w:val="0"/>
                <w:szCs w:val="21"/>
              </w:rPr>
            </w:pPr>
            <w:r>
              <w:rPr>
                <w:color w:val="000000" w:themeColor="text1"/>
                <w:szCs w:val="21"/>
              </w:rPr>
              <w:t>符合</w:t>
            </w:r>
          </w:p>
        </w:tc>
      </w:tr>
      <w:tr>
        <w:tblPrEx>
          <w:tblCellMar>
            <w:top w:w="0" w:type="dxa"/>
            <w:left w:w="108" w:type="dxa"/>
            <w:bottom w:w="0" w:type="dxa"/>
            <w:right w:w="108" w:type="dxa"/>
          </w:tblCellMar>
        </w:tblPrEx>
        <w:trPr>
          <w:trHeight w:val="454" w:hRule="atLeast"/>
          <w:jc w:val="center"/>
        </w:trPr>
        <w:tc>
          <w:tcPr>
            <w:tcW w:w="9401" w:type="dxa"/>
            <w:gridSpan w:val="5"/>
            <w:tcBorders>
              <w:top w:val="single" w:color="auto" w:sz="6" w:space="0"/>
              <w:left w:val="single" w:color="auto" w:sz="6" w:space="0"/>
              <w:bottom w:val="single" w:color="auto" w:sz="6" w:space="0"/>
              <w:right w:val="single" w:color="auto" w:sz="6" w:space="0"/>
            </w:tcBorders>
            <w:vAlign w:val="center"/>
          </w:tcPr>
          <w:p>
            <w:pPr>
              <w:jc w:val="center"/>
              <w:rPr>
                <w:color w:val="000000" w:themeColor="text1"/>
                <w:szCs w:val="21"/>
                <w:lang w:val="zh-CN"/>
              </w:rPr>
            </w:pPr>
            <w:r>
              <w:rPr>
                <w:color w:val="000000" w:themeColor="text1"/>
                <w:szCs w:val="21"/>
                <w:lang w:val="zh-CN"/>
              </w:rPr>
              <w:t>其</w:t>
            </w:r>
            <w:r>
              <w:rPr>
                <w:b/>
                <w:bCs/>
                <w:color w:val="000000" w:themeColor="text1"/>
                <w:szCs w:val="21"/>
                <w:lang w:val="zh-CN"/>
              </w:rPr>
              <w:t>它方面的管理</w:t>
            </w:r>
          </w:p>
        </w:tc>
      </w:tr>
      <w:tr>
        <w:tblPrEx>
          <w:tblCellMar>
            <w:top w:w="0" w:type="dxa"/>
            <w:left w:w="108" w:type="dxa"/>
            <w:bottom w:w="0" w:type="dxa"/>
            <w:right w:w="108" w:type="dxa"/>
          </w:tblCellMar>
        </w:tblPrEx>
        <w:trPr>
          <w:trHeight w:val="454" w:hRule="atLeast"/>
          <w:jc w:val="center"/>
        </w:trPr>
        <w:tc>
          <w:tcPr>
            <w:tcW w:w="702" w:type="dxa"/>
            <w:tcBorders>
              <w:top w:val="single" w:color="auto" w:sz="6" w:space="0"/>
              <w:left w:val="single" w:color="auto" w:sz="6" w:space="0"/>
              <w:bottom w:val="single" w:color="auto" w:sz="6" w:space="0"/>
              <w:right w:val="single" w:color="auto" w:sz="6" w:space="0"/>
            </w:tcBorders>
            <w:vAlign w:val="center"/>
          </w:tcPr>
          <w:p>
            <w:pPr>
              <w:numPr>
                <w:ilvl w:val="0"/>
                <w:numId w:val="28"/>
              </w:numPr>
              <w:ind w:firstLine="0"/>
              <w:rPr>
                <w:color w:val="000000" w:themeColor="text1"/>
                <w:kern w:val="0"/>
                <w:szCs w:val="21"/>
              </w:rPr>
            </w:pPr>
            <w:bookmarkStart w:id="1913" w:name="_Toc17030"/>
            <w:bookmarkStart w:id="1914" w:name="_Toc23398"/>
          </w:p>
        </w:tc>
        <w:tc>
          <w:tcPr>
            <w:tcW w:w="3104" w:type="dxa"/>
            <w:tcBorders>
              <w:top w:val="single" w:color="auto" w:sz="6" w:space="0"/>
              <w:left w:val="single" w:color="auto" w:sz="6" w:space="0"/>
              <w:bottom w:val="single" w:color="auto" w:sz="6" w:space="0"/>
              <w:right w:val="single" w:color="auto" w:sz="6" w:space="0"/>
            </w:tcBorders>
            <w:vAlign w:val="center"/>
          </w:tcPr>
          <w:p>
            <w:pPr>
              <w:rPr>
                <w:color w:val="000000" w:themeColor="text1"/>
                <w:kern w:val="0"/>
                <w:szCs w:val="21"/>
              </w:rPr>
            </w:pPr>
            <w:r>
              <w:rPr>
                <w:color w:val="000000" w:themeColor="text1"/>
                <w:kern w:val="0"/>
                <w:szCs w:val="21"/>
              </w:rPr>
              <w:t>安全设备的设计、制造、安装、使用、检测、维修、改造和报废，应当符合国家标准或者行业标准。</w:t>
            </w:r>
          </w:p>
          <w:p>
            <w:pPr>
              <w:rPr>
                <w:color w:val="000000" w:themeColor="text1"/>
                <w:kern w:val="0"/>
                <w:szCs w:val="21"/>
              </w:rPr>
            </w:pPr>
            <w:r>
              <w:rPr>
                <w:color w:val="000000" w:themeColor="text1"/>
                <w:kern w:val="0"/>
                <w:szCs w:val="21"/>
              </w:rPr>
              <w:t>生产经营单位必须对安全设备进行经常性维护、保养，并定期检测，保证正常运转。维护、保养、检测应当作好记录，并由有关人员签字。</w:t>
            </w:r>
          </w:p>
          <w:p>
            <w:pPr>
              <w:rPr>
                <w:color w:val="000000" w:themeColor="text1"/>
                <w:kern w:val="0"/>
                <w:szCs w:val="21"/>
              </w:rPr>
            </w:pPr>
            <w:r>
              <w:rPr>
                <w:color w:val="000000" w:themeColor="text1"/>
                <w:kern w:val="0"/>
                <w:szCs w:val="21"/>
              </w:rPr>
              <w:t>生产经营单位不得关闭、破坏直接关系生产安全的监控、报警、防护、救生设备、设施，或者篡改、隐瞒、销毁其相关数据、信息。</w:t>
            </w:r>
          </w:p>
          <w:p>
            <w:pPr>
              <w:rPr>
                <w:color w:val="000000" w:themeColor="text1"/>
                <w:szCs w:val="21"/>
                <w:lang w:val="zh-CN"/>
              </w:rPr>
            </w:pPr>
            <w:r>
              <w:rPr>
                <w:color w:val="000000" w:themeColor="text1"/>
                <w:kern w:val="0"/>
                <w:szCs w:val="21"/>
              </w:rPr>
              <w:t>餐饮等行业的生产经营单位使用燃气的，应当安装可燃气体报警装置，并保障其正常使用。</w:t>
            </w:r>
          </w:p>
        </w:tc>
        <w:tc>
          <w:tcPr>
            <w:tcW w:w="2193" w:type="dxa"/>
            <w:tcBorders>
              <w:top w:val="single" w:color="auto" w:sz="6" w:space="0"/>
              <w:left w:val="single" w:color="auto" w:sz="6" w:space="0"/>
              <w:bottom w:val="single" w:color="auto" w:sz="6" w:space="0"/>
              <w:right w:val="single" w:color="auto" w:sz="6" w:space="0"/>
            </w:tcBorders>
            <w:vAlign w:val="center"/>
          </w:tcPr>
          <w:p>
            <w:pPr>
              <w:widowControl/>
              <w:jc w:val="center"/>
              <w:rPr>
                <w:color w:val="000000" w:themeColor="text1"/>
                <w:szCs w:val="21"/>
                <w:lang w:val="zh-CN"/>
              </w:rPr>
            </w:pPr>
            <w:r>
              <w:rPr>
                <w:color w:val="000000" w:themeColor="text1"/>
                <w:szCs w:val="21"/>
              </w:rPr>
              <w:t>《中华人民共和国安全生产法》（中华人民共和国主席令第八十八号）</w:t>
            </w:r>
            <w:r>
              <w:rPr>
                <w:color w:val="000000" w:themeColor="text1"/>
                <w:kern w:val="0"/>
                <w:szCs w:val="21"/>
              </w:rPr>
              <w:t>第三十六条</w:t>
            </w:r>
          </w:p>
        </w:tc>
        <w:tc>
          <w:tcPr>
            <w:tcW w:w="2689" w:type="dxa"/>
            <w:tcBorders>
              <w:top w:val="single" w:color="auto" w:sz="6" w:space="0"/>
              <w:left w:val="single" w:color="auto" w:sz="6" w:space="0"/>
              <w:bottom w:val="single" w:color="auto" w:sz="6" w:space="0"/>
              <w:right w:val="single" w:color="auto" w:sz="6" w:space="0"/>
            </w:tcBorders>
            <w:vAlign w:val="center"/>
          </w:tcPr>
          <w:p>
            <w:pPr>
              <w:rPr>
                <w:color w:val="000000" w:themeColor="text1"/>
                <w:szCs w:val="21"/>
                <w:lang w:val="zh-CN"/>
              </w:rPr>
            </w:pPr>
            <w:r>
              <w:rPr>
                <w:color w:val="000000" w:themeColor="text1"/>
                <w:kern w:val="0"/>
                <w:szCs w:val="21"/>
              </w:rPr>
              <w:t>根据业主提供的安全检查记录等资料，</w:t>
            </w:r>
            <w:r>
              <w:rPr>
                <w:color w:val="000000" w:themeColor="text1"/>
                <w:kern w:val="0"/>
                <w:szCs w:val="21"/>
                <w:lang w:val="zh-CN"/>
              </w:rPr>
              <w:t>能够做到经常性维护、保养，并定期检测</w:t>
            </w:r>
            <w:r>
              <w:rPr>
                <w:color w:val="000000" w:themeColor="text1"/>
                <w:szCs w:val="21"/>
                <w:lang w:val="zh-CN"/>
              </w:rPr>
              <w:t>。</w:t>
            </w:r>
          </w:p>
        </w:tc>
        <w:tc>
          <w:tcPr>
            <w:tcW w:w="713" w:type="dxa"/>
            <w:tcBorders>
              <w:top w:val="single" w:color="auto" w:sz="6" w:space="0"/>
              <w:left w:val="single" w:color="auto" w:sz="6" w:space="0"/>
              <w:bottom w:val="single" w:color="auto" w:sz="6" w:space="0"/>
              <w:right w:val="single" w:color="auto" w:sz="6" w:space="0"/>
            </w:tcBorders>
            <w:vAlign w:val="center"/>
          </w:tcPr>
          <w:p>
            <w:pPr>
              <w:rPr>
                <w:color w:val="000000" w:themeColor="text1"/>
                <w:szCs w:val="21"/>
                <w:lang w:val="zh-CN"/>
              </w:rPr>
            </w:pPr>
            <w:r>
              <w:rPr>
                <w:color w:val="000000" w:themeColor="text1"/>
                <w:szCs w:val="21"/>
                <w:lang w:val="zh-CN"/>
              </w:rPr>
              <w:t>符合</w:t>
            </w:r>
          </w:p>
        </w:tc>
      </w:tr>
      <w:tr>
        <w:tblPrEx>
          <w:tblCellMar>
            <w:top w:w="0" w:type="dxa"/>
            <w:left w:w="108" w:type="dxa"/>
            <w:bottom w:w="0" w:type="dxa"/>
            <w:right w:w="108" w:type="dxa"/>
          </w:tblCellMar>
        </w:tblPrEx>
        <w:trPr>
          <w:trHeight w:val="454" w:hRule="atLeast"/>
          <w:jc w:val="center"/>
        </w:trPr>
        <w:tc>
          <w:tcPr>
            <w:tcW w:w="702" w:type="dxa"/>
            <w:tcBorders>
              <w:top w:val="single" w:color="auto" w:sz="6" w:space="0"/>
              <w:left w:val="single" w:color="auto" w:sz="6" w:space="0"/>
              <w:bottom w:val="single" w:color="auto" w:sz="6" w:space="0"/>
              <w:right w:val="single" w:color="auto" w:sz="6" w:space="0"/>
            </w:tcBorders>
            <w:vAlign w:val="center"/>
          </w:tcPr>
          <w:p>
            <w:pPr>
              <w:numPr>
                <w:ilvl w:val="0"/>
                <w:numId w:val="28"/>
              </w:numPr>
              <w:ind w:firstLine="0"/>
              <w:rPr>
                <w:color w:val="000000" w:themeColor="text1"/>
                <w:kern w:val="0"/>
                <w:szCs w:val="21"/>
              </w:rPr>
            </w:pPr>
          </w:p>
        </w:tc>
        <w:tc>
          <w:tcPr>
            <w:tcW w:w="3104" w:type="dxa"/>
            <w:tcBorders>
              <w:top w:val="single" w:color="auto" w:sz="6" w:space="0"/>
              <w:left w:val="single" w:color="auto" w:sz="6" w:space="0"/>
              <w:bottom w:val="single" w:color="auto" w:sz="6" w:space="0"/>
              <w:right w:val="single" w:color="auto" w:sz="6" w:space="0"/>
            </w:tcBorders>
            <w:vAlign w:val="center"/>
          </w:tcPr>
          <w:p>
            <w:pPr>
              <w:rPr>
                <w:color w:val="000000" w:themeColor="text1"/>
                <w:kern w:val="0"/>
                <w:szCs w:val="21"/>
              </w:rPr>
            </w:pPr>
            <w:r>
              <w:rPr>
                <w:color w:val="000000" w:themeColor="text1"/>
                <w:kern w:val="0"/>
                <w:szCs w:val="21"/>
              </w:rPr>
              <w:t>生产经营单位必须为从业人员提供符合国家标准或者行业标准的劳动防护用品，并监督、教育从业人员按照使用规则佩戴、使用。</w:t>
            </w:r>
          </w:p>
        </w:tc>
        <w:tc>
          <w:tcPr>
            <w:tcW w:w="2193" w:type="dxa"/>
            <w:tcBorders>
              <w:top w:val="single" w:color="auto" w:sz="6" w:space="0"/>
              <w:left w:val="single" w:color="auto" w:sz="6" w:space="0"/>
              <w:bottom w:val="single" w:color="auto" w:sz="6" w:space="0"/>
              <w:right w:val="single" w:color="auto" w:sz="6" w:space="0"/>
            </w:tcBorders>
            <w:vAlign w:val="center"/>
          </w:tcPr>
          <w:p>
            <w:pPr>
              <w:widowControl/>
              <w:jc w:val="center"/>
              <w:rPr>
                <w:color w:val="000000" w:themeColor="text1"/>
                <w:kern w:val="0"/>
                <w:szCs w:val="21"/>
              </w:rPr>
            </w:pPr>
            <w:r>
              <w:rPr>
                <w:color w:val="000000" w:themeColor="text1"/>
                <w:szCs w:val="21"/>
              </w:rPr>
              <w:t>《中华人民共和国安全生产法》（中华人民共和国主席令第八十八号）</w:t>
            </w:r>
            <w:r>
              <w:rPr>
                <w:color w:val="000000" w:themeColor="text1"/>
                <w:kern w:val="0"/>
                <w:szCs w:val="21"/>
              </w:rPr>
              <w:t>第四十二条</w:t>
            </w:r>
          </w:p>
        </w:tc>
        <w:tc>
          <w:tcPr>
            <w:tcW w:w="2689" w:type="dxa"/>
            <w:tcBorders>
              <w:top w:val="single" w:color="auto" w:sz="6" w:space="0"/>
              <w:left w:val="single" w:color="auto" w:sz="6" w:space="0"/>
              <w:bottom w:val="single" w:color="auto" w:sz="6" w:space="0"/>
              <w:right w:val="single" w:color="auto" w:sz="6" w:space="0"/>
            </w:tcBorders>
            <w:vAlign w:val="center"/>
          </w:tcPr>
          <w:p>
            <w:pPr>
              <w:rPr>
                <w:color w:val="000000" w:themeColor="text1"/>
                <w:kern w:val="0"/>
                <w:szCs w:val="21"/>
              </w:rPr>
            </w:pPr>
            <w:r>
              <w:rPr>
                <w:color w:val="000000" w:themeColor="text1"/>
                <w:kern w:val="0"/>
                <w:szCs w:val="21"/>
              </w:rPr>
              <w:t>公司为从业人员提供了相应的劳动防护用品，</w:t>
            </w:r>
            <w:r>
              <w:rPr>
                <w:rFonts w:hint="eastAsia"/>
                <w:color w:val="000000" w:themeColor="text1"/>
                <w:kern w:val="0"/>
                <w:szCs w:val="21"/>
              </w:rPr>
              <w:t>但</w:t>
            </w:r>
            <w:r>
              <w:rPr>
                <w:rFonts w:hint="eastAsia" w:eastAsiaTheme="minorEastAsia"/>
                <w:color w:val="000000" w:themeColor="text1"/>
                <w:szCs w:val="21"/>
              </w:rPr>
              <w:t>现场检查工作人员未穿戴防静电工作服进行作业</w:t>
            </w:r>
            <w:r>
              <w:rPr>
                <w:color w:val="000000" w:themeColor="text1"/>
                <w:kern w:val="0"/>
                <w:szCs w:val="21"/>
              </w:rPr>
              <w:t>。</w:t>
            </w:r>
          </w:p>
        </w:tc>
        <w:tc>
          <w:tcPr>
            <w:tcW w:w="713" w:type="dxa"/>
            <w:tcBorders>
              <w:top w:val="single" w:color="auto" w:sz="6" w:space="0"/>
              <w:left w:val="single" w:color="auto" w:sz="6" w:space="0"/>
              <w:bottom w:val="single" w:color="auto" w:sz="6" w:space="0"/>
              <w:right w:val="single" w:color="auto" w:sz="6" w:space="0"/>
            </w:tcBorders>
            <w:vAlign w:val="center"/>
          </w:tcPr>
          <w:p>
            <w:pPr>
              <w:rPr>
                <w:color w:val="000000" w:themeColor="text1"/>
                <w:szCs w:val="21"/>
                <w:lang w:val="zh-CN"/>
              </w:rPr>
            </w:pPr>
            <w:r>
              <w:rPr>
                <w:rFonts w:hint="eastAsia"/>
                <w:color w:val="000000" w:themeColor="text1"/>
                <w:szCs w:val="21"/>
              </w:rPr>
              <w:t>不</w:t>
            </w:r>
            <w:r>
              <w:rPr>
                <w:color w:val="000000" w:themeColor="text1"/>
                <w:szCs w:val="21"/>
                <w:lang w:val="zh-CN"/>
              </w:rPr>
              <w:t>符合</w:t>
            </w:r>
          </w:p>
        </w:tc>
      </w:tr>
      <w:bookmarkEnd w:id="1913"/>
      <w:bookmarkEnd w:id="1914"/>
    </w:tbl>
    <w:p>
      <w:pPr>
        <w:pStyle w:val="19"/>
        <w:spacing w:afterLines="100" w:line="500" w:lineRule="exact"/>
        <w:rPr>
          <w:rFonts w:ascii="黑体" w:hAnsi="宋体" w:eastAsia="黑体"/>
          <w:color w:val="000000" w:themeColor="text1"/>
          <w:kern w:val="3"/>
          <w:sz w:val="28"/>
          <w:szCs w:val="28"/>
        </w:rPr>
      </w:pPr>
      <w:bookmarkStart w:id="1915" w:name="_Toc32482"/>
      <w:bookmarkStart w:id="1916" w:name="_Toc260"/>
      <w:bookmarkStart w:id="1917" w:name="_Toc14007"/>
      <w:bookmarkStart w:id="1918" w:name="_Toc2301"/>
      <w:bookmarkStart w:id="1919" w:name="_Toc13168"/>
      <w:bookmarkStart w:id="1920" w:name="_Toc22670"/>
      <w:bookmarkStart w:id="1921" w:name="_Toc19029"/>
      <w:bookmarkStart w:id="1922" w:name="_Toc20604"/>
      <w:bookmarkStart w:id="1923" w:name="_Toc24627"/>
      <w:bookmarkStart w:id="1924" w:name="_Toc14372"/>
      <w:r>
        <w:rPr>
          <w:rFonts w:hint="eastAsia" w:ascii="黑体" w:hAnsi="宋体" w:eastAsia="黑体"/>
          <w:color w:val="000000" w:themeColor="text1"/>
          <w:kern w:val="3"/>
          <w:sz w:val="28"/>
          <w:szCs w:val="28"/>
        </w:rPr>
        <w:t>5.7.2评价单元小结</w:t>
      </w:r>
      <w:bookmarkEnd w:id="1915"/>
      <w:bookmarkEnd w:id="1916"/>
      <w:bookmarkEnd w:id="1917"/>
      <w:bookmarkEnd w:id="1918"/>
      <w:bookmarkEnd w:id="1919"/>
      <w:bookmarkEnd w:id="1920"/>
      <w:bookmarkEnd w:id="1921"/>
      <w:bookmarkEnd w:id="1922"/>
      <w:bookmarkEnd w:id="1923"/>
      <w:bookmarkEnd w:id="1924"/>
    </w:p>
    <w:p>
      <w:pPr>
        <w:spacing w:line="500" w:lineRule="exact"/>
        <w:ind w:firstLine="560" w:firstLineChars="200"/>
        <w:rPr>
          <w:color w:val="000000" w:themeColor="text1"/>
          <w:sz w:val="28"/>
          <w:szCs w:val="28"/>
        </w:rPr>
      </w:pPr>
      <w:bookmarkStart w:id="1925" w:name="_Toc28516"/>
      <w:r>
        <w:rPr>
          <w:color w:val="000000" w:themeColor="text1"/>
          <w:sz w:val="28"/>
          <w:szCs w:val="28"/>
        </w:rPr>
        <w:t>由上述安全检查表可知：该项目的</w:t>
      </w:r>
      <w:r>
        <w:rPr>
          <w:rFonts w:hint="eastAsia"/>
          <w:color w:val="000000" w:themeColor="text1"/>
          <w:sz w:val="28"/>
          <w:szCs w:val="28"/>
        </w:rPr>
        <w:t>工作人员未穿戴防静电工作服进行作业外</w:t>
      </w:r>
      <w:r>
        <w:rPr>
          <w:color w:val="000000" w:themeColor="text1"/>
          <w:sz w:val="28"/>
          <w:szCs w:val="28"/>
        </w:rPr>
        <w:t>，</w:t>
      </w:r>
      <w:r>
        <w:rPr>
          <w:rFonts w:hint="eastAsia"/>
          <w:color w:val="000000" w:themeColor="text1"/>
          <w:sz w:val="28"/>
          <w:szCs w:val="28"/>
        </w:rPr>
        <w:t>其余均符合</w:t>
      </w:r>
      <w:r>
        <w:rPr>
          <w:color w:val="000000" w:themeColor="text1"/>
          <w:sz w:val="28"/>
          <w:szCs w:val="28"/>
        </w:rPr>
        <w:t>《中华人民共和国安全生产法》（中华人民共和国主席令第八十八号）、《生产经营单位安全培训规定》（国家安全生产监督管理总局令第3号，根据2013年8月29日国家安全监管总局令第63号第一次修正，根据2015年5月29日国家安全生产监管总局令第80号第二次修正）、《生产安全事故应急预案管理办法》（根据2019年6月24日《应急管理部关于修改〈生产安全事故应急预案管理办法〉的决定》修订，自2019年9月1日起实施）</w:t>
      </w:r>
      <w:r>
        <w:rPr>
          <w:rStyle w:val="59"/>
          <w:rFonts w:hint="eastAsia"/>
          <w:color w:val="000000" w:themeColor="text1"/>
        </w:rPr>
        <w:t>、</w:t>
      </w:r>
      <w:r>
        <w:rPr>
          <w:color w:val="000000" w:themeColor="text1"/>
          <w:sz w:val="28"/>
          <w:szCs w:val="28"/>
        </w:rPr>
        <w:t>《云南省安全生产条例》等法律法规、标准规范的相关要求</w:t>
      </w:r>
      <w:r>
        <w:rPr>
          <w:rFonts w:hint="eastAsia"/>
          <w:color w:val="000000" w:themeColor="text1"/>
          <w:sz w:val="28"/>
          <w:szCs w:val="28"/>
        </w:rPr>
        <w:t>。</w:t>
      </w:r>
    </w:p>
    <w:p>
      <w:pPr>
        <w:pStyle w:val="19"/>
        <w:spacing w:afterLines="100" w:line="500" w:lineRule="exact"/>
        <w:jc w:val="center"/>
        <w:rPr>
          <w:rFonts w:ascii="楷体_GB2312" w:hAnsi="宋体" w:eastAsia="楷体_GB2312"/>
          <w:color w:val="000000" w:themeColor="text1"/>
          <w:kern w:val="3"/>
        </w:rPr>
      </w:pPr>
      <w:bookmarkStart w:id="1926" w:name="_Toc13393_WPSOffice_Level2"/>
      <w:bookmarkStart w:id="1927" w:name="_Toc28212"/>
      <w:bookmarkStart w:id="1928" w:name="_Toc15776"/>
      <w:bookmarkStart w:id="1929" w:name="_Toc30135"/>
      <w:bookmarkStart w:id="1930" w:name="_Toc2659"/>
      <w:bookmarkStart w:id="1931" w:name="_Toc21684"/>
      <w:bookmarkStart w:id="1932" w:name="_Toc2991"/>
      <w:bookmarkStart w:id="1933" w:name="_Toc28027"/>
      <w:bookmarkStart w:id="1934" w:name="_Toc15420"/>
      <w:r>
        <w:rPr>
          <w:rFonts w:hint="eastAsia" w:ascii="楷体_GB2312" w:hAnsi="宋体" w:eastAsia="楷体_GB2312"/>
          <w:color w:val="000000" w:themeColor="text1"/>
          <w:kern w:val="3"/>
        </w:rPr>
        <w:t>5.8</w:t>
      </w:r>
      <w:bookmarkEnd w:id="1926"/>
      <w:bookmarkEnd w:id="1927"/>
      <w:bookmarkEnd w:id="1928"/>
      <w:bookmarkEnd w:id="1929"/>
      <w:bookmarkEnd w:id="1930"/>
      <w:bookmarkEnd w:id="1931"/>
      <w:bookmarkEnd w:id="1932"/>
      <w:bookmarkEnd w:id="1933"/>
      <w:bookmarkEnd w:id="1934"/>
      <w:r>
        <w:rPr>
          <w:rFonts w:hint="eastAsia" w:ascii="楷体_GB2312" w:hAnsi="宋体" w:eastAsia="楷体_GB2312"/>
          <w:color w:val="000000"/>
          <w:kern w:val="3"/>
        </w:rPr>
        <w:t>重大隐患判定及安全经营条件单元</w:t>
      </w:r>
    </w:p>
    <w:p>
      <w:pPr>
        <w:pStyle w:val="19"/>
        <w:spacing w:afterLines="100" w:line="500" w:lineRule="exact"/>
        <w:rPr>
          <w:rFonts w:hint="eastAsia" w:ascii="黑体" w:hAnsi="宋体" w:eastAsia="黑体"/>
          <w:color w:val="000000" w:themeColor="text1"/>
          <w:kern w:val="3"/>
          <w:sz w:val="28"/>
          <w:szCs w:val="28"/>
        </w:rPr>
      </w:pPr>
      <w:bookmarkStart w:id="1935" w:name="_Toc14209"/>
      <w:bookmarkStart w:id="1936" w:name="_Toc11123"/>
      <w:bookmarkStart w:id="1937" w:name="_Toc27139"/>
      <w:bookmarkStart w:id="1938" w:name="_Toc13208"/>
      <w:bookmarkStart w:id="1939" w:name="_Toc4395"/>
      <w:bookmarkStart w:id="1940" w:name="_Toc25789"/>
      <w:bookmarkStart w:id="1941" w:name="_Toc7145"/>
      <w:bookmarkStart w:id="1942" w:name="_Toc18778"/>
      <w:r>
        <w:rPr>
          <w:rFonts w:hint="eastAsia" w:ascii="黑体" w:hAnsi="宋体" w:eastAsia="黑体"/>
          <w:color w:val="000000" w:themeColor="text1"/>
          <w:kern w:val="3"/>
          <w:sz w:val="28"/>
          <w:szCs w:val="28"/>
        </w:rPr>
        <w:t>5.8.1安全经营条件及重大生产安全事故隐患检查表</w:t>
      </w:r>
      <w:bookmarkEnd w:id="1935"/>
      <w:bookmarkEnd w:id="1936"/>
      <w:bookmarkEnd w:id="1937"/>
      <w:bookmarkEnd w:id="1938"/>
      <w:bookmarkEnd w:id="1939"/>
      <w:bookmarkEnd w:id="1940"/>
      <w:bookmarkEnd w:id="1941"/>
      <w:bookmarkEnd w:id="1942"/>
    </w:p>
    <w:p>
      <w:pPr>
        <w:pStyle w:val="51"/>
        <w:rPr>
          <w:rFonts w:ascii="Times New Roman" w:hAnsi="Times New Roman"/>
          <w:color w:val="000000" w:themeColor="text1"/>
          <w:kern w:val="2"/>
          <w:szCs w:val="28"/>
        </w:rPr>
      </w:pPr>
      <w:r>
        <w:rPr>
          <w:rFonts w:hint="eastAsia"/>
          <w:sz w:val="28"/>
          <w:szCs w:val="28"/>
        </w:rPr>
        <w:t>本单元主要依据《危险化学品经营许可证管理办法》（国家安全生产监督管理总局令第55号）、《云南省安全生产监督管理局关于危险化学品经营行政许可有关事项的通知》（云安监管〔2013〕13号）及《化工和危险化学品生产经营单位重大生产安全事故隐患判定标准（试行）》（安监总管三〔2017〕121号）编制安全检查表进行评价。</w:t>
      </w:r>
      <w:r>
        <w:rPr>
          <w:rFonts w:hint="eastAsia" w:ascii="宋体" w:hAnsi="宋体" w:cs="宋体"/>
          <w:sz w:val="28"/>
          <w:szCs w:val="28"/>
        </w:rPr>
        <w:t>对照检查该</w:t>
      </w:r>
      <w:r>
        <w:rPr>
          <w:rFonts w:hint="eastAsia" w:cs="宋体"/>
          <w:sz w:val="28"/>
          <w:szCs w:val="28"/>
          <w:lang w:val="en-US" w:eastAsia="zh-CN"/>
        </w:rPr>
        <w:t>公司</w:t>
      </w:r>
      <w:r>
        <w:rPr>
          <w:rFonts w:hint="eastAsia" w:ascii="宋体" w:hAnsi="宋体" w:cs="宋体"/>
          <w:sz w:val="28"/>
          <w:szCs w:val="28"/>
        </w:rPr>
        <w:t>安全经营条件是否符合要求，是否存在重大生产安全事故隐患</w:t>
      </w:r>
      <w:r>
        <w:rPr>
          <w:rFonts w:ascii="Times New Roman" w:hAnsi="Times New Roman"/>
          <w:color w:val="000000" w:themeColor="text1"/>
          <w:kern w:val="2"/>
          <w:szCs w:val="28"/>
        </w:rPr>
        <w:t>：</w:t>
      </w:r>
    </w:p>
    <w:p>
      <w:pPr>
        <w:snapToGrid w:val="0"/>
        <w:spacing w:line="500" w:lineRule="exact"/>
        <w:jc w:val="center"/>
        <w:rPr>
          <w:rFonts w:hint="eastAsia" w:eastAsiaTheme="minorEastAsia"/>
          <w:bCs/>
          <w:color w:val="000000" w:themeColor="text1"/>
          <w:sz w:val="24"/>
        </w:rPr>
      </w:pPr>
      <w:r>
        <w:rPr>
          <w:rFonts w:eastAsiaTheme="minorEastAsia"/>
          <w:bCs/>
          <w:color w:val="000000" w:themeColor="text1"/>
          <w:sz w:val="24"/>
        </w:rPr>
        <w:t>表5-1</w:t>
      </w:r>
      <w:r>
        <w:rPr>
          <w:rFonts w:hint="eastAsia" w:eastAsiaTheme="minorEastAsia"/>
          <w:bCs/>
          <w:color w:val="000000" w:themeColor="text1"/>
          <w:sz w:val="24"/>
        </w:rPr>
        <w:t>4</w:t>
      </w:r>
      <w:r>
        <w:rPr>
          <w:rFonts w:eastAsiaTheme="minorEastAsia"/>
          <w:bCs/>
          <w:color w:val="000000" w:themeColor="text1"/>
          <w:sz w:val="24"/>
        </w:rPr>
        <w:t xml:space="preserve"> </w:t>
      </w:r>
      <w:bookmarkStart w:id="1943" w:name="_Toc13911"/>
      <w:bookmarkStart w:id="1944" w:name="_Toc24822"/>
      <w:bookmarkStart w:id="1945" w:name="_Toc3814"/>
      <w:bookmarkStart w:id="1946" w:name="_Toc2142"/>
      <w:bookmarkStart w:id="1947" w:name="_Toc17589"/>
      <w:bookmarkStart w:id="1948" w:name="_Toc20732"/>
      <w:bookmarkStart w:id="1949" w:name="_Toc4145"/>
      <w:bookmarkStart w:id="1950" w:name="_Toc25164"/>
      <w:r>
        <w:rPr>
          <w:rFonts w:hint="eastAsia" w:eastAsiaTheme="minorEastAsia"/>
          <w:bCs/>
          <w:color w:val="000000" w:themeColor="text1"/>
          <w:sz w:val="24"/>
        </w:rPr>
        <w:t>安全经营条件及重大生产安全事故隐患检查表</w:t>
      </w:r>
    </w:p>
    <w:tbl>
      <w:tblPr>
        <w:tblStyle w:val="52"/>
        <w:tblW w:w="9274"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496"/>
        <w:gridCol w:w="3581"/>
        <w:gridCol w:w="1843"/>
        <w:gridCol w:w="2394"/>
        <w:gridCol w:w="960"/>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blHeader/>
        </w:trPr>
        <w:tc>
          <w:tcPr>
            <w:tcW w:w="496" w:type="dxa"/>
            <w:noWrap w:val="0"/>
            <w:vAlign w:val="center"/>
          </w:tcPr>
          <w:p>
            <w:pPr>
              <w:rPr>
                <w:rFonts w:hint="eastAsia" w:ascii="宋体" w:hAnsi="宋体" w:cs="宋体"/>
                <w:b/>
                <w:bCs/>
                <w:szCs w:val="21"/>
              </w:rPr>
            </w:pPr>
            <w:r>
              <w:rPr>
                <w:rFonts w:hint="eastAsia" w:ascii="宋体" w:hAnsi="宋体" w:cs="宋体"/>
                <w:b/>
                <w:bCs/>
                <w:szCs w:val="21"/>
              </w:rPr>
              <w:t>序号</w:t>
            </w:r>
          </w:p>
        </w:tc>
        <w:tc>
          <w:tcPr>
            <w:tcW w:w="3581" w:type="dxa"/>
            <w:noWrap w:val="0"/>
            <w:vAlign w:val="center"/>
          </w:tcPr>
          <w:p>
            <w:pPr>
              <w:jc w:val="center"/>
              <w:rPr>
                <w:rFonts w:hint="eastAsia" w:ascii="宋体" w:hAnsi="宋体" w:cs="宋体"/>
                <w:b/>
                <w:bCs/>
                <w:szCs w:val="21"/>
              </w:rPr>
            </w:pPr>
            <w:r>
              <w:rPr>
                <w:rFonts w:hint="eastAsia" w:ascii="宋体" w:hAnsi="宋体" w:cs="宋体"/>
                <w:b/>
                <w:bCs/>
                <w:szCs w:val="21"/>
              </w:rPr>
              <w:t>检查内容</w:t>
            </w:r>
          </w:p>
        </w:tc>
        <w:tc>
          <w:tcPr>
            <w:tcW w:w="1843" w:type="dxa"/>
            <w:noWrap w:val="0"/>
            <w:vAlign w:val="center"/>
          </w:tcPr>
          <w:p>
            <w:pPr>
              <w:jc w:val="center"/>
              <w:rPr>
                <w:rFonts w:hint="eastAsia" w:ascii="宋体" w:hAnsi="宋体" w:cs="宋体"/>
                <w:b/>
                <w:bCs/>
                <w:szCs w:val="21"/>
              </w:rPr>
            </w:pPr>
            <w:r>
              <w:rPr>
                <w:rFonts w:hint="eastAsia" w:ascii="宋体" w:hAnsi="宋体" w:cs="宋体"/>
                <w:b/>
                <w:bCs/>
                <w:szCs w:val="21"/>
              </w:rPr>
              <w:t>检查依据</w:t>
            </w:r>
          </w:p>
        </w:tc>
        <w:tc>
          <w:tcPr>
            <w:tcW w:w="2394" w:type="dxa"/>
            <w:noWrap w:val="0"/>
            <w:vAlign w:val="center"/>
          </w:tcPr>
          <w:p>
            <w:pPr>
              <w:jc w:val="center"/>
              <w:rPr>
                <w:rFonts w:hint="eastAsia" w:ascii="宋体" w:hAnsi="宋体" w:cs="宋体"/>
                <w:b/>
                <w:bCs/>
                <w:szCs w:val="21"/>
              </w:rPr>
            </w:pPr>
            <w:r>
              <w:rPr>
                <w:rFonts w:hint="eastAsia" w:ascii="宋体" w:hAnsi="宋体" w:cs="宋体"/>
                <w:b/>
                <w:bCs/>
                <w:szCs w:val="21"/>
              </w:rPr>
              <w:t>检查记录</w:t>
            </w:r>
          </w:p>
        </w:tc>
        <w:tc>
          <w:tcPr>
            <w:tcW w:w="960" w:type="dxa"/>
            <w:noWrap w:val="0"/>
            <w:vAlign w:val="center"/>
          </w:tcPr>
          <w:p>
            <w:pPr>
              <w:rPr>
                <w:rFonts w:hint="eastAsia" w:ascii="宋体" w:hAnsi="宋体" w:cs="宋体"/>
                <w:b/>
                <w:bCs/>
                <w:szCs w:val="21"/>
              </w:rPr>
            </w:pPr>
            <w:r>
              <w:rPr>
                <w:rFonts w:hint="eastAsia" w:ascii="宋体" w:hAnsi="宋体" w:cs="宋体"/>
                <w:b/>
                <w:bCs/>
                <w:szCs w:val="21"/>
              </w:rPr>
              <w:t>结  论</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noWrap w:val="0"/>
            <w:vAlign w:val="center"/>
          </w:tcPr>
          <w:p>
            <w:pPr>
              <w:pStyle w:val="119"/>
              <w:spacing w:line="240" w:lineRule="auto"/>
              <w:ind w:firstLine="0" w:firstLineChars="0"/>
              <w:jc w:val="center"/>
              <w:rPr>
                <w:rFonts w:hint="eastAsia" w:ascii="宋体" w:hAnsi="宋体" w:eastAsia="宋体" w:cs="宋体"/>
                <w:sz w:val="21"/>
                <w:szCs w:val="21"/>
              </w:rPr>
            </w:pPr>
            <w:r>
              <w:rPr>
                <w:rFonts w:hint="eastAsia" w:ascii="宋体" w:hAnsi="宋体" w:eastAsia="宋体" w:cs="宋体"/>
                <w:sz w:val="21"/>
                <w:szCs w:val="21"/>
              </w:rPr>
              <w:t>1</w:t>
            </w:r>
          </w:p>
        </w:tc>
        <w:tc>
          <w:tcPr>
            <w:tcW w:w="3581" w:type="dxa"/>
            <w:noWrap w:val="0"/>
            <w:vAlign w:val="center"/>
          </w:tcPr>
          <w:p>
            <w:pPr>
              <w:rPr>
                <w:rFonts w:hint="eastAsia" w:ascii="宋体" w:hAnsi="宋体" w:cs="宋体"/>
                <w:szCs w:val="21"/>
              </w:rPr>
            </w:pPr>
            <w:r>
              <w:rPr>
                <w:rFonts w:hint="eastAsia" w:ascii="宋体" w:hAnsi="宋体" w:cs="宋体"/>
                <w:szCs w:val="21"/>
              </w:rPr>
              <w:t>危险化学品生产、经营单位主要负责人和安全生产管理人员未依法经考核合格。</w:t>
            </w:r>
          </w:p>
        </w:tc>
        <w:tc>
          <w:tcPr>
            <w:tcW w:w="1843" w:type="dxa"/>
            <w:vMerge w:val="restart"/>
            <w:noWrap w:val="0"/>
            <w:vAlign w:val="center"/>
          </w:tcPr>
          <w:p>
            <w:pPr>
              <w:pStyle w:val="119"/>
              <w:spacing w:line="240" w:lineRule="auto"/>
              <w:ind w:firstLine="0" w:firstLineChars="0"/>
              <w:rPr>
                <w:rFonts w:hint="eastAsia" w:ascii="宋体" w:hAnsi="宋体" w:eastAsia="宋体" w:cs="宋体"/>
                <w:sz w:val="21"/>
                <w:szCs w:val="21"/>
              </w:rPr>
            </w:pPr>
            <w:r>
              <w:rPr>
                <w:rFonts w:hint="eastAsia" w:ascii="宋体" w:hAnsi="宋体" w:eastAsia="宋体" w:cs="宋体"/>
                <w:sz w:val="21"/>
                <w:szCs w:val="21"/>
              </w:rPr>
              <w:t>《化工和危险化学品生产经营单位重大生产安全事故隐患判定标准（试行）》、《危险化学品经营许可证管理办法》（国家安监总局令第55号公布，第79号修正，自2015年７月１日起施行）</w:t>
            </w:r>
          </w:p>
        </w:tc>
        <w:tc>
          <w:tcPr>
            <w:tcW w:w="2394" w:type="dxa"/>
            <w:noWrap w:val="0"/>
            <w:vAlign w:val="center"/>
          </w:tcPr>
          <w:p>
            <w:pPr>
              <w:pStyle w:val="119"/>
              <w:spacing w:line="240" w:lineRule="auto"/>
              <w:ind w:firstLine="0" w:firstLineChars="0"/>
              <w:rPr>
                <w:rFonts w:hint="eastAsia" w:ascii="宋体" w:hAnsi="宋体" w:eastAsia="宋体" w:cs="宋体"/>
                <w:sz w:val="21"/>
                <w:szCs w:val="21"/>
              </w:rPr>
            </w:pPr>
            <w:r>
              <w:rPr>
                <w:rFonts w:hint="eastAsia" w:ascii="宋体" w:hAnsi="宋体" w:eastAsia="宋体" w:cs="宋体"/>
                <w:sz w:val="21"/>
                <w:szCs w:val="21"/>
              </w:rPr>
              <w:t>主要负责人和安全管理人员经培训经考核合格。</w:t>
            </w:r>
          </w:p>
        </w:tc>
        <w:tc>
          <w:tcPr>
            <w:tcW w:w="960" w:type="dxa"/>
            <w:noWrap w:val="0"/>
            <w:vAlign w:val="center"/>
          </w:tcPr>
          <w:p>
            <w:pPr>
              <w:pStyle w:val="119"/>
              <w:spacing w:line="240" w:lineRule="auto"/>
              <w:ind w:firstLine="0" w:firstLineChars="0"/>
              <w:rPr>
                <w:rFonts w:hint="eastAsia" w:ascii="宋体" w:hAnsi="宋体" w:eastAsia="宋体" w:cs="宋体"/>
                <w:sz w:val="21"/>
                <w:szCs w:val="21"/>
              </w:rPr>
            </w:pPr>
            <w:r>
              <w:rPr>
                <w:rFonts w:hint="eastAsia" w:ascii="宋体" w:hAnsi="宋体" w:eastAsia="宋体" w:cs="宋体"/>
                <w:sz w:val="21"/>
                <w:szCs w:val="21"/>
              </w:rPr>
              <w:t>符合</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noWrap w:val="0"/>
            <w:vAlign w:val="center"/>
          </w:tcPr>
          <w:p>
            <w:pPr>
              <w:pStyle w:val="119"/>
              <w:spacing w:line="240" w:lineRule="auto"/>
              <w:ind w:firstLine="0" w:firstLineChars="0"/>
              <w:jc w:val="center"/>
              <w:rPr>
                <w:rFonts w:hint="eastAsia" w:ascii="宋体" w:hAnsi="宋体" w:eastAsia="宋体" w:cs="宋体"/>
                <w:sz w:val="21"/>
                <w:szCs w:val="21"/>
              </w:rPr>
            </w:pPr>
            <w:r>
              <w:rPr>
                <w:rFonts w:hint="eastAsia" w:ascii="宋体" w:hAnsi="宋体" w:eastAsia="宋体" w:cs="宋体"/>
                <w:sz w:val="21"/>
                <w:szCs w:val="21"/>
              </w:rPr>
              <w:t>2</w:t>
            </w:r>
          </w:p>
        </w:tc>
        <w:tc>
          <w:tcPr>
            <w:tcW w:w="3581" w:type="dxa"/>
            <w:noWrap w:val="0"/>
            <w:vAlign w:val="center"/>
          </w:tcPr>
          <w:p>
            <w:pPr>
              <w:rPr>
                <w:rFonts w:hint="eastAsia" w:ascii="宋体" w:hAnsi="宋体" w:cs="宋体"/>
                <w:szCs w:val="21"/>
              </w:rPr>
            </w:pPr>
            <w:r>
              <w:rPr>
                <w:rFonts w:hint="eastAsia" w:ascii="宋体" w:hAnsi="宋体" w:cs="宋体"/>
                <w:szCs w:val="21"/>
              </w:rPr>
              <w:t>特种作业人员未持证上岗。</w:t>
            </w:r>
          </w:p>
        </w:tc>
        <w:tc>
          <w:tcPr>
            <w:tcW w:w="1843" w:type="dxa"/>
            <w:vMerge w:val="continue"/>
            <w:noWrap w:val="0"/>
            <w:vAlign w:val="center"/>
          </w:tcPr>
          <w:p>
            <w:pPr>
              <w:pStyle w:val="119"/>
              <w:spacing w:line="240" w:lineRule="auto"/>
              <w:ind w:firstLine="0" w:firstLineChars="0"/>
              <w:rPr>
                <w:rFonts w:hint="eastAsia" w:ascii="宋体" w:hAnsi="宋体" w:eastAsia="宋体" w:cs="宋体"/>
                <w:sz w:val="21"/>
                <w:szCs w:val="21"/>
              </w:rPr>
            </w:pPr>
          </w:p>
        </w:tc>
        <w:tc>
          <w:tcPr>
            <w:tcW w:w="2394" w:type="dxa"/>
            <w:noWrap w:val="0"/>
            <w:vAlign w:val="center"/>
          </w:tcPr>
          <w:p>
            <w:pPr>
              <w:rPr>
                <w:rFonts w:hint="eastAsia" w:ascii="宋体" w:hAnsi="宋体" w:cs="宋体"/>
                <w:szCs w:val="21"/>
              </w:rPr>
            </w:pPr>
            <w:r>
              <w:rPr>
                <w:rFonts w:hint="eastAsia" w:ascii="宋体" w:hAnsi="宋体" w:cs="宋体"/>
                <w:szCs w:val="21"/>
              </w:rPr>
              <w:t>该</w:t>
            </w:r>
            <w:r>
              <w:rPr>
                <w:rFonts w:hint="eastAsia" w:ascii="宋体" w:hAnsi="宋体" w:cs="宋体"/>
                <w:szCs w:val="21"/>
                <w:lang w:val="en-US" w:eastAsia="zh-CN"/>
              </w:rPr>
              <w:t>公司</w:t>
            </w:r>
            <w:r>
              <w:rPr>
                <w:rFonts w:hint="eastAsia" w:ascii="宋体" w:hAnsi="宋体" w:cs="宋体"/>
                <w:szCs w:val="21"/>
              </w:rPr>
              <w:t>特种作业涉及检修是电工、焊工等作业，</w:t>
            </w:r>
            <w:r>
              <w:rPr>
                <w:rFonts w:hint="eastAsia" w:ascii="宋体" w:hAnsi="宋体" w:cs="宋体"/>
                <w:szCs w:val="21"/>
                <w:lang w:val="en-US" w:eastAsia="zh-CN"/>
              </w:rPr>
              <w:t>涉及</w:t>
            </w:r>
            <w:r>
              <w:rPr>
                <w:rFonts w:hint="eastAsia" w:ascii="宋体" w:hAnsi="宋体" w:cs="宋体"/>
                <w:szCs w:val="21"/>
              </w:rPr>
              <w:t>特种作业均委托具有资质的单位或人员施工。</w:t>
            </w:r>
          </w:p>
        </w:tc>
        <w:tc>
          <w:tcPr>
            <w:tcW w:w="960" w:type="dxa"/>
            <w:noWrap w:val="0"/>
            <w:vAlign w:val="center"/>
          </w:tcPr>
          <w:p>
            <w:pPr>
              <w:pStyle w:val="119"/>
              <w:spacing w:line="240" w:lineRule="auto"/>
              <w:ind w:firstLine="0" w:firstLineChars="0"/>
              <w:jc w:val="center"/>
              <w:rPr>
                <w:rFonts w:hint="eastAsia" w:ascii="宋体" w:hAnsi="宋体" w:eastAsia="宋体" w:cs="宋体"/>
                <w:sz w:val="21"/>
                <w:szCs w:val="21"/>
              </w:rPr>
            </w:pPr>
            <w:r>
              <w:rPr>
                <w:rFonts w:hint="eastAsia" w:ascii="宋体" w:hAnsi="宋体" w:eastAsia="宋体" w:cs="宋体"/>
                <w:sz w:val="21"/>
                <w:szCs w:val="21"/>
              </w:rPr>
              <w:t>符合</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noWrap w:val="0"/>
            <w:vAlign w:val="center"/>
          </w:tcPr>
          <w:p>
            <w:pPr>
              <w:pStyle w:val="119"/>
              <w:spacing w:line="240" w:lineRule="auto"/>
              <w:ind w:firstLine="0" w:firstLineChars="0"/>
              <w:jc w:val="center"/>
              <w:rPr>
                <w:rFonts w:hint="eastAsia" w:ascii="宋体" w:hAnsi="宋体" w:eastAsia="宋体" w:cs="宋体"/>
                <w:sz w:val="21"/>
                <w:szCs w:val="21"/>
              </w:rPr>
            </w:pPr>
            <w:r>
              <w:rPr>
                <w:rFonts w:hint="eastAsia" w:ascii="宋体" w:hAnsi="宋体" w:eastAsia="宋体" w:cs="宋体"/>
                <w:sz w:val="21"/>
                <w:szCs w:val="21"/>
              </w:rPr>
              <w:t>3</w:t>
            </w:r>
          </w:p>
        </w:tc>
        <w:tc>
          <w:tcPr>
            <w:tcW w:w="3581" w:type="dxa"/>
            <w:noWrap w:val="0"/>
            <w:vAlign w:val="center"/>
          </w:tcPr>
          <w:p>
            <w:pPr>
              <w:rPr>
                <w:rFonts w:hint="eastAsia" w:ascii="宋体" w:hAnsi="宋体" w:cs="宋体"/>
                <w:szCs w:val="21"/>
              </w:rPr>
            </w:pPr>
            <w:r>
              <w:rPr>
                <w:rFonts w:hint="eastAsia" w:ascii="宋体" w:hAnsi="宋体" w:cs="宋体"/>
                <w:szCs w:val="21"/>
              </w:rPr>
              <w:t>涉及“两重点一重大”的生产装置、储存设施外部安全防护距离不符合国家标准要求。</w:t>
            </w:r>
          </w:p>
        </w:tc>
        <w:tc>
          <w:tcPr>
            <w:tcW w:w="1843" w:type="dxa"/>
            <w:vMerge w:val="continue"/>
            <w:noWrap w:val="0"/>
            <w:vAlign w:val="center"/>
          </w:tcPr>
          <w:p>
            <w:pPr>
              <w:pStyle w:val="119"/>
              <w:spacing w:line="240" w:lineRule="auto"/>
              <w:ind w:firstLine="0" w:firstLineChars="0"/>
              <w:rPr>
                <w:rFonts w:hint="eastAsia" w:ascii="宋体" w:hAnsi="宋体" w:eastAsia="宋体" w:cs="宋体"/>
                <w:sz w:val="21"/>
                <w:szCs w:val="21"/>
              </w:rPr>
            </w:pPr>
          </w:p>
        </w:tc>
        <w:tc>
          <w:tcPr>
            <w:tcW w:w="2394" w:type="dxa"/>
            <w:noWrap w:val="0"/>
            <w:vAlign w:val="center"/>
          </w:tcPr>
          <w:p>
            <w:pPr>
              <w:jc w:val="left"/>
              <w:rPr>
                <w:rFonts w:hint="eastAsia" w:ascii="宋体" w:hAnsi="宋体" w:cs="宋体"/>
                <w:szCs w:val="21"/>
              </w:rPr>
            </w:pPr>
            <w:r>
              <w:rPr>
                <w:rFonts w:hint="eastAsia" w:ascii="宋体" w:hAnsi="宋体" w:cs="宋体"/>
                <w:szCs w:val="21"/>
              </w:rPr>
              <w:t>外部安全距离符合要求</w:t>
            </w:r>
            <w:r>
              <w:rPr>
                <w:rFonts w:ascii="宋体" w:hAnsi="宋体" w:cs="宋体"/>
                <w:szCs w:val="21"/>
              </w:rPr>
              <w:t>。</w:t>
            </w:r>
          </w:p>
        </w:tc>
        <w:tc>
          <w:tcPr>
            <w:tcW w:w="960" w:type="dxa"/>
            <w:noWrap w:val="0"/>
            <w:vAlign w:val="center"/>
          </w:tcPr>
          <w:p>
            <w:pPr>
              <w:pStyle w:val="119"/>
              <w:spacing w:line="240" w:lineRule="auto"/>
              <w:ind w:firstLine="0" w:firstLineChars="0"/>
              <w:jc w:val="center"/>
              <w:rPr>
                <w:rFonts w:hint="eastAsia" w:ascii="宋体" w:hAnsi="宋体" w:eastAsia="宋体" w:cs="宋体"/>
                <w:sz w:val="21"/>
                <w:szCs w:val="21"/>
              </w:rPr>
            </w:pPr>
            <w:r>
              <w:rPr>
                <w:rFonts w:hint="eastAsia" w:ascii="宋体" w:hAnsi="宋体" w:eastAsia="宋体" w:cs="宋体"/>
                <w:sz w:val="21"/>
                <w:szCs w:val="21"/>
              </w:rPr>
              <w:t>不涉及</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noWrap w:val="0"/>
            <w:vAlign w:val="center"/>
          </w:tcPr>
          <w:p>
            <w:pPr>
              <w:pStyle w:val="119"/>
              <w:spacing w:line="240" w:lineRule="auto"/>
              <w:ind w:firstLine="0" w:firstLineChars="0"/>
              <w:jc w:val="center"/>
              <w:rPr>
                <w:rFonts w:hint="eastAsia" w:ascii="宋体" w:hAnsi="宋体" w:eastAsia="宋体" w:cs="宋体"/>
                <w:sz w:val="21"/>
                <w:szCs w:val="21"/>
              </w:rPr>
            </w:pPr>
            <w:r>
              <w:rPr>
                <w:rFonts w:hint="eastAsia" w:ascii="宋体" w:hAnsi="宋体" w:eastAsia="宋体" w:cs="宋体"/>
                <w:sz w:val="21"/>
                <w:szCs w:val="21"/>
              </w:rPr>
              <w:t>4</w:t>
            </w:r>
          </w:p>
        </w:tc>
        <w:tc>
          <w:tcPr>
            <w:tcW w:w="3581" w:type="dxa"/>
            <w:noWrap w:val="0"/>
            <w:vAlign w:val="center"/>
          </w:tcPr>
          <w:p>
            <w:pPr>
              <w:rPr>
                <w:rFonts w:hint="eastAsia" w:ascii="宋体" w:hAnsi="宋体" w:cs="宋体"/>
                <w:szCs w:val="21"/>
              </w:rPr>
            </w:pPr>
            <w:r>
              <w:rPr>
                <w:rFonts w:hint="eastAsia" w:ascii="宋体" w:hAnsi="宋体" w:cs="宋体"/>
                <w:szCs w:val="21"/>
              </w:rPr>
              <w:t>涉及重点监管危险化工工艺的装置未实现自动化控制，系统未实现紧急停车功能，装备的自动化控制系统、紧急停车系统未投入使用。</w:t>
            </w:r>
          </w:p>
        </w:tc>
        <w:tc>
          <w:tcPr>
            <w:tcW w:w="1843" w:type="dxa"/>
            <w:vMerge w:val="continue"/>
            <w:noWrap w:val="0"/>
            <w:vAlign w:val="center"/>
          </w:tcPr>
          <w:p>
            <w:pPr>
              <w:pStyle w:val="119"/>
              <w:spacing w:line="240" w:lineRule="auto"/>
              <w:ind w:firstLine="0" w:firstLineChars="0"/>
              <w:rPr>
                <w:rFonts w:hint="eastAsia" w:ascii="宋体" w:hAnsi="宋体" w:eastAsia="宋体" w:cs="宋体"/>
                <w:sz w:val="21"/>
                <w:szCs w:val="21"/>
              </w:rPr>
            </w:pPr>
          </w:p>
        </w:tc>
        <w:tc>
          <w:tcPr>
            <w:tcW w:w="2394" w:type="dxa"/>
            <w:noWrap w:val="0"/>
            <w:vAlign w:val="center"/>
          </w:tcPr>
          <w:p>
            <w:pPr>
              <w:jc w:val="center"/>
              <w:rPr>
                <w:rFonts w:hint="eastAsia" w:ascii="宋体" w:hAnsi="宋体" w:cs="宋体"/>
                <w:szCs w:val="21"/>
              </w:rPr>
            </w:pPr>
            <w:r>
              <w:rPr>
                <w:rFonts w:hint="eastAsia" w:ascii="宋体" w:hAnsi="宋体" w:cs="宋体"/>
                <w:szCs w:val="21"/>
              </w:rPr>
              <w:t>不涉及。</w:t>
            </w:r>
          </w:p>
        </w:tc>
        <w:tc>
          <w:tcPr>
            <w:tcW w:w="960" w:type="dxa"/>
            <w:noWrap w:val="0"/>
            <w:vAlign w:val="center"/>
          </w:tcPr>
          <w:p>
            <w:pPr>
              <w:pStyle w:val="119"/>
              <w:spacing w:line="240" w:lineRule="auto"/>
              <w:ind w:firstLine="0" w:firstLineChars="0"/>
              <w:jc w:val="center"/>
              <w:rPr>
                <w:rFonts w:hint="eastAsia" w:ascii="宋体" w:hAnsi="宋体" w:eastAsia="宋体" w:cs="宋体"/>
                <w:sz w:val="21"/>
                <w:szCs w:val="21"/>
              </w:rPr>
            </w:pPr>
            <w:r>
              <w:rPr>
                <w:rFonts w:hint="eastAsia" w:ascii="宋体" w:hAnsi="宋体" w:eastAsia="宋体" w:cs="宋体"/>
                <w:sz w:val="21"/>
                <w:szCs w:val="21"/>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noWrap w:val="0"/>
            <w:vAlign w:val="center"/>
          </w:tcPr>
          <w:p>
            <w:pPr>
              <w:pStyle w:val="119"/>
              <w:spacing w:line="240" w:lineRule="auto"/>
              <w:ind w:firstLine="0" w:firstLineChars="0"/>
              <w:jc w:val="center"/>
              <w:rPr>
                <w:rFonts w:hint="eastAsia" w:ascii="宋体" w:hAnsi="宋体" w:eastAsia="宋体" w:cs="宋体"/>
                <w:sz w:val="21"/>
                <w:szCs w:val="21"/>
              </w:rPr>
            </w:pPr>
            <w:r>
              <w:rPr>
                <w:rFonts w:hint="eastAsia" w:ascii="宋体" w:hAnsi="宋体" w:eastAsia="宋体" w:cs="宋体"/>
                <w:sz w:val="21"/>
                <w:szCs w:val="21"/>
              </w:rPr>
              <w:t>5</w:t>
            </w:r>
          </w:p>
        </w:tc>
        <w:tc>
          <w:tcPr>
            <w:tcW w:w="3581" w:type="dxa"/>
            <w:noWrap w:val="0"/>
            <w:vAlign w:val="center"/>
          </w:tcPr>
          <w:p>
            <w:pPr>
              <w:rPr>
                <w:rFonts w:hint="eastAsia" w:ascii="宋体" w:hAnsi="宋体" w:cs="宋体"/>
                <w:szCs w:val="21"/>
              </w:rPr>
            </w:pPr>
            <w:r>
              <w:rPr>
                <w:rFonts w:hint="eastAsia" w:ascii="宋体" w:hAnsi="宋体" w:cs="宋体"/>
                <w:szCs w:val="21"/>
              </w:rPr>
              <w:t>构成一级、二级重大危险源的危险化学品罐区未实现紧急切断功能；涉及毒性气体、液化气体、剧毒液体的一级、二级重大危险源的危险化学品罐区未配备独立的安全仪表系统。</w:t>
            </w:r>
          </w:p>
        </w:tc>
        <w:tc>
          <w:tcPr>
            <w:tcW w:w="1843" w:type="dxa"/>
            <w:vMerge w:val="continue"/>
            <w:noWrap w:val="0"/>
            <w:vAlign w:val="center"/>
          </w:tcPr>
          <w:p>
            <w:pPr>
              <w:pStyle w:val="119"/>
              <w:spacing w:line="240" w:lineRule="auto"/>
              <w:ind w:firstLine="0" w:firstLineChars="0"/>
              <w:rPr>
                <w:rFonts w:hint="eastAsia" w:ascii="宋体" w:hAnsi="宋体" w:eastAsia="宋体" w:cs="宋体"/>
                <w:sz w:val="21"/>
                <w:szCs w:val="21"/>
              </w:rPr>
            </w:pPr>
          </w:p>
        </w:tc>
        <w:tc>
          <w:tcPr>
            <w:tcW w:w="2394" w:type="dxa"/>
            <w:noWrap w:val="0"/>
            <w:vAlign w:val="center"/>
          </w:tcPr>
          <w:p>
            <w:pPr>
              <w:jc w:val="left"/>
              <w:rPr>
                <w:rFonts w:hint="eastAsia" w:ascii="宋体" w:hAnsi="宋体" w:cs="宋体"/>
                <w:szCs w:val="21"/>
              </w:rPr>
            </w:pPr>
            <w:r>
              <w:rPr>
                <w:rFonts w:hint="eastAsia" w:ascii="宋体" w:hAnsi="宋体" w:cs="宋体"/>
                <w:szCs w:val="21"/>
                <w:lang w:val="en-US" w:eastAsia="zh-CN"/>
              </w:rPr>
              <w:t>未</w:t>
            </w:r>
            <w:r>
              <w:rPr>
                <w:rFonts w:hint="eastAsia" w:ascii="宋体" w:hAnsi="宋体" w:cs="宋体"/>
                <w:szCs w:val="21"/>
              </w:rPr>
              <w:t>构成重大危险源</w:t>
            </w:r>
          </w:p>
        </w:tc>
        <w:tc>
          <w:tcPr>
            <w:tcW w:w="960" w:type="dxa"/>
            <w:noWrap w:val="0"/>
            <w:vAlign w:val="center"/>
          </w:tcPr>
          <w:p>
            <w:pPr>
              <w:pStyle w:val="119"/>
              <w:spacing w:line="240" w:lineRule="auto"/>
              <w:ind w:firstLine="0" w:firstLineChars="0"/>
              <w:jc w:val="center"/>
              <w:rPr>
                <w:rFonts w:hint="eastAsia" w:ascii="宋体" w:hAnsi="宋体" w:eastAsia="宋体" w:cs="宋体"/>
                <w:sz w:val="21"/>
                <w:szCs w:val="21"/>
              </w:rPr>
            </w:pPr>
            <w:r>
              <w:rPr>
                <w:rFonts w:hint="eastAsia" w:ascii="宋体" w:hAnsi="宋体" w:eastAsia="宋体" w:cs="宋体"/>
                <w:sz w:val="21"/>
                <w:szCs w:val="21"/>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noWrap w:val="0"/>
            <w:vAlign w:val="center"/>
          </w:tcPr>
          <w:p>
            <w:pPr>
              <w:pStyle w:val="119"/>
              <w:spacing w:line="240" w:lineRule="auto"/>
              <w:ind w:firstLine="0" w:firstLineChars="0"/>
              <w:jc w:val="center"/>
              <w:rPr>
                <w:rFonts w:hint="eastAsia" w:ascii="宋体" w:hAnsi="宋体" w:eastAsia="宋体" w:cs="宋体"/>
                <w:sz w:val="21"/>
                <w:szCs w:val="21"/>
              </w:rPr>
            </w:pPr>
            <w:r>
              <w:rPr>
                <w:rFonts w:hint="eastAsia" w:ascii="宋体" w:hAnsi="宋体" w:eastAsia="宋体" w:cs="宋体"/>
                <w:sz w:val="21"/>
                <w:szCs w:val="21"/>
              </w:rPr>
              <w:t>6</w:t>
            </w:r>
          </w:p>
        </w:tc>
        <w:tc>
          <w:tcPr>
            <w:tcW w:w="3581" w:type="dxa"/>
            <w:noWrap w:val="0"/>
            <w:vAlign w:val="center"/>
          </w:tcPr>
          <w:p>
            <w:pPr>
              <w:rPr>
                <w:rFonts w:hint="eastAsia" w:ascii="宋体" w:hAnsi="宋体" w:cs="宋体"/>
                <w:szCs w:val="21"/>
              </w:rPr>
            </w:pPr>
            <w:r>
              <w:rPr>
                <w:rFonts w:hint="eastAsia" w:ascii="宋体" w:hAnsi="宋体" w:cs="宋体"/>
                <w:szCs w:val="21"/>
              </w:rPr>
              <w:t>全压力式液化烃储罐未按国家标准设置注水措施。</w:t>
            </w:r>
          </w:p>
        </w:tc>
        <w:tc>
          <w:tcPr>
            <w:tcW w:w="1843" w:type="dxa"/>
            <w:vMerge w:val="continue"/>
            <w:noWrap w:val="0"/>
            <w:vAlign w:val="center"/>
          </w:tcPr>
          <w:p>
            <w:pPr>
              <w:pStyle w:val="119"/>
              <w:spacing w:line="240" w:lineRule="auto"/>
              <w:ind w:firstLine="0" w:firstLineChars="0"/>
              <w:rPr>
                <w:rFonts w:hint="eastAsia" w:ascii="宋体" w:hAnsi="宋体" w:eastAsia="宋体" w:cs="宋体"/>
                <w:sz w:val="21"/>
                <w:szCs w:val="21"/>
              </w:rPr>
            </w:pPr>
          </w:p>
        </w:tc>
        <w:tc>
          <w:tcPr>
            <w:tcW w:w="2394" w:type="dxa"/>
            <w:noWrap w:val="0"/>
            <w:vAlign w:val="center"/>
          </w:tcPr>
          <w:p>
            <w:pPr>
              <w:jc w:val="center"/>
              <w:rPr>
                <w:rFonts w:hint="eastAsia" w:ascii="宋体" w:hAnsi="宋体" w:cs="宋体"/>
                <w:szCs w:val="21"/>
              </w:rPr>
            </w:pPr>
            <w:r>
              <w:rPr>
                <w:rFonts w:hint="eastAsia" w:ascii="宋体" w:hAnsi="宋体" w:cs="宋体"/>
                <w:szCs w:val="21"/>
              </w:rPr>
              <w:t>不涉及。</w:t>
            </w:r>
          </w:p>
        </w:tc>
        <w:tc>
          <w:tcPr>
            <w:tcW w:w="960" w:type="dxa"/>
            <w:noWrap w:val="0"/>
            <w:vAlign w:val="center"/>
          </w:tcPr>
          <w:p>
            <w:pPr>
              <w:pStyle w:val="119"/>
              <w:spacing w:line="240" w:lineRule="auto"/>
              <w:ind w:firstLine="0" w:firstLineChars="0"/>
              <w:jc w:val="center"/>
              <w:rPr>
                <w:rFonts w:hint="eastAsia" w:ascii="宋体" w:hAnsi="宋体" w:eastAsia="宋体" w:cs="宋体"/>
                <w:sz w:val="21"/>
                <w:szCs w:val="21"/>
              </w:rPr>
            </w:pPr>
            <w:r>
              <w:rPr>
                <w:rFonts w:hint="eastAsia" w:ascii="宋体" w:hAnsi="宋体" w:eastAsia="宋体" w:cs="宋体"/>
                <w:sz w:val="21"/>
                <w:szCs w:val="21"/>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noWrap w:val="0"/>
            <w:vAlign w:val="center"/>
          </w:tcPr>
          <w:p>
            <w:pPr>
              <w:pStyle w:val="119"/>
              <w:spacing w:line="240" w:lineRule="auto"/>
              <w:ind w:firstLine="0" w:firstLineChars="0"/>
              <w:jc w:val="center"/>
              <w:rPr>
                <w:rFonts w:hint="eastAsia" w:ascii="宋体" w:hAnsi="宋体" w:eastAsia="宋体" w:cs="宋体"/>
                <w:sz w:val="21"/>
                <w:szCs w:val="21"/>
              </w:rPr>
            </w:pPr>
            <w:r>
              <w:rPr>
                <w:rFonts w:hint="eastAsia" w:ascii="宋体" w:hAnsi="宋体" w:eastAsia="宋体" w:cs="宋体"/>
                <w:sz w:val="21"/>
                <w:szCs w:val="21"/>
              </w:rPr>
              <w:t>7</w:t>
            </w:r>
          </w:p>
        </w:tc>
        <w:tc>
          <w:tcPr>
            <w:tcW w:w="3581" w:type="dxa"/>
            <w:noWrap w:val="0"/>
            <w:vAlign w:val="center"/>
          </w:tcPr>
          <w:p>
            <w:pPr>
              <w:rPr>
                <w:rFonts w:hint="eastAsia" w:ascii="宋体" w:hAnsi="宋体" w:cs="宋体"/>
                <w:szCs w:val="21"/>
              </w:rPr>
            </w:pPr>
            <w:r>
              <w:rPr>
                <w:rFonts w:hint="eastAsia" w:ascii="宋体" w:hAnsi="宋体" w:cs="宋体"/>
                <w:szCs w:val="21"/>
              </w:rPr>
              <w:t>液化烃、液氨、液氯等易燃易爆、有毒有害液化气体的充装未使用万向管道充装系统。</w:t>
            </w:r>
          </w:p>
        </w:tc>
        <w:tc>
          <w:tcPr>
            <w:tcW w:w="1843" w:type="dxa"/>
            <w:vMerge w:val="continue"/>
            <w:noWrap w:val="0"/>
            <w:vAlign w:val="center"/>
          </w:tcPr>
          <w:p>
            <w:pPr>
              <w:pStyle w:val="119"/>
              <w:spacing w:line="240" w:lineRule="auto"/>
              <w:ind w:firstLine="0" w:firstLineChars="0"/>
              <w:rPr>
                <w:rFonts w:hint="eastAsia" w:ascii="宋体" w:hAnsi="宋体" w:eastAsia="宋体" w:cs="宋体"/>
                <w:sz w:val="21"/>
                <w:szCs w:val="21"/>
              </w:rPr>
            </w:pPr>
          </w:p>
        </w:tc>
        <w:tc>
          <w:tcPr>
            <w:tcW w:w="2394" w:type="dxa"/>
            <w:noWrap w:val="0"/>
            <w:vAlign w:val="center"/>
          </w:tcPr>
          <w:p>
            <w:pPr>
              <w:jc w:val="center"/>
              <w:rPr>
                <w:rFonts w:hint="eastAsia" w:ascii="宋体" w:hAnsi="宋体" w:cs="宋体"/>
                <w:szCs w:val="21"/>
              </w:rPr>
            </w:pPr>
            <w:r>
              <w:rPr>
                <w:rFonts w:hint="eastAsia" w:ascii="宋体" w:hAnsi="宋体" w:cs="宋体"/>
                <w:szCs w:val="21"/>
              </w:rPr>
              <w:t>不涉及。</w:t>
            </w:r>
          </w:p>
        </w:tc>
        <w:tc>
          <w:tcPr>
            <w:tcW w:w="960" w:type="dxa"/>
            <w:noWrap w:val="0"/>
            <w:vAlign w:val="center"/>
          </w:tcPr>
          <w:p>
            <w:pPr>
              <w:pStyle w:val="119"/>
              <w:spacing w:line="240" w:lineRule="auto"/>
              <w:ind w:firstLine="0" w:firstLineChars="0"/>
              <w:jc w:val="center"/>
              <w:rPr>
                <w:rFonts w:hint="eastAsia" w:ascii="宋体" w:hAnsi="宋体" w:eastAsia="宋体" w:cs="宋体"/>
                <w:sz w:val="21"/>
                <w:szCs w:val="21"/>
              </w:rPr>
            </w:pPr>
            <w:r>
              <w:rPr>
                <w:rFonts w:hint="eastAsia" w:ascii="宋体" w:hAnsi="宋体" w:eastAsia="宋体" w:cs="宋体"/>
                <w:sz w:val="21"/>
                <w:szCs w:val="21"/>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noWrap w:val="0"/>
            <w:vAlign w:val="center"/>
          </w:tcPr>
          <w:p>
            <w:pPr>
              <w:pStyle w:val="119"/>
              <w:spacing w:line="240" w:lineRule="auto"/>
              <w:ind w:firstLine="0" w:firstLineChars="0"/>
              <w:jc w:val="center"/>
              <w:rPr>
                <w:rFonts w:hint="eastAsia" w:ascii="宋体" w:hAnsi="宋体" w:eastAsia="宋体" w:cs="宋体"/>
                <w:sz w:val="21"/>
                <w:szCs w:val="21"/>
              </w:rPr>
            </w:pPr>
            <w:r>
              <w:rPr>
                <w:rFonts w:hint="eastAsia" w:ascii="宋体" w:hAnsi="宋体" w:eastAsia="宋体" w:cs="宋体"/>
                <w:sz w:val="21"/>
                <w:szCs w:val="21"/>
              </w:rPr>
              <w:t>8</w:t>
            </w:r>
          </w:p>
        </w:tc>
        <w:tc>
          <w:tcPr>
            <w:tcW w:w="3581" w:type="dxa"/>
            <w:noWrap w:val="0"/>
            <w:vAlign w:val="center"/>
          </w:tcPr>
          <w:p>
            <w:pPr>
              <w:rPr>
                <w:rFonts w:hint="eastAsia" w:ascii="宋体" w:hAnsi="宋体" w:cs="宋体"/>
                <w:szCs w:val="21"/>
              </w:rPr>
            </w:pPr>
            <w:r>
              <w:rPr>
                <w:rFonts w:hint="eastAsia" w:ascii="宋体" w:hAnsi="宋体" w:cs="宋体"/>
                <w:szCs w:val="21"/>
              </w:rPr>
              <w:t>光气、氯气等剧毒气体及硫化氢气体管道穿越除厂区(包括化工园区、工业园区）外的公共区域。</w:t>
            </w:r>
          </w:p>
        </w:tc>
        <w:tc>
          <w:tcPr>
            <w:tcW w:w="1843" w:type="dxa"/>
            <w:vMerge w:val="continue"/>
            <w:noWrap w:val="0"/>
            <w:vAlign w:val="center"/>
          </w:tcPr>
          <w:p>
            <w:pPr>
              <w:pStyle w:val="119"/>
              <w:spacing w:line="240" w:lineRule="auto"/>
              <w:ind w:firstLine="0" w:firstLineChars="0"/>
              <w:rPr>
                <w:rFonts w:hint="eastAsia" w:ascii="宋体" w:hAnsi="宋体" w:eastAsia="宋体" w:cs="宋体"/>
                <w:sz w:val="21"/>
                <w:szCs w:val="21"/>
              </w:rPr>
            </w:pPr>
          </w:p>
        </w:tc>
        <w:tc>
          <w:tcPr>
            <w:tcW w:w="2394" w:type="dxa"/>
            <w:noWrap w:val="0"/>
            <w:vAlign w:val="center"/>
          </w:tcPr>
          <w:p>
            <w:pPr>
              <w:jc w:val="center"/>
              <w:rPr>
                <w:rFonts w:hint="eastAsia" w:ascii="宋体" w:hAnsi="宋体" w:cs="宋体"/>
                <w:szCs w:val="21"/>
              </w:rPr>
            </w:pPr>
            <w:r>
              <w:rPr>
                <w:rFonts w:hint="eastAsia" w:ascii="宋体" w:hAnsi="宋体" w:cs="宋体"/>
                <w:szCs w:val="21"/>
              </w:rPr>
              <w:t>不涉及。</w:t>
            </w:r>
          </w:p>
        </w:tc>
        <w:tc>
          <w:tcPr>
            <w:tcW w:w="960" w:type="dxa"/>
            <w:noWrap w:val="0"/>
            <w:vAlign w:val="center"/>
          </w:tcPr>
          <w:p>
            <w:pPr>
              <w:pStyle w:val="119"/>
              <w:spacing w:line="240" w:lineRule="auto"/>
              <w:ind w:firstLine="0" w:firstLineChars="0"/>
              <w:jc w:val="center"/>
              <w:rPr>
                <w:rFonts w:hint="eastAsia" w:ascii="宋体" w:hAnsi="宋体" w:eastAsia="宋体" w:cs="宋体"/>
                <w:sz w:val="21"/>
                <w:szCs w:val="21"/>
              </w:rPr>
            </w:pPr>
            <w:r>
              <w:rPr>
                <w:rFonts w:hint="eastAsia" w:ascii="宋体" w:hAnsi="宋体" w:eastAsia="宋体" w:cs="宋体"/>
                <w:sz w:val="21"/>
                <w:szCs w:val="21"/>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noWrap w:val="0"/>
            <w:vAlign w:val="center"/>
          </w:tcPr>
          <w:p>
            <w:pPr>
              <w:pStyle w:val="119"/>
              <w:spacing w:line="240" w:lineRule="auto"/>
              <w:ind w:firstLine="0" w:firstLineChars="0"/>
              <w:jc w:val="center"/>
              <w:rPr>
                <w:rFonts w:hint="eastAsia" w:ascii="宋体" w:hAnsi="宋体" w:eastAsia="宋体" w:cs="宋体"/>
                <w:sz w:val="21"/>
                <w:szCs w:val="21"/>
              </w:rPr>
            </w:pPr>
            <w:r>
              <w:rPr>
                <w:rFonts w:hint="eastAsia" w:ascii="宋体" w:hAnsi="宋体" w:eastAsia="宋体" w:cs="宋体"/>
                <w:sz w:val="21"/>
                <w:szCs w:val="21"/>
              </w:rPr>
              <w:t>9</w:t>
            </w:r>
          </w:p>
        </w:tc>
        <w:tc>
          <w:tcPr>
            <w:tcW w:w="3581" w:type="dxa"/>
            <w:noWrap w:val="0"/>
            <w:vAlign w:val="center"/>
          </w:tcPr>
          <w:p>
            <w:pPr>
              <w:rPr>
                <w:rFonts w:hint="eastAsia" w:ascii="宋体" w:hAnsi="宋体" w:cs="宋体"/>
                <w:szCs w:val="21"/>
              </w:rPr>
            </w:pPr>
            <w:r>
              <w:rPr>
                <w:rFonts w:hint="eastAsia" w:ascii="宋体" w:hAnsi="宋体" w:cs="宋体"/>
                <w:szCs w:val="21"/>
              </w:rPr>
              <w:t>地区架空电力线路穿越生产区且不符合国家标准要求。</w:t>
            </w:r>
          </w:p>
        </w:tc>
        <w:tc>
          <w:tcPr>
            <w:tcW w:w="1843" w:type="dxa"/>
            <w:vMerge w:val="continue"/>
            <w:noWrap w:val="0"/>
            <w:vAlign w:val="center"/>
          </w:tcPr>
          <w:p>
            <w:pPr>
              <w:pStyle w:val="119"/>
              <w:spacing w:line="240" w:lineRule="auto"/>
              <w:ind w:firstLine="0" w:firstLineChars="0"/>
              <w:rPr>
                <w:rFonts w:hint="eastAsia" w:ascii="宋体" w:hAnsi="宋体" w:eastAsia="宋体" w:cs="宋体"/>
                <w:sz w:val="21"/>
                <w:szCs w:val="21"/>
              </w:rPr>
            </w:pPr>
          </w:p>
        </w:tc>
        <w:tc>
          <w:tcPr>
            <w:tcW w:w="2394" w:type="dxa"/>
            <w:noWrap w:val="0"/>
            <w:vAlign w:val="center"/>
          </w:tcPr>
          <w:p>
            <w:pPr>
              <w:rPr>
                <w:rFonts w:hint="eastAsia" w:ascii="宋体" w:hAnsi="宋体" w:cs="宋体"/>
                <w:szCs w:val="21"/>
              </w:rPr>
            </w:pPr>
            <w:r>
              <w:rPr>
                <w:rFonts w:hint="eastAsia" w:ascii="宋体" w:hAnsi="宋体" w:cs="宋体"/>
                <w:szCs w:val="21"/>
              </w:rPr>
              <w:t>地区架空电力线路未穿越</w:t>
            </w:r>
            <w:r>
              <w:rPr>
                <w:rFonts w:hint="eastAsia" w:ascii="宋体" w:hAnsi="宋体" w:cs="宋体"/>
                <w:szCs w:val="21"/>
                <w:lang w:val="en-US" w:eastAsia="zh-CN"/>
              </w:rPr>
              <w:t>公司加注区及储罐区</w:t>
            </w:r>
            <w:r>
              <w:rPr>
                <w:rFonts w:hint="eastAsia" w:ascii="宋体" w:hAnsi="宋体" w:cs="宋体"/>
                <w:szCs w:val="21"/>
              </w:rPr>
              <w:t>。</w:t>
            </w:r>
          </w:p>
        </w:tc>
        <w:tc>
          <w:tcPr>
            <w:tcW w:w="960" w:type="dxa"/>
            <w:noWrap w:val="0"/>
            <w:vAlign w:val="center"/>
          </w:tcPr>
          <w:p>
            <w:pPr>
              <w:pStyle w:val="119"/>
              <w:spacing w:line="240" w:lineRule="auto"/>
              <w:ind w:firstLine="0" w:firstLineChars="0"/>
              <w:jc w:val="center"/>
              <w:rPr>
                <w:rFonts w:hint="eastAsia" w:ascii="宋体" w:hAnsi="宋体" w:eastAsia="宋体" w:cs="宋体"/>
                <w:sz w:val="21"/>
                <w:szCs w:val="21"/>
              </w:rPr>
            </w:pPr>
            <w:r>
              <w:rPr>
                <w:rFonts w:hint="eastAsia" w:ascii="宋体" w:hAnsi="宋体" w:eastAsia="宋体" w:cs="宋体"/>
                <w:sz w:val="21"/>
                <w:szCs w:val="21"/>
              </w:rPr>
              <w:t>符合</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noWrap w:val="0"/>
            <w:vAlign w:val="center"/>
          </w:tcPr>
          <w:p>
            <w:pPr>
              <w:pStyle w:val="119"/>
              <w:spacing w:line="240" w:lineRule="auto"/>
              <w:ind w:firstLine="0" w:firstLineChars="0"/>
              <w:jc w:val="center"/>
              <w:rPr>
                <w:rFonts w:hint="eastAsia" w:ascii="宋体" w:hAnsi="宋体" w:eastAsia="宋体" w:cs="宋体"/>
                <w:sz w:val="21"/>
                <w:szCs w:val="21"/>
              </w:rPr>
            </w:pPr>
            <w:r>
              <w:rPr>
                <w:rFonts w:hint="eastAsia" w:ascii="宋体" w:hAnsi="宋体" w:eastAsia="宋体" w:cs="宋体"/>
                <w:sz w:val="21"/>
                <w:szCs w:val="21"/>
              </w:rPr>
              <w:t>10</w:t>
            </w:r>
          </w:p>
        </w:tc>
        <w:tc>
          <w:tcPr>
            <w:tcW w:w="3581" w:type="dxa"/>
            <w:noWrap w:val="0"/>
            <w:vAlign w:val="center"/>
          </w:tcPr>
          <w:p>
            <w:pPr>
              <w:rPr>
                <w:rFonts w:hint="eastAsia" w:ascii="宋体" w:hAnsi="宋体" w:cs="宋体"/>
                <w:szCs w:val="21"/>
              </w:rPr>
            </w:pPr>
            <w:r>
              <w:rPr>
                <w:rFonts w:hint="eastAsia" w:ascii="宋体" w:hAnsi="宋体" w:cs="宋体"/>
                <w:szCs w:val="21"/>
              </w:rPr>
              <w:t>在役化工装置未经正规设计且未进行安全设计诊断。</w:t>
            </w:r>
          </w:p>
        </w:tc>
        <w:tc>
          <w:tcPr>
            <w:tcW w:w="1843" w:type="dxa"/>
            <w:vMerge w:val="continue"/>
            <w:noWrap w:val="0"/>
            <w:vAlign w:val="center"/>
          </w:tcPr>
          <w:p>
            <w:pPr>
              <w:pStyle w:val="119"/>
              <w:spacing w:line="240" w:lineRule="auto"/>
              <w:ind w:firstLine="0" w:firstLineChars="0"/>
              <w:rPr>
                <w:rFonts w:hint="eastAsia" w:ascii="宋体" w:hAnsi="宋体" w:eastAsia="宋体" w:cs="宋体"/>
                <w:sz w:val="21"/>
                <w:szCs w:val="21"/>
              </w:rPr>
            </w:pPr>
          </w:p>
        </w:tc>
        <w:tc>
          <w:tcPr>
            <w:tcW w:w="2394" w:type="dxa"/>
            <w:noWrap w:val="0"/>
            <w:vAlign w:val="center"/>
          </w:tcPr>
          <w:p>
            <w:pPr>
              <w:rPr>
                <w:rFonts w:hint="eastAsia" w:ascii="宋体" w:hAnsi="宋体" w:cs="宋体"/>
                <w:szCs w:val="21"/>
              </w:rPr>
            </w:pPr>
            <w:r>
              <w:rPr>
                <w:rFonts w:hint="eastAsia" w:ascii="宋体" w:hAnsi="宋体" w:cs="宋体"/>
                <w:szCs w:val="21"/>
                <w:lang w:val="en-US" w:eastAsia="zh-CN"/>
              </w:rPr>
              <w:t>修建</w:t>
            </w:r>
            <w:r>
              <w:rPr>
                <w:rFonts w:hint="eastAsia" w:ascii="宋体" w:hAnsi="宋体" w:cs="宋体"/>
                <w:szCs w:val="21"/>
              </w:rPr>
              <w:t>时通过有资质的设计单位进行设计。</w:t>
            </w:r>
          </w:p>
        </w:tc>
        <w:tc>
          <w:tcPr>
            <w:tcW w:w="960" w:type="dxa"/>
            <w:noWrap w:val="0"/>
            <w:vAlign w:val="center"/>
          </w:tcPr>
          <w:p>
            <w:pPr>
              <w:pStyle w:val="119"/>
              <w:spacing w:line="240" w:lineRule="auto"/>
              <w:ind w:firstLine="0" w:firstLineChars="0"/>
              <w:jc w:val="center"/>
              <w:rPr>
                <w:rFonts w:hint="eastAsia" w:ascii="宋体" w:hAnsi="宋体" w:eastAsia="宋体" w:cs="宋体"/>
                <w:sz w:val="21"/>
                <w:szCs w:val="21"/>
              </w:rPr>
            </w:pPr>
            <w:r>
              <w:rPr>
                <w:rFonts w:hint="eastAsia" w:ascii="宋体" w:hAnsi="宋体" w:eastAsia="宋体" w:cs="宋体"/>
                <w:sz w:val="21"/>
                <w:szCs w:val="21"/>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noWrap w:val="0"/>
            <w:vAlign w:val="center"/>
          </w:tcPr>
          <w:p>
            <w:pPr>
              <w:pStyle w:val="119"/>
              <w:spacing w:line="240" w:lineRule="auto"/>
              <w:ind w:firstLine="0" w:firstLineChars="0"/>
              <w:jc w:val="center"/>
              <w:rPr>
                <w:rFonts w:hint="eastAsia" w:ascii="宋体" w:hAnsi="宋体" w:eastAsia="宋体" w:cs="宋体"/>
                <w:sz w:val="21"/>
                <w:szCs w:val="21"/>
              </w:rPr>
            </w:pPr>
            <w:r>
              <w:rPr>
                <w:rFonts w:hint="eastAsia" w:ascii="宋体" w:hAnsi="宋体" w:eastAsia="宋体" w:cs="宋体"/>
                <w:sz w:val="21"/>
                <w:szCs w:val="21"/>
              </w:rPr>
              <w:t>11</w:t>
            </w:r>
          </w:p>
        </w:tc>
        <w:tc>
          <w:tcPr>
            <w:tcW w:w="3581" w:type="dxa"/>
            <w:noWrap w:val="0"/>
            <w:vAlign w:val="center"/>
          </w:tcPr>
          <w:p>
            <w:pPr>
              <w:rPr>
                <w:rFonts w:hint="eastAsia" w:ascii="宋体" w:hAnsi="宋体" w:cs="宋体"/>
                <w:szCs w:val="21"/>
              </w:rPr>
            </w:pPr>
            <w:r>
              <w:rPr>
                <w:rFonts w:hint="eastAsia" w:ascii="宋体" w:hAnsi="宋体" w:cs="宋体"/>
                <w:szCs w:val="21"/>
              </w:rPr>
              <w:t>使用淘汰落后安全技术工艺、设备目录列出的工艺、设备。</w:t>
            </w:r>
          </w:p>
        </w:tc>
        <w:tc>
          <w:tcPr>
            <w:tcW w:w="1843" w:type="dxa"/>
            <w:vMerge w:val="continue"/>
            <w:noWrap w:val="0"/>
            <w:vAlign w:val="center"/>
          </w:tcPr>
          <w:p>
            <w:pPr>
              <w:pStyle w:val="119"/>
              <w:spacing w:line="240" w:lineRule="auto"/>
              <w:ind w:firstLine="0" w:firstLineChars="0"/>
              <w:rPr>
                <w:rFonts w:hint="eastAsia" w:ascii="宋体" w:hAnsi="宋体" w:eastAsia="宋体" w:cs="宋体"/>
                <w:sz w:val="21"/>
                <w:szCs w:val="21"/>
              </w:rPr>
            </w:pPr>
          </w:p>
        </w:tc>
        <w:tc>
          <w:tcPr>
            <w:tcW w:w="2394" w:type="dxa"/>
            <w:noWrap w:val="0"/>
            <w:vAlign w:val="center"/>
          </w:tcPr>
          <w:p>
            <w:pPr>
              <w:rPr>
                <w:rFonts w:hint="eastAsia" w:ascii="宋体" w:hAnsi="宋体" w:cs="宋体"/>
                <w:szCs w:val="21"/>
              </w:rPr>
            </w:pPr>
            <w:r>
              <w:rPr>
                <w:rFonts w:hint="eastAsia" w:ascii="宋体" w:hAnsi="宋体" w:cs="宋体"/>
                <w:szCs w:val="21"/>
              </w:rPr>
              <w:t>未使用淘汰落后安全技术工艺、设备目录列出的工艺、设备。</w:t>
            </w:r>
          </w:p>
        </w:tc>
        <w:tc>
          <w:tcPr>
            <w:tcW w:w="960" w:type="dxa"/>
            <w:noWrap w:val="0"/>
            <w:vAlign w:val="center"/>
          </w:tcPr>
          <w:p>
            <w:pPr>
              <w:pStyle w:val="119"/>
              <w:spacing w:line="240" w:lineRule="auto"/>
              <w:ind w:firstLine="0" w:firstLineChars="0"/>
              <w:jc w:val="center"/>
              <w:rPr>
                <w:rFonts w:hint="eastAsia" w:ascii="宋体" w:hAnsi="宋体" w:eastAsia="宋体" w:cs="宋体"/>
                <w:sz w:val="21"/>
                <w:szCs w:val="21"/>
              </w:rPr>
            </w:pPr>
            <w:r>
              <w:rPr>
                <w:rFonts w:hint="eastAsia" w:ascii="宋体" w:hAnsi="宋体" w:eastAsia="宋体" w:cs="宋体"/>
                <w:sz w:val="21"/>
                <w:szCs w:val="21"/>
              </w:rPr>
              <w:t>符合</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noWrap w:val="0"/>
            <w:vAlign w:val="center"/>
          </w:tcPr>
          <w:p>
            <w:pPr>
              <w:pStyle w:val="119"/>
              <w:spacing w:line="240" w:lineRule="auto"/>
              <w:ind w:firstLine="0" w:firstLineChars="0"/>
              <w:jc w:val="center"/>
              <w:rPr>
                <w:rFonts w:hint="eastAsia" w:ascii="宋体" w:hAnsi="宋体" w:eastAsia="宋体" w:cs="宋体"/>
                <w:sz w:val="21"/>
                <w:szCs w:val="21"/>
              </w:rPr>
            </w:pPr>
            <w:r>
              <w:rPr>
                <w:rFonts w:hint="eastAsia" w:ascii="宋体" w:hAnsi="宋体" w:eastAsia="宋体" w:cs="宋体"/>
                <w:sz w:val="21"/>
                <w:szCs w:val="21"/>
              </w:rPr>
              <w:t>12</w:t>
            </w:r>
          </w:p>
        </w:tc>
        <w:tc>
          <w:tcPr>
            <w:tcW w:w="3581" w:type="dxa"/>
            <w:noWrap w:val="0"/>
            <w:vAlign w:val="center"/>
          </w:tcPr>
          <w:p>
            <w:pPr>
              <w:rPr>
                <w:rFonts w:hint="eastAsia" w:ascii="宋体" w:hAnsi="宋体" w:cs="宋体"/>
                <w:szCs w:val="21"/>
              </w:rPr>
            </w:pPr>
            <w:r>
              <w:rPr>
                <w:rFonts w:hint="eastAsia" w:ascii="宋体" w:hAnsi="宋体" w:cs="宋体"/>
                <w:szCs w:val="21"/>
              </w:rPr>
              <w:t>涉及可燃和有毒有害气体泄漏的场所未按国家标准设置检测报警装置，爆炸危险场所未按国家标准安装使用防爆电气设备。</w:t>
            </w:r>
          </w:p>
        </w:tc>
        <w:tc>
          <w:tcPr>
            <w:tcW w:w="1843" w:type="dxa"/>
            <w:vMerge w:val="continue"/>
            <w:noWrap w:val="0"/>
            <w:vAlign w:val="center"/>
          </w:tcPr>
          <w:p>
            <w:pPr>
              <w:pStyle w:val="119"/>
              <w:spacing w:line="240" w:lineRule="auto"/>
              <w:ind w:firstLine="0" w:firstLineChars="0"/>
              <w:rPr>
                <w:rFonts w:hint="eastAsia" w:ascii="宋体" w:hAnsi="宋体" w:eastAsia="宋体" w:cs="宋体"/>
                <w:sz w:val="21"/>
                <w:szCs w:val="21"/>
              </w:rPr>
            </w:pPr>
          </w:p>
        </w:tc>
        <w:tc>
          <w:tcPr>
            <w:tcW w:w="2394" w:type="dxa"/>
            <w:noWrap w:val="0"/>
            <w:vAlign w:val="center"/>
          </w:tcPr>
          <w:p>
            <w:pPr>
              <w:rPr>
                <w:rFonts w:hint="eastAsia" w:ascii="宋体" w:hAnsi="宋体" w:cs="宋体"/>
                <w:szCs w:val="21"/>
              </w:rPr>
            </w:pPr>
            <w:r>
              <w:rPr>
                <w:rFonts w:hint="eastAsia" w:ascii="宋体" w:hAnsi="宋体" w:cs="宋体"/>
                <w:szCs w:val="21"/>
                <w:lang w:val="en-US" w:eastAsia="zh-CN"/>
              </w:rPr>
              <w:t>加注机</w:t>
            </w:r>
            <w:r>
              <w:rPr>
                <w:rFonts w:hint="eastAsia" w:ascii="宋体" w:hAnsi="宋体" w:cs="宋体"/>
                <w:szCs w:val="21"/>
              </w:rPr>
              <w:t>、罩棚照明灯为防爆型。</w:t>
            </w:r>
          </w:p>
        </w:tc>
        <w:tc>
          <w:tcPr>
            <w:tcW w:w="960" w:type="dxa"/>
            <w:noWrap w:val="0"/>
            <w:vAlign w:val="center"/>
          </w:tcPr>
          <w:p>
            <w:pPr>
              <w:pStyle w:val="119"/>
              <w:spacing w:line="240" w:lineRule="auto"/>
              <w:ind w:firstLine="0" w:firstLineChars="0"/>
              <w:jc w:val="center"/>
              <w:rPr>
                <w:rFonts w:hint="eastAsia" w:ascii="宋体" w:hAnsi="宋体" w:eastAsia="宋体" w:cs="宋体"/>
                <w:sz w:val="21"/>
                <w:szCs w:val="21"/>
              </w:rPr>
            </w:pPr>
            <w:r>
              <w:rPr>
                <w:rFonts w:hint="eastAsia" w:ascii="宋体" w:hAnsi="宋体" w:eastAsia="宋体" w:cs="宋体"/>
                <w:sz w:val="21"/>
                <w:szCs w:val="21"/>
              </w:rPr>
              <w:t>符合</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noWrap w:val="0"/>
            <w:vAlign w:val="center"/>
          </w:tcPr>
          <w:p>
            <w:pPr>
              <w:pStyle w:val="119"/>
              <w:spacing w:line="240" w:lineRule="auto"/>
              <w:ind w:firstLine="0" w:firstLineChars="0"/>
              <w:jc w:val="center"/>
              <w:rPr>
                <w:rFonts w:hint="eastAsia" w:ascii="宋体" w:hAnsi="宋体" w:eastAsia="宋体" w:cs="宋体"/>
                <w:sz w:val="21"/>
                <w:szCs w:val="21"/>
              </w:rPr>
            </w:pPr>
            <w:r>
              <w:rPr>
                <w:rFonts w:hint="eastAsia" w:ascii="宋体" w:hAnsi="宋体" w:eastAsia="宋体" w:cs="宋体"/>
                <w:sz w:val="21"/>
                <w:szCs w:val="21"/>
              </w:rPr>
              <w:t>13</w:t>
            </w:r>
          </w:p>
        </w:tc>
        <w:tc>
          <w:tcPr>
            <w:tcW w:w="3581" w:type="dxa"/>
            <w:noWrap w:val="0"/>
            <w:vAlign w:val="center"/>
          </w:tcPr>
          <w:p>
            <w:pPr>
              <w:rPr>
                <w:rFonts w:hint="eastAsia" w:ascii="宋体" w:hAnsi="宋体" w:cs="宋体"/>
                <w:szCs w:val="21"/>
              </w:rPr>
            </w:pPr>
            <w:r>
              <w:rPr>
                <w:rFonts w:hint="eastAsia" w:ascii="宋体" w:hAnsi="宋体" w:cs="宋体"/>
                <w:szCs w:val="21"/>
              </w:rPr>
              <w:t>控制室或机柜间面向具有火灾、爆炸危险性装置一侧不满足国家标准关于防火防爆的要求。</w:t>
            </w:r>
          </w:p>
        </w:tc>
        <w:tc>
          <w:tcPr>
            <w:tcW w:w="1843" w:type="dxa"/>
            <w:vMerge w:val="continue"/>
            <w:noWrap w:val="0"/>
            <w:vAlign w:val="center"/>
          </w:tcPr>
          <w:p>
            <w:pPr>
              <w:pStyle w:val="119"/>
              <w:spacing w:line="240" w:lineRule="auto"/>
              <w:ind w:firstLine="0" w:firstLineChars="0"/>
              <w:rPr>
                <w:rFonts w:hint="eastAsia" w:ascii="宋体" w:hAnsi="宋体" w:eastAsia="宋体" w:cs="宋体"/>
                <w:sz w:val="21"/>
                <w:szCs w:val="21"/>
              </w:rPr>
            </w:pPr>
          </w:p>
        </w:tc>
        <w:tc>
          <w:tcPr>
            <w:tcW w:w="2394" w:type="dxa"/>
            <w:noWrap w:val="0"/>
            <w:vAlign w:val="center"/>
          </w:tcPr>
          <w:p>
            <w:pPr>
              <w:rPr>
                <w:rFonts w:hint="eastAsia" w:ascii="宋体" w:hAnsi="宋体" w:cs="宋体"/>
                <w:szCs w:val="21"/>
              </w:rPr>
            </w:pPr>
            <w:r>
              <w:rPr>
                <w:rFonts w:hint="eastAsia" w:ascii="宋体" w:hAnsi="宋体" w:cs="宋体"/>
                <w:szCs w:val="21"/>
                <w:lang w:val="en-US" w:eastAsia="zh-CN"/>
              </w:rPr>
              <w:t>办公室</w:t>
            </w:r>
            <w:r>
              <w:rPr>
                <w:rFonts w:hint="eastAsia" w:ascii="宋体" w:hAnsi="宋体" w:cs="宋体"/>
                <w:szCs w:val="21"/>
              </w:rPr>
              <w:t>、配电室面向</w:t>
            </w:r>
            <w:r>
              <w:rPr>
                <w:rFonts w:hint="eastAsia" w:ascii="宋体" w:hAnsi="宋体" w:cs="宋体"/>
                <w:szCs w:val="21"/>
                <w:lang w:val="en-US" w:eastAsia="zh-CN"/>
              </w:rPr>
              <w:t>加注</w:t>
            </w:r>
            <w:r>
              <w:rPr>
                <w:rFonts w:hint="eastAsia" w:ascii="宋体" w:hAnsi="宋体" w:cs="宋体"/>
                <w:szCs w:val="21"/>
              </w:rPr>
              <w:t>区、罐区一侧的设置情况符合规范要求。</w:t>
            </w:r>
          </w:p>
        </w:tc>
        <w:tc>
          <w:tcPr>
            <w:tcW w:w="960" w:type="dxa"/>
            <w:noWrap w:val="0"/>
            <w:vAlign w:val="center"/>
          </w:tcPr>
          <w:p>
            <w:pPr>
              <w:pStyle w:val="119"/>
              <w:spacing w:line="240" w:lineRule="auto"/>
              <w:ind w:firstLine="0" w:firstLineChars="0"/>
              <w:jc w:val="center"/>
              <w:rPr>
                <w:rFonts w:hint="eastAsia" w:ascii="宋体" w:hAnsi="宋体" w:eastAsia="宋体" w:cs="宋体"/>
                <w:sz w:val="21"/>
                <w:szCs w:val="21"/>
              </w:rPr>
            </w:pPr>
            <w:r>
              <w:rPr>
                <w:rFonts w:hint="eastAsia" w:ascii="宋体" w:hAnsi="宋体" w:eastAsia="宋体" w:cs="宋体"/>
                <w:sz w:val="21"/>
                <w:szCs w:val="21"/>
              </w:rPr>
              <w:t>符合</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noWrap w:val="0"/>
            <w:vAlign w:val="center"/>
          </w:tcPr>
          <w:p>
            <w:pPr>
              <w:pStyle w:val="119"/>
              <w:spacing w:line="240" w:lineRule="auto"/>
              <w:ind w:firstLine="0" w:firstLineChars="0"/>
              <w:jc w:val="center"/>
              <w:rPr>
                <w:rFonts w:hint="eastAsia" w:ascii="宋体" w:hAnsi="宋体" w:eastAsia="宋体" w:cs="宋体"/>
                <w:sz w:val="21"/>
                <w:szCs w:val="21"/>
              </w:rPr>
            </w:pPr>
            <w:r>
              <w:rPr>
                <w:rFonts w:hint="eastAsia" w:ascii="宋体" w:hAnsi="宋体" w:eastAsia="宋体" w:cs="宋体"/>
                <w:sz w:val="21"/>
                <w:szCs w:val="21"/>
              </w:rPr>
              <w:t>14</w:t>
            </w:r>
          </w:p>
        </w:tc>
        <w:tc>
          <w:tcPr>
            <w:tcW w:w="3581" w:type="dxa"/>
            <w:noWrap w:val="0"/>
            <w:vAlign w:val="center"/>
          </w:tcPr>
          <w:p>
            <w:pPr>
              <w:rPr>
                <w:rFonts w:hint="eastAsia" w:ascii="宋体" w:hAnsi="宋体" w:cs="宋体"/>
                <w:szCs w:val="21"/>
              </w:rPr>
            </w:pPr>
            <w:r>
              <w:rPr>
                <w:rFonts w:hint="eastAsia" w:ascii="宋体" w:hAnsi="宋体" w:cs="宋体"/>
                <w:szCs w:val="21"/>
              </w:rPr>
              <w:t>化工生产装置未按国家标准要求设置双重电源供电，自动化控制系统未设置不间断电源。</w:t>
            </w:r>
          </w:p>
        </w:tc>
        <w:tc>
          <w:tcPr>
            <w:tcW w:w="1843" w:type="dxa"/>
            <w:vMerge w:val="continue"/>
            <w:noWrap w:val="0"/>
            <w:vAlign w:val="center"/>
          </w:tcPr>
          <w:p>
            <w:pPr>
              <w:pStyle w:val="119"/>
              <w:spacing w:line="240" w:lineRule="auto"/>
              <w:ind w:firstLine="0" w:firstLineChars="0"/>
              <w:rPr>
                <w:rFonts w:hint="eastAsia" w:ascii="宋体" w:hAnsi="宋体" w:eastAsia="宋体" w:cs="宋体"/>
                <w:sz w:val="21"/>
                <w:szCs w:val="21"/>
              </w:rPr>
            </w:pPr>
          </w:p>
        </w:tc>
        <w:tc>
          <w:tcPr>
            <w:tcW w:w="2394" w:type="dxa"/>
            <w:noWrap w:val="0"/>
            <w:vAlign w:val="center"/>
          </w:tcPr>
          <w:p>
            <w:pPr>
              <w:ind w:firstLine="420" w:firstLineChars="200"/>
              <w:rPr>
                <w:rFonts w:hint="eastAsia" w:ascii="宋体" w:hAnsi="宋体" w:cs="宋体"/>
                <w:szCs w:val="21"/>
              </w:rPr>
            </w:pPr>
            <w:r>
              <w:rPr>
                <w:rFonts w:hint="eastAsia" w:ascii="宋体" w:hAnsi="宋体" w:cs="宋体"/>
                <w:szCs w:val="21"/>
              </w:rPr>
              <w:t>不涉及</w:t>
            </w:r>
          </w:p>
        </w:tc>
        <w:tc>
          <w:tcPr>
            <w:tcW w:w="960" w:type="dxa"/>
            <w:noWrap w:val="0"/>
            <w:vAlign w:val="center"/>
          </w:tcPr>
          <w:p>
            <w:pPr>
              <w:pStyle w:val="119"/>
              <w:spacing w:line="240" w:lineRule="auto"/>
              <w:ind w:firstLine="0" w:firstLineChars="0"/>
              <w:jc w:val="center"/>
              <w:rPr>
                <w:rFonts w:hint="eastAsia" w:ascii="宋体" w:hAnsi="宋体" w:eastAsia="宋体" w:cs="宋体"/>
                <w:sz w:val="21"/>
                <w:szCs w:val="21"/>
              </w:rPr>
            </w:pPr>
            <w:r>
              <w:rPr>
                <w:rFonts w:hint="eastAsia" w:ascii="宋体" w:hAnsi="宋体" w:eastAsia="宋体" w:cs="宋体"/>
                <w:sz w:val="21"/>
                <w:szCs w:val="21"/>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noWrap w:val="0"/>
            <w:vAlign w:val="center"/>
          </w:tcPr>
          <w:p>
            <w:pPr>
              <w:pStyle w:val="119"/>
              <w:spacing w:line="240" w:lineRule="auto"/>
              <w:ind w:firstLine="0" w:firstLineChars="0"/>
              <w:jc w:val="center"/>
              <w:rPr>
                <w:rFonts w:hint="eastAsia" w:ascii="宋体" w:hAnsi="宋体" w:eastAsia="宋体" w:cs="宋体"/>
                <w:sz w:val="21"/>
                <w:szCs w:val="21"/>
              </w:rPr>
            </w:pPr>
            <w:r>
              <w:rPr>
                <w:rFonts w:hint="eastAsia" w:ascii="宋体" w:hAnsi="宋体" w:eastAsia="宋体" w:cs="宋体"/>
                <w:sz w:val="21"/>
                <w:szCs w:val="21"/>
              </w:rPr>
              <w:t>15</w:t>
            </w:r>
          </w:p>
        </w:tc>
        <w:tc>
          <w:tcPr>
            <w:tcW w:w="3581" w:type="dxa"/>
            <w:noWrap w:val="0"/>
            <w:vAlign w:val="center"/>
          </w:tcPr>
          <w:p>
            <w:pPr>
              <w:rPr>
                <w:rFonts w:hint="eastAsia" w:ascii="宋体" w:hAnsi="宋体" w:cs="宋体"/>
                <w:szCs w:val="21"/>
              </w:rPr>
            </w:pPr>
            <w:r>
              <w:rPr>
                <w:rFonts w:hint="eastAsia" w:ascii="宋体" w:hAnsi="宋体" w:cs="宋体"/>
                <w:szCs w:val="21"/>
              </w:rPr>
              <w:t>安全阀、爆破片等安全附件未正常投用。</w:t>
            </w:r>
          </w:p>
        </w:tc>
        <w:tc>
          <w:tcPr>
            <w:tcW w:w="1843" w:type="dxa"/>
            <w:vMerge w:val="continue"/>
            <w:noWrap w:val="0"/>
            <w:vAlign w:val="center"/>
          </w:tcPr>
          <w:p>
            <w:pPr>
              <w:pStyle w:val="119"/>
              <w:spacing w:line="240" w:lineRule="auto"/>
              <w:ind w:firstLine="0" w:firstLineChars="0"/>
              <w:rPr>
                <w:rFonts w:hint="eastAsia" w:ascii="宋体" w:hAnsi="宋体" w:eastAsia="宋体" w:cs="宋体"/>
                <w:sz w:val="21"/>
                <w:szCs w:val="21"/>
              </w:rPr>
            </w:pPr>
          </w:p>
        </w:tc>
        <w:tc>
          <w:tcPr>
            <w:tcW w:w="2394" w:type="dxa"/>
            <w:noWrap w:val="0"/>
            <w:vAlign w:val="center"/>
          </w:tcPr>
          <w:p>
            <w:pPr>
              <w:rPr>
                <w:rFonts w:hint="eastAsia" w:ascii="宋体" w:hAnsi="宋体" w:cs="宋体"/>
                <w:szCs w:val="21"/>
              </w:rPr>
            </w:pPr>
            <w:r>
              <w:rPr>
                <w:rFonts w:hint="eastAsia" w:ascii="宋体" w:hAnsi="宋体" w:cs="宋体"/>
                <w:szCs w:val="21"/>
              </w:rPr>
              <w:t>呼吸阀、阻火帽等正常。</w:t>
            </w:r>
          </w:p>
        </w:tc>
        <w:tc>
          <w:tcPr>
            <w:tcW w:w="960" w:type="dxa"/>
            <w:noWrap w:val="0"/>
            <w:vAlign w:val="center"/>
          </w:tcPr>
          <w:p>
            <w:pPr>
              <w:pStyle w:val="119"/>
              <w:spacing w:line="240" w:lineRule="auto"/>
              <w:ind w:firstLine="0" w:firstLineChars="0"/>
              <w:jc w:val="center"/>
              <w:rPr>
                <w:rFonts w:hint="eastAsia" w:ascii="宋体" w:hAnsi="宋体" w:eastAsia="宋体" w:cs="宋体"/>
                <w:sz w:val="21"/>
                <w:szCs w:val="21"/>
              </w:rPr>
            </w:pPr>
            <w:r>
              <w:rPr>
                <w:rFonts w:hint="eastAsia" w:ascii="宋体" w:hAnsi="宋体" w:eastAsia="宋体" w:cs="宋体"/>
                <w:sz w:val="21"/>
                <w:szCs w:val="21"/>
              </w:rPr>
              <w:t>符合</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noWrap w:val="0"/>
            <w:vAlign w:val="center"/>
          </w:tcPr>
          <w:p>
            <w:pPr>
              <w:pStyle w:val="119"/>
              <w:spacing w:line="240" w:lineRule="auto"/>
              <w:ind w:firstLine="0" w:firstLineChars="0"/>
              <w:jc w:val="center"/>
              <w:rPr>
                <w:rFonts w:hint="eastAsia" w:ascii="宋体" w:hAnsi="宋体" w:eastAsia="宋体" w:cs="宋体"/>
                <w:sz w:val="21"/>
                <w:szCs w:val="21"/>
              </w:rPr>
            </w:pPr>
            <w:r>
              <w:rPr>
                <w:rFonts w:hint="eastAsia" w:ascii="宋体" w:hAnsi="宋体" w:eastAsia="宋体" w:cs="宋体"/>
                <w:sz w:val="21"/>
                <w:szCs w:val="21"/>
              </w:rPr>
              <w:t>16</w:t>
            </w:r>
          </w:p>
        </w:tc>
        <w:tc>
          <w:tcPr>
            <w:tcW w:w="3581" w:type="dxa"/>
            <w:noWrap w:val="0"/>
            <w:vAlign w:val="center"/>
          </w:tcPr>
          <w:p>
            <w:pPr>
              <w:rPr>
                <w:rFonts w:hint="eastAsia" w:ascii="宋体" w:hAnsi="宋体" w:cs="宋体"/>
                <w:szCs w:val="21"/>
              </w:rPr>
            </w:pPr>
            <w:r>
              <w:rPr>
                <w:rFonts w:hint="eastAsia" w:ascii="宋体" w:hAnsi="宋体" w:cs="宋体"/>
                <w:szCs w:val="21"/>
              </w:rPr>
              <w:t>未建立与岗位相匹配的全员安全生产责任制或者未制定实施生产安全事故隐患排查治理制度。</w:t>
            </w:r>
          </w:p>
        </w:tc>
        <w:tc>
          <w:tcPr>
            <w:tcW w:w="1843" w:type="dxa"/>
            <w:vMerge w:val="continue"/>
            <w:noWrap w:val="0"/>
            <w:vAlign w:val="center"/>
          </w:tcPr>
          <w:p>
            <w:pPr>
              <w:pStyle w:val="119"/>
              <w:spacing w:line="240" w:lineRule="auto"/>
              <w:ind w:firstLine="0" w:firstLineChars="0"/>
              <w:rPr>
                <w:rFonts w:hint="eastAsia" w:ascii="宋体" w:hAnsi="宋体" w:eastAsia="宋体" w:cs="宋体"/>
                <w:sz w:val="21"/>
                <w:szCs w:val="21"/>
              </w:rPr>
            </w:pPr>
          </w:p>
        </w:tc>
        <w:tc>
          <w:tcPr>
            <w:tcW w:w="2394" w:type="dxa"/>
            <w:noWrap w:val="0"/>
            <w:vAlign w:val="center"/>
          </w:tcPr>
          <w:p>
            <w:pPr>
              <w:rPr>
                <w:rFonts w:hint="eastAsia" w:ascii="宋体" w:hAnsi="宋体" w:cs="宋体"/>
                <w:szCs w:val="21"/>
              </w:rPr>
            </w:pPr>
            <w:r>
              <w:rPr>
                <w:rFonts w:hint="eastAsia" w:ascii="宋体" w:hAnsi="宋体" w:cs="宋体"/>
                <w:szCs w:val="21"/>
              </w:rPr>
              <w:t>已建立健全安全责任制和隐患排查治理制度。</w:t>
            </w:r>
          </w:p>
        </w:tc>
        <w:tc>
          <w:tcPr>
            <w:tcW w:w="960" w:type="dxa"/>
            <w:noWrap w:val="0"/>
            <w:vAlign w:val="center"/>
          </w:tcPr>
          <w:p>
            <w:pPr>
              <w:pStyle w:val="119"/>
              <w:spacing w:line="240" w:lineRule="auto"/>
              <w:ind w:firstLine="0" w:firstLineChars="0"/>
              <w:jc w:val="center"/>
              <w:rPr>
                <w:rFonts w:hint="eastAsia" w:ascii="宋体" w:hAnsi="宋体" w:eastAsia="宋体" w:cs="宋体"/>
                <w:sz w:val="21"/>
                <w:szCs w:val="21"/>
              </w:rPr>
            </w:pPr>
            <w:r>
              <w:rPr>
                <w:rFonts w:hint="eastAsia" w:ascii="宋体" w:hAnsi="宋体" w:eastAsia="宋体" w:cs="宋体"/>
                <w:sz w:val="21"/>
                <w:szCs w:val="21"/>
              </w:rPr>
              <w:t>符合</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noWrap w:val="0"/>
            <w:vAlign w:val="center"/>
          </w:tcPr>
          <w:p>
            <w:pPr>
              <w:pStyle w:val="119"/>
              <w:spacing w:line="240" w:lineRule="auto"/>
              <w:ind w:firstLine="0" w:firstLineChars="0"/>
              <w:jc w:val="center"/>
              <w:rPr>
                <w:rFonts w:hint="eastAsia" w:ascii="宋体" w:hAnsi="宋体" w:eastAsia="宋体" w:cs="宋体"/>
                <w:sz w:val="21"/>
                <w:szCs w:val="21"/>
              </w:rPr>
            </w:pPr>
            <w:r>
              <w:rPr>
                <w:rFonts w:hint="eastAsia" w:ascii="宋体" w:hAnsi="宋体" w:eastAsia="宋体" w:cs="宋体"/>
                <w:sz w:val="21"/>
                <w:szCs w:val="21"/>
              </w:rPr>
              <w:t>17</w:t>
            </w:r>
          </w:p>
        </w:tc>
        <w:tc>
          <w:tcPr>
            <w:tcW w:w="3581" w:type="dxa"/>
            <w:noWrap w:val="0"/>
            <w:vAlign w:val="center"/>
          </w:tcPr>
          <w:p>
            <w:pPr>
              <w:rPr>
                <w:rFonts w:hint="eastAsia" w:ascii="宋体" w:hAnsi="宋体" w:cs="宋体"/>
                <w:szCs w:val="21"/>
              </w:rPr>
            </w:pPr>
            <w:r>
              <w:rPr>
                <w:rFonts w:hint="eastAsia" w:ascii="宋体" w:hAnsi="宋体" w:cs="宋体"/>
                <w:szCs w:val="21"/>
              </w:rPr>
              <w:t>未制定操作规程和工艺控制指标。</w:t>
            </w:r>
          </w:p>
        </w:tc>
        <w:tc>
          <w:tcPr>
            <w:tcW w:w="1843" w:type="dxa"/>
            <w:vMerge w:val="continue"/>
            <w:noWrap w:val="0"/>
            <w:vAlign w:val="center"/>
          </w:tcPr>
          <w:p>
            <w:pPr>
              <w:pStyle w:val="119"/>
              <w:spacing w:line="240" w:lineRule="auto"/>
              <w:ind w:firstLine="0" w:firstLineChars="0"/>
              <w:rPr>
                <w:rFonts w:hint="eastAsia" w:ascii="宋体" w:hAnsi="宋体" w:eastAsia="宋体" w:cs="宋体"/>
                <w:sz w:val="21"/>
                <w:szCs w:val="21"/>
              </w:rPr>
            </w:pPr>
          </w:p>
        </w:tc>
        <w:tc>
          <w:tcPr>
            <w:tcW w:w="2394" w:type="dxa"/>
            <w:noWrap w:val="0"/>
            <w:vAlign w:val="center"/>
          </w:tcPr>
          <w:p>
            <w:pPr>
              <w:rPr>
                <w:rFonts w:hint="eastAsia" w:ascii="宋体" w:hAnsi="宋体" w:cs="宋体"/>
                <w:szCs w:val="21"/>
              </w:rPr>
            </w:pPr>
            <w:r>
              <w:rPr>
                <w:rFonts w:hint="eastAsia" w:ascii="宋体" w:hAnsi="宋体" w:cs="宋体"/>
                <w:szCs w:val="21"/>
              </w:rPr>
              <w:t>制定了安全操作规程。</w:t>
            </w:r>
          </w:p>
        </w:tc>
        <w:tc>
          <w:tcPr>
            <w:tcW w:w="960" w:type="dxa"/>
            <w:noWrap w:val="0"/>
            <w:vAlign w:val="center"/>
          </w:tcPr>
          <w:p>
            <w:pPr>
              <w:pStyle w:val="119"/>
              <w:spacing w:line="240" w:lineRule="auto"/>
              <w:ind w:firstLine="0" w:firstLineChars="0"/>
              <w:jc w:val="center"/>
              <w:rPr>
                <w:rFonts w:hint="eastAsia" w:ascii="宋体" w:hAnsi="宋体" w:eastAsia="宋体" w:cs="宋体"/>
                <w:sz w:val="21"/>
                <w:szCs w:val="21"/>
              </w:rPr>
            </w:pPr>
            <w:r>
              <w:rPr>
                <w:rFonts w:hint="eastAsia" w:ascii="宋体" w:hAnsi="宋体" w:eastAsia="宋体" w:cs="宋体"/>
                <w:sz w:val="21"/>
                <w:szCs w:val="21"/>
              </w:rPr>
              <w:t>符合</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noWrap w:val="0"/>
            <w:vAlign w:val="center"/>
          </w:tcPr>
          <w:p>
            <w:pPr>
              <w:pStyle w:val="119"/>
              <w:spacing w:line="240" w:lineRule="auto"/>
              <w:ind w:firstLine="0" w:firstLineChars="0"/>
              <w:jc w:val="center"/>
              <w:rPr>
                <w:rFonts w:hint="eastAsia" w:ascii="宋体" w:hAnsi="宋体" w:eastAsia="宋体" w:cs="宋体"/>
                <w:sz w:val="21"/>
                <w:szCs w:val="21"/>
              </w:rPr>
            </w:pPr>
            <w:r>
              <w:rPr>
                <w:rFonts w:hint="eastAsia" w:ascii="宋体" w:hAnsi="宋体" w:eastAsia="宋体" w:cs="宋体"/>
                <w:sz w:val="21"/>
                <w:szCs w:val="21"/>
              </w:rPr>
              <w:t>18</w:t>
            </w:r>
          </w:p>
        </w:tc>
        <w:tc>
          <w:tcPr>
            <w:tcW w:w="3581" w:type="dxa"/>
            <w:noWrap w:val="0"/>
            <w:vAlign w:val="center"/>
          </w:tcPr>
          <w:p>
            <w:pPr>
              <w:rPr>
                <w:rFonts w:hint="eastAsia" w:ascii="宋体" w:hAnsi="宋体" w:cs="宋体"/>
                <w:szCs w:val="21"/>
              </w:rPr>
            </w:pPr>
            <w:r>
              <w:rPr>
                <w:rFonts w:hint="eastAsia" w:ascii="宋体" w:hAnsi="宋体" w:cs="宋体"/>
                <w:szCs w:val="21"/>
              </w:rPr>
              <w:t>未按照国家标准制定动火、进入受限空间等特殊作业管理制度，或者制度未有效执行。</w:t>
            </w:r>
          </w:p>
        </w:tc>
        <w:tc>
          <w:tcPr>
            <w:tcW w:w="1843" w:type="dxa"/>
            <w:vMerge w:val="continue"/>
            <w:noWrap w:val="0"/>
            <w:vAlign w:val="center"/>
          </w:tcPr>
          <w:p>
            <w:pPr>
              <w:pStyle w:val="119"/>
              <w:spacing w:line="240" w:lineRule="auto"/>
              <w:ind w:firstLine="0" w:firstLineChars="0"/>
              <w:rPr>
                <w:rFonts w:hint="eastAsia" w:ascii="宋体" w:hAnsi="宋体" w:eastAsia="宋体" w:cs="宋体"/>
                <w:sz w:val="21"/>
                <w:szCs w:val="21"/>
              </w:rPr>
            </w:pPr>
          </w:p>
        </w:tc>
        <w:tc>
          <w:tcPr>
            <w:tcW w:w="2394" w:type="dxa"/>
            <w:noWrap w:val="0"/>
            <w:vAlign w:val="center"/>
          </w:tcPr>
          <w:p>
            <w:pPr>
              <w:rPr>
                <w:rFonts w:hint="eastAsia" w:ascii="宋体" w:hAnsi="宋体" w:cs="宋体"/>
                <w:szCs w:val="21"/>
              </w:rPr>
            </w:pPr>
            <w:r>
              <w:rPr>
                <w:rFonts w:hint="eastAsia" w:ascii="宋体" w:hAnsi="宋体" w:cs="宋体"/>
                <w:szCs w:val="21"/>
              </w:rPr>
              <w:t>危险作业委托给具有资质的单位施工。已制定动火、进入受限空间等特殊作业管理制度。</w:t>
            </w:r>
          </w:p>
        </w:tc>
        <w:tc>
          <w:tcPr>
            <w:tcW w:w="960" w:type="dxa"/>
            <w:noWrap w:val="0"/>
            <w:vAlign w:val="center"/>
          </w:tcPr>
          <w:p>
            <w:pPr>
              <w:pStyle w:val="119"/>
              <w:spacing w:line="240" w:lineRule="auto"/>
              <w:ind w:firstLine="0" w:firstLineChars="0"/>
              <w:jc w:val="center"/>
              <w:rPr>
                <w:rFonts w:hint="eastAsia" w:ascii="宋体" w:hAnsi="宋体" w:eastAsia="宋体" w:cs="宋体"/>
                <w:sz w:val="21"/>
                <w:szCs w:val="21"/>
              </w:rPr>
            </w:pPr>
            <w:r>
              <w:rPr>
                <w:rFonts w:hint="eastAsia" w:ascii="宋体" w:hAnsi="宋体" w:eastAsia="宋体" w:cs="宋体"/>
                <w:sz w:val="21"/>
                <w:szCs w:val="21"/>
              </w:rPr>
              <w:t>符合</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noWrap w:val="0"/>
            <w:vAlign w:val="center"/>
          </w:tcPr>
          <w:p>
            <w:pPr>
              <w:pStyle w:val="119"/>
              <w:spacing w:line="240" w:lineRule="auto"/>
              <w:ind w:firstLine="0" w:firstLineChars="0"/>
              <w:jc w:val="center"/>
              <w:rPr>
                <w:rFonts w:hint="eastAsia" w:ascii="宋体" w:hAnsi="宋体" w:eastAsia="宋体" w:cs="宋体"/>
                <w:sz w:val="21"/>
                <w:szCs w:val="21"/>
              </w:rPr>
            </w:pPr>
            <w:r>
              <w:rPr>
                <w:rFonts w:hint="eastAsia" w:ascii="宋体" w:hAnsi="宋体" w:eastAsia="宋体" w:cs="宋体"/>
                <w:sz w:val="21"/>
                <w:szCs w:val="21"/>
              </w:rPr>
              <w:t>19</w:t>
            </w:r>
          </w:p>
        </w:tc>
        <w:tc>
          <w:tcPr>
            <w:tcW w:w="3581" w:type="dxa"/>
            <w:noWrap w:val="0"/>
            <w:vAlign w:val="center"/>
          </w:tcPr>
          <w:p>
            <w:pPr>
              <w:rPr>
                <w:rFonts w:hint="eastAsia" w:ascii="宋体" w:hAnsi="宋体" w:cs="宋体"/>
                <w:szCs w:val="21"/>
              </w:rPr>
            </w:pPr>
            <w:r>
              <w:rPr>
                <w:rFonts w:hint="eastAsia" w:ascii="宋体" w:hAnsi="宋体" w:cs="宋体"/>
                <w:szCs w:val="21"/>
              </w:rPr>
              <w:t>新开发的危险化学品生产工艺未经小试、中试、工业化试验直接进行工业化生产；国内首次使用的化工工艺未经过省级人民政府有关部门组织的安全可靠性论证；新建装置未制定试生产方案投料开车；精细化工企业未按规范性文件要求开展反应安全风险</w:t>
            </w:r>
            <w:r>
              <w:rPr>
                <w:rFonts w:hint="eastAsia" w:ascii="宋体" w:hAnsi="宋体" w:cs="宋体"/>
                <w:szCs w:val="21"/>
                <w:lang w:eastAsia="zh-CN"/>
              </w:rPr>
              <w:t>评价</w:t>
            </w:r>
            <w:r>
              <w:rPr>
                <w:rFonts w:hint="eastAsia" w:ascii="宋体" w:hAnsi="宋体" w:cs="宋体"/>
                <w:szCs w:val="21"/>
              </w:rPr>
              <w:t>。</w:t>
            </w:r>
          </w:p>
        </w:tc>
        <w:tc>
          <w:tcPr>
            <w:tcW w:w="1843" w:type="dxa"/>
            <w:vMerge w:val="continue"/>
            <w:noWrap w:val="0"/>
            <w:vAlign w:val="center"/>
          </w:tcPr>
          <w:p>
            <w:pPr>
              <w:pStyle w:val="119"/>
              <w:spacing w:line="240" w:lineRule="auto"/>
              <w:ind w:firstLine="0" w:firstLineChars="0"/>
              <w:rPr>
                <w:rFonts w:hint="eastAsia" w:ascii="宋体" w:hAnsi="宋体" w:eastAsia="宋体" w:cs="宋体"/>
                <w:sz w:val="21"/>
                <w:szCs w:val="21"/>
              </w:rPr>
            </w:pPr>
          </w:p>
        </w:tc>
        <w:tc>
          <w:tcPr>
            <w:tcW w:w="2394" w:type="dxa"/>
            <w:noWrap w:val="0"/>
            <w:vAlign w:val="center"/>
          </w:tcPr>
          <w:p>
            <w:pPr>
              <w:ind w:firstLine="420" w:firstLineChars="200"/>
              <w:rPr>
                <w:rFonts w:hint="eastAsia" w:ascii="宋体" w:hAnsi="宋体" w:cs="宋体"/>
                <w:szCs w:val="21"/>
              </w:rPr>
            </w:pPr>
            <w:r>
              <w:rPr>
                <w:rFonts w:hint="eastAsia" w:ascii="宋体" w:hAnsi="宋体" w:cs="宋体"/>
                <w:szCs w:val="21"/>
              </w:rPr>
              <w:t>不涉及</w:t>
            </w:r>
          </w:p>
        </w:tc>
        <w:tc>
          <w:tcPr>
            <w:tcW w:w="960" w:type="dxa"/>
            <w:noWrap w:val="0"/>
            <w:vAlign w:val="center"/>
          </w:tcPr>
          <w:p>
            <w:pPr>
              <w:pStyle w:val="119"/>
              <w:spacing w:line="240" w:lineRule="auto"/>
              <w:ind w:firstLine="0" w:firstLineChars="0"/>
              <w:jc w:val="center"/>
              <w:rPr>
                <w:rFonts w:hint="eastAsia" w:ascii="宋体" w:hAnsi="宋体" w:eastAsia="宋体" w:cs="宋体"/>
                <w:sz w:val="21"/>
                <w:szCs w:val="21"/>
              </w:rPr>
            </w:pPr>
            <w:r>
              <w:rPr>
                <w:rFonts w:hint="eastAsia" w:ascii="宋体" w:hAnsi="宋体" w:eastAsia="宋体" w:cs="宋体"/>
                <w:sz w:val="21"/>
                <w:szCs w:val="21"/>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noWrap w:val="0"/>
            <w:vAlign w:val="center"/>
          </w:tcPr>
          <w:p>
            <w:pPr>
              <w:pStyle w:val="119"/>
              <w:spacing w:line="240" w:lineRule="auto"/>
              <w:ind w:firstLine="0" w:firstLineChars="0"/>
              <w:jc w:val="center"/>
              <w:rPr>
                <w:rFonts w:hint="eastAsia" w:ascii="宋体" w:hAnsi="宋体" w:eastAsia="宋体" w:cs="宋体"/>
                <w:sz w:val="21"/>
                <w:szCs w:val="21"/>
              </w:rPr>
            </w:pPr>
            <w:r>
              <w:rPr>
                <w:rFonts w:hint="eastAsia" w:ascii="宋体" w:hAnsi="宋体" w:eastAsia="宋体" w:cs="宋体"/>
                <w:sz w:val="21"/>
                <w:szCs w:val="21"/>
              </w:rPr>
              <w:t>20</w:t>
            </w:r>
          </w:p>
        </w:tc>
        <w:tc>
          <w:tcPr>
            <w:tcW w:w="3581" w:type="dxa"/>
            <w:noWrap w:val="0"/>
            <w:vAlign w:val="center"/>
          </w:tcPr>
          <w:p>
            <w:pPr>
              <w:rPr>
                <w:rFonts w:hint="eastAsia" w:ascii="宋体" w:hAnsi="宋体" w:cs="宋体"/>
                <w:szCs w:val="21"/>
              </w:rPr>
            </w:pPr>
            <w:r>
              <w:rPr>
                <w:rFonts w:hint="eastAsia" w:ascii="宋体" w:hAnsi="宋体" w:cs="宋体"/>
                <w:szCs w:val="21"/>
              </w:rPr>
              <w:t>未按国家标准分区分类储存危险化学品，超量、超品种储存危险化学品，相互禁配物质混放混存。</w:t>
            </w:r>
          </w:p>
        </w:tc>
        <w:tc>
          <w:tcPr>
            <w:tcW w:w="1843" w:type="dxa"/>
            <w:vMerge w:val="continue"/>
            <w:noWrap w:val="0"/>
            <w:vAlign w:val="center"/>
          </w:tcPr>
          <w:p>
            <w:pPr>
              <w:pStyle w:val="119"/>
              <w:spacing w:line="240" w:lineRule="auto"/>
              <w:ind w:firstLine="0" w:firstLineChars="0"/>
              <w:rPr>
                <w:rFonts w:hint="eastAsia" w:ascii="宋体" w:hAnsi="宋体" w:eastAsia="宋体" w:cs="宋体"/>
                <w:sz w:val="21"/>
                <w:szCs w:val="21"/>
              </w:rPr>
            </w:pPr>
          </w:p>
        </w:tc>
        <w:tc>
          <w:tcPr>
            <w:tcW w:w="2394" w:type="dxa"/>
            <w:noWrap w:val="0"/>
            <w:vAlign w:val="center"/>
          </w:tcPr>
          <w:p>
            <w:pPr>
              <w:rPr>
                <w:rFonts w:hint="default" w:ascii="宋体" w:hAnsi="宋体" w:eastAsia="宋体" w:cs="宋体"/>
                <w:szCs w:val="21"/>
                <w:lang w:val="en-US" w:eastAsia="zh-CN"/>
              </w:rPr>
            </w:pPr>
            <w:r>
              <w:rPr>
                <w:rFonts w:hint="eastAsia" w:ascii="宋体" w:hAnsi="宋体" w:cs="宋体"/>
                <w:szCs w:val="21"/>
              </w:rPr>
              <w:t>存储规模</w:t>
            </w:r>
            <w:r>
              <w:rPr>
                <w:rFonts w:hint="eastAsia" w:ascii="宋体" w:hAnsi="宋体" w:cs="宋体"/>
                <w:szCs w:val="21"/>
                <w:lang w:val="en-US" w:eastAsia="zh-CN"/>
              </w:rPr>
              <w:t>符合要求。</w:t>
            </w:r>
          </w:p>
        </w:tc>
        <w:tc>
          <w:tcPr>
            <w:tcW w:w="960" w:type="dxa"/>
            <w:noWrap w:val="0"/>
            <w:vAlign w:val="center"/>
          </w:tcPr>
          <w:p>
            <w:pPr>
              <w:pStyle w:val="119"/>
              <w:spacing w:line="240" w:lineRule="auto"/>
              <w:ind w:firstLine="0" w:firstLineChars="0"/>
              <w:jc w:val="center"/>
              <w:rPr>
                <w:rFonts w:hint="eastAsia" w:ascii="宋体" w:hAnsi="宋体" w:eastAsia="宋体" w:cs="宋体"/>
                <w:sz w:val="21"/>
                <w:szCs w:val="21"/>
              </w:rPr>
            </w:pPr>
            <w:r>
              <w:rPr>
                <w:rFonts w:hint="eastAsia" w:ascii="宋体" w:hAnsi="宋体" w:eastAsia="宋体" w:cs="宋体"/>
                <w:sz w:val="21"/>
                <w:szCs w:val="21"/>
              </w:rPr>
              <w:t>符合</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Merge w:val="restart"/>
            <w:noWrap w:val="0"/>
            <w:vAlign w:val="center"/>
          </w:tcPr>
          <w:p>
            <w:pPr>
              <w:pStyle w:val="119"/>
              <w:spacing w:line="240" w:lineRule="auto"/>
              <w:ind w:firstLine="0" w:firstLineChars="0"/>
              <w:jc w:val="center"/>
              <w:rPr>
                <w:rFonts w:hint="eastAsia" w:ascii="宋体" w:hAnsi="宋体" w:eastAsia="宋体" w:cs="宋体"/>
                <w:sz w:val="21"/>
                <w:szCs w:val="21"/>
              </w:rPr>
            </w:pPr>
            <w:r>
              <w:rPr>
                <w:rFonts w:hint="eastAsia" w:ascii="宋体" w:hAnsi="宋体" w:eastAsia="宋体" w:cs="宋体"/>
                <w:sz w:val="21"/>
                <w:szCs w:val="21"/>
              </w:rPr>
              <w:t>2</w:t>
            </w:r>
            <w:r>
              <w:rPr>
                <w:rFonts w:ascii="宋体" w:hAnsi="宋体" w:eastAsia="宋体" w:cs="宋体"/>
                <w:sz w:val="21"/>
                <w:szCs w:val="21"/>
              </w:rPr>
              <w:t>1</w:t>
            </w:r>
          </w:p>
        </w:tc>
        <w:tc>
          <w:tcPr>
            <w:tcW w:w="3581" w:type="dxa"/>
            <w:noWrap w:val="0"/>
            <w:vAlign w:val="center"/>
          </w:tcPr>
          <w:p>
            <w:pPr>
              <w:rPr>
                <w:rFonts w:hint="eastAsia" w:ascii="宋体" w:hAnsi="宋体" w:cs="宋体"/>
                <w:szCs w:val="21"/>
              </w:rPr>
            </w:pPr>
            <w:r>
              <w:rPr>
                <w:rFonts w:hint="eastAsia" w:ascii="宋体" w:hAnsi="宋体" w:cs="宋体"/>
                <w:szCs w:val="21"/>
              </w:rPr>
              <w:t>从事危险化学品经营的单位（以下统称申请人）应当依法登记注册为企业，并具备下列基本条件：</w:t>
            </w:r>
          </w:p>
        </w:tc>
        <w:tc>
          <w:tcPr>
            <w:tcW w:w="1843" w:type="dxa"/>
            <w:vMerge w:val="restart"/>
            <w:noWrap w:val="0"/>
            <w:vAlign w:val="center"/>
          </w:tcPr>
          <w:p>
            <w:pPr>
              <w:ind w:firstLine="420" w:firstLineChars="200"/>
              <w:rPr>
                <w:rFonts w:hint="eastAsia" w:ascii="宋体" w:hAnsi="宋体" w:cs="宋体"/>
                <w:szCs w:val="21"/>
              </w:rPr>
            </w:pPr>
            <w:r>
              <w:rPr>
                <w:rFonts w:hint="eastAsia" w:ascii="宋体" w:hAnsi="宋体" w:cs="宋体"/>
                <w:szCs w:val="21"/>
              </w:rPr>
              <w:t>《危险化学品经营许可证管理办法》（国家安全生产监督管理总局令第55号）第六条</w:t>
            </w:r>
          </w:p>
        </w:tc>
        <w:tc>
          <w:tcPr>
            <w:tcW w:w="2394" w:type="dxa"/>
            <w:noWrap w:val="0"/>
            <w:vAlign w:val="center"/>
          </w:tcPr>
          <w:p>
            <w:pPr>
              <w:rPr>
                <w:rFonts w:hint="eastAsia" w:ascii="宋体" w:hAnsi="宋体" w:cs="宋体"/>
                <w:szCs w:val="21"/>
              </w:rPr>
            </w:pPr>
            <w:r>
              <w:rPr>
                <w:rFonts w:hint="eastAsia" w:ascii="宋体" w:hAnsi="宋体" w:cs="宋体"/>
                <w:szCs w:val="21"/>
              </w:rPr>
              <w:t>企业已注册，取证营业执照。</w:t>
            </w:r>
          </w:p>
        </w:tc>
        <w:tc>
          <w:tcPr>
            <w:tcW w:w="960" w:type="dxa"/>
            <w:noWrap w:val="0"/>
            <w:vAlign w:val="center"/>
          </w:tcPr>
          <w:p>
            <w:pPr>
              <w:pStyle w:val="119"/>
              <w:spacing w:line="240" w:lineRule="auto"/>
              <w:ind w:firstLine="0" w:firstLineChars="0"/>
              <w:jc w:val="center"/>
              <w:rPr>
                <w:rFonts w:hint="eastAsia" w:ascii="宋体" w:hAnsi="宋体" w:eastAsia="宋体" w:cs="宋体"/>
                <w:sz w:val="21"/>
                <w:szCs w:val="21"/>
              </w:rPr>
            </w:pPr>
            <w:r>
              <w:rPr>
                <w:rFonts w:hint="eastAsia" w:ascii="宋体" w:hAnsi="宋体" w:eastAsia="宋体" w:cs="宋体"/>
                <w:sz w:val="21"/>
                <w:szCs w:val="21"/>
              </w:rPr>
              <w:t>符合</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Merge w:val="continue"/>
            <w:noWrap w:val="0"/>
            <w:vAlign w:val="center"/>
          </w:tcPr>
          <w:p>
            <w:pPr>
              <w:pStyle w:val="119"/>
              <w:spacing w:line="240" w:lineRule="auto"/>
              <w:ind w:firstLine="0" w:firstLineChars="0"/>
              <w:jc w:val="center"/>
              <w:rPr>
                <w:rFonts w:hint="eastAsia" w:ascii="宋体" w:hAnsi="宋体" w:eastAsia="宋体" w:cs="宋体"/>
                <w:sz w:val="21"/>
                <w:szCs w:val="21"/>
              </w:rPr>
            </w:pPr>
          </w:p>
        </w:tc>
        <w:tc>
          <w:tcPr>
            <w:tcW w:w="3581" w:type="dxa"/>
            <w:noWrap w:val="0"/>
            <w:vAlign w:val="center"/>
          </w:tcPr>
          <w:p>
            <w:pPr>
              <w:rPr>
                <w:rFonts w:hint="eastAsia" w:ascii="宋体" w:hAnsi="宋体" w:cs="宋体"/>
                <w:szCs w:val="21"/>
              </w:rPr>
            </w:pPr>
            <w:r>
              <w:rPr>
                <w:rFonts w:hint="eastAsia" w:ascii="宋体" w:hAnsi="宋体" w:cs="宋体"/>
                <w:szCs w:val="21"/>
              </w:rPr>
              <w:t>（一）经营和储存场所、设施、建筑物符合《建筑设计防火规范（2018年版）》（GB50016）、《石油化工企业设计防火规范》（GB50160）、《汽车加油加气加氢站技术标准》（GB50156）、《石油库设计规范》（GB50074）等相关国家标准、行业标准的规定；</w:t>
            </w:r>
          </w:p>
        </w:tc>
        <w:tc>
          <w:tcPr>
            <w:tcW w:w="1843" w:type="dxa"/>
            <w:vMerge w:val="continue"/>
            <w:noWrap w:val="0"/>
            <w:vAlign w:val="center"/>
          </w:tcPr>
          <w:p>
            <w:pPr>
              <w:pStyle w:val="119"/>
              <w:spacing w:line="240" w:lineRule="auto"/>
              <w:ind w:firstLine="0" w:firstLineChars="0"/>
              <w:rPr>
                <w:rFonts w:hint="eastAsia" w:ascii="宋体" w:hAnsi="宋体" w:eastAsia="宋体" w:cs="宋体"/>
                <w:sz w:val="21"/>
                <w:szCs w:val="21"/>
              </w:rPr>
            </w:pPr>
          </w:p>
        </w:tc>
        <w:tc>
          <w:tcPr>
            <w:tcW w:w="2394" w:type="dxa"/>
            <w:noWrap w:val="0"/>
            <w:vAlign w:val="center"/>
          </w:tcPr>
          <w:p>
            <w:pPr>
              <w:rPr>
                <w:rFonts w:hint="eastAsia" w:ascii="宋体" w:hAnsi="宋体" w:cs="宋体"/>
                <w:szCs w:val="21"/>
              </w:rPr>
            </w:pPr>
            <w:r>
              <w:rPr>
                <w:rFonts w:hint="eastAsia" w:ascii="宋体" w:hAnsi="宋体" w:cs="宋体"/>
                <w:szCs w:val="21"/>
              </w:rPr>
              <w:t>经检查，经营和储存场所《建筑设计防火规范（2018年版）》（GB50016）、《石油化工企业设计防火规范》（GB50160）、《汽车加油加气加氢站技术标准》（GB50156）、《石油库设计规范》（GB50074）等相关国家标准、行业标准的规定。</w:t>
            </w:r>
          </w:p>
        </w:tc>
        <w:tc>
          <w:tcPr>
            <w:tcW w:w="960" w:type="dxa"/>
            <w:noWrap w:val="0"/>
            <w:vAlign w:val="center"/>
          </w:tcPr>
          <w:p>
            <w:pPr>
              <w:pStyle w:val="119"/>
              <w:spacing w:line="240" w:lineRule="auto"/>
              <w:ind w:firstLine="0" w:firstLineChars="0"/>
              <w:jc w:val="center"/>
              <w:rPr>
                <w:rFonts w:hint="eastAsia" w:ascii="宋体" w:hAnsi="宋体" w:eastAsia="宋体" w:cs="宋体"/>
                <w:sz w:val="21"/>
                <w:szCs w:val="21"/>
              </w:rPr>
            </w:pPr>
            <w:r>
              <w:rPr>
                <w:rFonts w:hint="eastAsia" w:ascii="宋体" w:hAnsi="宋体" w:eastAsia="宋体" w:cs="宋体"/>
                <w:sz w:val="21"/>
                <w:szCs w:val="21"/>
              </w:rPr>
              <w:t>符合</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Merge w:val="continue"/>
            <w:noWrap w:val="0"/>
            <w:vAlign w:val="center"/>
          </w:tcPr>
          <w:p>
            <w:pPr>
              <w:pStyle w:val="119"/>
              <w:spacing w:line="240" w:lineRule="auto"/>
              <w:ind w:firstLine="0" w:firstLineChars="0"/>
              <w:jc w:val="center"/>
              <w:rPr>
                <w:rFonts w:hint="eastAsia" w:ascii="宋体" w:hAnsi="宋体" w:eastAsia="宋体" w:cs="宋体"/>
                <w:sz w:val="21"/>
                <w:szCs w:val="21"/>
              </w:rPr>
            </w:pPr>
          </w:p>
        </w:tc>
        <w:tc>
          <w:tcPr>
            <w:tcW w:w="3581" w:type="dxa"/>
            <w:noWrap w:val="0"/>
            <w:vAlign w:val="center"/>
          </w:tcPr>
          <w:p>
            <w:pPr>
              <w:rPr>
                <w:rFonts w:hint="eastAsia" w:ascii="宋体" w:hAnsi="宋体" w:cs="宋体"/>
                <w:szCs w:val="21"/>
              </w:rPr>
            </w:pPr>
            <w:r>
              <w:rPr>
                <w:rFonts w:hint="eastAsia" w:ascii="宋体" w:hAnsi="宋体" w:cs="宋体"/>
                <w:szCs w:val="21"/>
              </w:rPr>
              <w:t>（二）企业主要负责人和安全生产管理人员具备与本企业危险化学品经营活动相适应的安全生产知识和管理能力，经专门的安全生产培训和安全生产监督管理部门考核合格，取得相应安全资格证书；特种作业人员经专门的安全作业培训，取得特种作业操作证书；其他从业人员依照有关规定经安全生产教育和专业技术培训合格；</w:t>
            </w:r>
          </w:p>
        </w:tc>
        <w:tc>
          <w:tcPr>
            <w:tcW w:w="1843" w:type="dxa"/>
            <w:vMerge w:val="continue"/>
            <w:noWrap w:val="0"/>
            <w:vAlign w:val="center"/>
          </w:tcPr>
          <w:p>
            <w:pPr>
              <w:pStyle w:val="119"/>
              <w:spacing w:line="240" w:lineRule="auto"/>
              <w:ind w:firstLine="0" w:firstLineChars="0"/>
              <w:rPr>
                <w:rFonts w:hint="eastAsia" w:ascii="宋体" w:hAnsi="宋体" w:eastAsia="宋体" w:cs="宋体"/>
                <w:sz w:val="21"/>
                <w:szCs w:val="21"/>
              </w:rPr>
            </w:pPr>
          </w:p>
        </w:tc>
        <w:tc>
          <w:tcPr>
            <w:tcW w:w="2394" w:type="dxa"/>
            <w:noWrap w:val="0"/>
            <w:vAlign w:val="center"/>
          </w:tcPr>
          <w:p>
            <w:pPr>
              <w:rPr>
                <w:rFonts w:hint="eastAsia" w:ascii="宋体" w:hAnsi="宋体" w:cs="宋体"/>
                <w:szCs w:val="21"/>
              </w:rPr>
            </w:pPr>
            <w:r>
              <w:rPr>
                <w:rFonts w:hint="eastAsia" w:ascii="宋体" w:hAnsi="宋体" w:cs="宋体"/>
                <w:szCs w:val="21"/>
                <w:lang w:val="en-US" w:eastAsia="zh-CN"/>
              </w:rPr>
              <w:t>公司</w:t>
            </w:r>
            <w:r>
              <w:rPr>
                <w:rFonts w:hint="eastAsia" w:ascii="宋体" w:hAnsi="宋体" w:cs="宋体"/>
                <w:szCs w:val="21"/>
              </w:rPr>
              <w:t>的</w:t>
            </w:r>
            <w:r>
              <w:rPr>
                <w:rFonts w:hint="eastAsia" w:ascii="宋体" w:hAnsi="宋体" w:cs="宋体"/>
                <w:szCs w:val="21"/>
                <w:lang w:val="en-US" w:eastAsia="zh-CN"/>
              </w:rPr>
              <w:t>负责人</w:t>
            </w:r>
            <w:r>
              <w:rPr>
                <w:rFonts w:hint="eastAsia" w:ascii="宋体" w:hAnsi="宋体" w:cs="宋体"/>
                <w:szCs w:val="21"/>
              </w:rPr>
              <w:t>、安全员已取证。电工等其它特种作业委托具有相应资质的单位作业。</w:t>
            </w:r>
          </w:p>
        </w:tc>
        <w:tc>
          <w:tcPr>
            <w:tcW w:w="960" w:type="dxa"/>
            <w:noWrap w:val="0"/>
            <w:vAlign w:val="center"/>
          </w:tcPr>
          <w:p>
            <w:pPr>
              <w:pStyle w:val="119"/>
              <w:spacing w:line="240" w:lineRule="auto"/>
              <w:ind w:firstLine="0" w:firstLineChars="0"/>
              <w:jc w:val="center"/>
              <w:rPr>
                <w:rFonts w:hint="eastAsia" w:ascii="宋体" w:hAnsi="宋体" w:eastAsia="宋体" w:cs="宋体"/>
                <w:sz w:val="21"/>
                <w:szCs w:val="21"/>
              </w:rPr>
            </w:pPr>
            <w:r>
              <w:rPr>
                <w:rFonts w:hint="eastAsia" w:ascii="宋体" w:hAnsi="宋体" w:eastAsia="宋体" w:cs="宋体"/>
                <w:sz w:val="21"/>
                <w:szCs w:val="21"/>
              </w:rPr>
              <w:t>符合</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Merge w:val="continue"/>
            <w:noWrap w:val="0"/>
            <w:vAlign w:val="center"/>
          </w:tcPr>
          <w:p>
            <w:pPr>
              <w:pStyle w:val="119"/>
              <w:spacing w:line="240" w:lineRule="auto"/>
              <w:ind w:firstLine="0" w:firstLineChars="0"/>
              <w:jc w:val="center"/>
              <w:rPr>
                <w:rFonts w:hint="eastAsia" w:ascii="宋体" w:hAnsi="宋体" w:eastAsia="宋体" w:cs="宋体"/>
                <w:sz w:val="21"/>
                <w:szCs w:val="21"/>
              </w:rPr>
            </w:pPr>
          </w:p>
        </w:tc>
        <w:tc>
          <w:tcPr>
            <w:tcW w:w="3581" w:type="dxa"/>
            <w:noWrap w:val="0"/>
            <w:vAlign w:val="center"/>
          </w:tcPr>
          <w:p>
            <w:pPr>
              <w:rPr>
                <w:rFonts w:hint="eastAsia" w:ascii="宋体" w:hAnsi="宋体" w:cs="宋体"/>
                <w:szCs w:val="21"/>
              </w:rPr>
            </w:pPr>
            <w:r>
              <w:rPr>
                <w:rFonts w:hint="eastAsia" w:ascii="宋体" w:hAnsi="宋体" w:cs="宋体"/>
                <w:szCs w:val="21"/>
              </w:rPr>
              <w:t>（四）有符合国家规定的危险化学品事故应急预案，并配备必要的应急救援器材、设备；</w:t>
            </w:r>
          </w:p>
        </w:tc>
        <w:tc>
          <w:tcPr>
            <w:tcW w:w="1843" w:type="dxa"/>
            <w:vMerge w:val="continue"/>
            <w:noWrap w:val="0"/>
            <w:vAlign w:val="center"/>
          </w:tcPr>
          <w:p>
            <w:pPr>
              <w:pStyle w:val="119"/>
              <w:spacing w:line="240" w:lineRule="auto"/>
              <w:ind w:firstLine="0" w:firstLineChars="0"/>
              <w:rPr>
                <w:rFonts w:hint="eastAsia" w:ascii="宋体" w:hAnsi="宋体" w:eastAsia="宋体" w:cs="宋体"/>
                <w:sz w:val="21"/>
                <w:szCs w:val="21"/>
              </w:rPr>
            </w:pPr>
          </w:p>
        </w:tc>
        <w:tc>
          <w:tcPr>
            <w:tcW w:w="2394" w:type="dxa"/>
            <w:noWrap w:val="0"/>
            <w:vAlign w:val="center"/>
          </w:tcPr>
          <w:p>
            <w:pPr>
              <w:rPr>
                <w:rFonts w:hint="eastAsia" w:ascii="宋体" w:hAnsi="宋体" w:cs="宋体"/>
                <w:szCs w:val="21"/>
              </w:rPr>
            </w:pPr>
            <w:r>
              <w:rPr>
                <w:rFonts w:hint="eastAsia" w:ascii="宋体" w:hAnsi="宋体" w:cs="宋体"/>
                <w:szCs w:val="21"/>
              </w:rPr>
              <w:t>已按要求编制了应急预案。配备了相应的灭火器材和应急器材。</w:t>
            </w:r>
          </w:p>
        </w:tc>
        <w:tc>
          <w:tcPr>
            <w:tcW w:w="960" w:type="dxa"/>
            <w:noWrap w:val="0"/>
            <w:vAlign w:val="center"/>
          </w:tcPr>
          <w:p>
            <w:pPr>
              <w:pStyle w:val="119"/>
              <w:spacing w:line="240" w:lineRule="auto"/>
              <w:ind w:firstLine="0" w:firstLineChars="0"/>
              <w:jc w:val="center"/>
              <w:rPr>
                <w:rFonts w:hint="eastAsia" w:ascii="宋体" w:hAnsi="宋体" w:eastAsia="宋体" w:cs="宋体"/>
                <w:sz w:val="21"/>
                <w:szCs w:val="21"/>
              </w:rPr>
            </w:pPr>
            <w:r>
              <w:rPr>
                <w:rFonts w:hint="eastAsia" w:ascii="宋体" w:hAnsi="宋体" w:eastAsia="宋体" w:cs="宋体"/>
                <w:sz w:val="21"/>
                <w:szCs w:val="21"/>
              </w:rPr>
              <w:t>符合</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noWrap w:val="0"/>
            <w:vAlign w:val="center"/>
          </w:tcPr>
          <w:p>
            <w:pPr>
              <w:pStyle w:val="119"/>
              <w:spacing w:line="240" w:lineRule="auto"/>
              <w:ind w:firstLine="0" w:firstLineChars="0"/>
              <w:jc w:val="center"/>
              <w:rPr>
                <w:rFonts w:hint="eastAsia" w:ascii="宋体" w:hAnsi="宋体" w:eastAsia="宋体" w:cs="宋体"/>
                <w:sz w:val="21"/>
                <w:szCs w:val="21"/>
              </w:rPr>
            </w:pPr>
            <w:r>
              <w:rPr>
                <w:rFonts w:ascii="宋体" w:hAnsi="宋体" w:eastAsia="宋体" w:cs="宋体"/>
                <w:sz w:val="21"/>
                <w:szCs w:val="21"/>
              </w:rPr>
              <w:t>22</w:t>
            </w:r>
          </w:p>
        </w:tc>
        <w:tc>
          <w:tcPr>
            <w:tcW w:w="3581" w:type="dxa"/>
            <w:noWrap w:val="0"/>
            <w:vAlign w:val="center"/>
          </w:tcPr>
          <w:p>
            <w:pPr>
              <w:rPr>
                <w:rFonts w:hint="eastAsia" w:ascii="宋体" w:hAnsi="宋体" w:cs="宋体"/>
                <w:szCs w:val="21"/>
              </w:rPr>
            </w:pPr>
            <w:r>
              <w:rPr>
                <w:rFonts w:hint="eastAsia" w:ascii="宋体" w:hAnsi="宋体" w:cs="宋体"/>
                <w:szCs w:val="21"/>
              </w:rPr>
              <w:t>提出危险化学品经营许可证延期申请的企业，安全生产标准化应达到三级。</w:t>
            </w:r>
          </w:p>
        </w:tc>
        <w:tc>
          <w:tcPr>
            <w:tcW w:w="1843" w:type="dxa"/>
            <w:noWrap w:val="0"/>
            <w:vAlign w:val="center"/>
          </w:tcPr>
          <w:p>
            <w:pPr>
              <w:pStyle w:val="119"/>
              <w:spacing w:line="240" w:lineRule="auto"/>
              <w:ind w:firstLine="0" w:firstLineChars="0"/>
              <w:rPr>
                <w:rFonts w:hint="eastAsia" w:ascii="宋体" w:hAnsi="宋体" w:eastAsia="宋体" w:cs="宋体"/>
                <w:sz w:val="21"/>
                <w:szCs w:val="21"/>
              </w:rPr>
            </w:pPr>
            <w:r>
              <w:rPr>
                <w:rFonts w:hint="eastAsia" w:ascii="宋体" w:hAnsi="宋体" w:eastAsia="宋体" w:cs="宋体"/>
                <w:sz w:val="21"/>
                <w:szCs w:val="21"/>
              </w:rPr>
              <w:t>《云南省安全生产监督管理局关于危险化学品经营行政许可有关事项的通知》（云安监管〔2013〕13号）第六条</w:t>
            </w:r>
          </w:p>
        </w:tc>
        <w:tc>
          <w:tcPr>
            <w:tcW w:w="2394" w:type="dxa"/>
            <w:noWrap w:val="0"/>
            <w:vAlign w:val="center"/>
          </w:tcPr>
          <w:p>
            <w:pPr>
              <w:rPr>
                <w:rFonts w:hint="eastAsia" w:ascii="宋体" w:hAnsi="宋体" w:cs="宋体"/>
                <w:szCs w:val="21"/>
              </w:rPr>
            </w:pPr>
            <w:r>
              <w:rPr>
                <w:rFonts w:hint="eastAsia" w:ascii="宋体" w:hAnsi="宋体" w:cs="宋体"/>
                <w:szCs w:val="21"/>
              </w:rPr>
              <w:t>已取得安全生产标准化证书。</w:t>
            </w:r>
          </w:p>
        </w:tc>
        <w:tc>
          <w:tcPr>
            <w:tcW w:w="960" w:type="dxa"/>
            <w:noWrap w:val="0"/>
            <w:vAlign w:val="center"/>
          </w:tcPr>
          <w:p>
            <w:pPr>
              <w:pStyle w:val="119"/>
              <w:spacing w:line="240" w:lineRule="auto"/>
              <w:ind w:firstLine="0" w:firstLineChars="0"/>
              <w:jc w:val="center"/>
              <w:rPr>
                <w:rFonts w:hint="eastAsia" w:ascii="宋体" w:hAnsi="宋体" w:eastAsia="宋体" w:cs="宋体"/>
                <w:sz w:val="21"/>
                <w:szCs w:val="21"/>
              </w:rPr>
            </w:pPr>
            <w:r>
              <w:rPr>
                <w:rFonts w:hint="eastAsia" w:ascii="宋体" w:hAnsi="宋体" w:eastAsia="宋体" w:cs="宋体"/>
                <w:sz w:val="21"/>
                <w:szCs w:val="21"/>
              </w:rPr>
              <w:t>符合</w:t>
            </w:r>
          </w:p>
        </w:tc>
      </w:tr>
    </w:tbl>
    <w:p>
      <w:pPr>
        <w:pStyle w:val="2"/>
        <w:rPr>
          <w:rFonts w:hint="eastAsia"/>
        </w:rPr>
      </w:pPr>
    </w:p>
    <w:p>
      <w:pPr>
        <w:pStyle w:val="19"/>
        <w:spacing w:afterLines="100" w:line="500" w:lineRule="exact"/>
        <w:rPr>
          <w:rFonts w:ascii="黑体" w:hAnsi="宋体" w:eastAsia="黑体"/>
          <w:color w:val="000000" w:themeColor="text1"/>
          <w:kern w:val="3"/>
          <w:sz w:val="28"/>
          <w:szCs w:val="28"/>
        </w:rPr>
      </w:pPr>
      <w:r>
        <w:rPr>
          <w:rFonts w:hint="eastAsia" w:ascii="黑体" w:hAnsi="宋体" w:eastAsia="黑体"/>
          <w:color w:val="000000" w:themeColor="text1"/>
          <w:kern w:val="3"/>
          <w:sz w:val="28"/>
          <w:szCs w:val="28"/>
        </w:rPr>
        <w:t>5.8.2评价单元小结</w:t>
      </w:r>
      <w:bookmarkEnd w:id="1943"/>
      <w:bookmarkEnd w:id="1944"/>
      <w:bookmarkEnd w:id="1945"/>
      <w:bookmarkEnd w:id="1946"/>
      <w:bookmarkEnd w:id="1947"/>
      <w:bookmarkEnd w:id="1948"/>
      <w:bookmarkEnd w:id="1949"/>
      <w:bookmarkEnd w:id="1950"/>
    </w:p>
    <w:p>
      <w:pPr>
        <w:spacing w:line="500" w:lineRule="exact"/>
        <w:ind w:firstLine="560" w:firstLineChars="200"/>
        <w:rPr>
          <w:color w:val="000000" w:themeColor="text1"/>
          <w:sz w:val="28"/>
          <w:szCs w:val="28"/>
        </w:rPr>
      </w:pPr>
      <w:r>
        <w:rPr>
          <w:rFonts w:hint="eastAsia"/>
          <w:sz w:val="28"/>
          <w:szCs w:val="28"/>
        </w:rPr>
        <w:t>通过上述安全检查</w:t>
      </w:r>
      <w:r>
        <w:rPr>
          <w:rFonts w:hint="eastAsia"/>
          <w:sz w:val="28"/>
          <w:szCs w:val="28"/>
          <w:lang w:val="en-US" w:eastAsia="zh-CN"/>
        </w:rPr>
        <w:t>评价</w:t>
      </w:r>
      <w:r>
        <w:rPr>
          <w:rFonts w:hint="eastAsia"/>
          <w:sz w:val="28"/>
          <w:szCs w:val="28"/>
        </w:rPr>
        <w:t>，该</w:t>
      </w:r>
      <w:r>
        <w:rPr>
          <w:rFonts w:hint="eastAsia"/>
          <w:sz w:val="28"/>
          <w:szCs w:val="28"/>
          <w:lang w:val="en-US" w:eastAsia="zh-CN"/>
        </w:rPr>
        <w:t>公司</w:t>
      </w:r>
      <w:r>
        <w:rPr>
          <w:rFonts w:hint="eastAsia"/>
          <w:sz w:val="28"/>
          <w:szCs w:val="28"/>
        </w:rPr>
        <w:t>不存在</w:t>
      </w:r>
      <w:r>
        <w:rPr>
          <w:rFonts w:hint="eastAsia" w:ascii="宋体" w:hAnsi="宋体" w:cs="宋体"/>
          <w:sz w:val="28"/>
          <w:szCs w:val="28"/>
        </w:rPr>
        <w:t>重大生产安全事故隐患，</w:t>
      </w:r>
      <w:r>
        <w:rPr>
          <w:rFonts w:hint="eastAsia"/>
          <w:sz w:val="28"/>
          <w:szCs w:val="28"/>
        </w:rPr>
        <w:t>其安全经营条件符合《危险化学品经营许可证管理办法》（国家安全生产监督管理总局令第55号）和《云南省安全生产监督管理局关于危险化学品经营行政许可有关事项的通知》（云安监管〔2013〕13号）的有关要求</w:t>
      </w:r>
      <w:r>
        <w:rPr>
          <w:color w:val="000000" w:themeColor="text1"/>
          <w:sz w:val="28"/>
          <w:szCs w:val="28"/>
        </w:rPr>
        <w:t>。</w:t>
      </w:r>
    </w:p>
    <w:p>
      <w:pPr>
        <w:autoSpaceDE w:val="0"/>
        <w:autoSpaceDN w:val="0"/>
        <w:adjustRightInd w:val="0"/>
        <w:rPr>
          <w:color w:val="000000" w:themeColor="text1"/>
          <w:sz w:val="28"/>
          <w:szCs w:val="28"/>
        </w:rPr>
      </w:pPr>
    </w:p>
    <w:p>
      <w:pPr>
        <w:keepNext/>
        <w:keepLines/>
        <w:pageBreakBefore/>
        <w:spacing w:before="340" w:after="330" w:line="500" w:lineRule="exact"/>
        <w:jc w:val="center"/>
        <w:outlineLvl w:val="0"/>
        <w:rPr>
          <w:rFonts w:ascii="楷体_GB2312" w:hAnsi="宋体" w:eastAsia="楷体_GB2312"/>
          <w:b/>
          <w:bCs/>
          <w:color w:val="000000" w:themeColor="text1"/>
          <w:kern w:val="3"/>
          <w:sz w:val="32"/>
          <w:szCs w:val="32"/>
        </w:rPr>
      </w:pPr>
      <w:bookmarkStart w:id="1951" w:name="_Toc11340"/>
      <w:bookmarkStart w:id="1952" w:name="_Toc7756"/>
      <w:bookmarkStart w:id="1953" w:name="_Toc15187"/>
      <w:bookmarkStart w:id="1954" w:name="_Toc13121"/>
      <w:bookmarkStart w:id="1955" w:name="_Toc15566"/>
      <w:bookmarkStart w:id="1956" w:name="_Toc26349"/>
      <w:bookmarkStart w:id="1957" w:name="_Toc10026"/>
      <w:bookmarkStart w:id="1958" w:name="_Toc29703"/>
      <w:bookmarkStart w:id="1959" w:name="_Toc16905_WPSOffice_Level1"/>
      <w:bookmarkStart w:id="1960" w:name="_Toc2771"/>
      <w:bookmarkStart w:id="1961" w:name="_Toc13029"/>
      <w:bookmarkStart w:id="1962" w:name="_Toc32704"/>
      <w:bookmarkStart w:id="1963" w:name="_Toc6411"/>
      <w:bookmarkStart w:id="1964" w:name="_Toc30549"/>
      <w:bookmarkStart w:id="1965" w:name="_Toc21847"/>
      <w:bookmarkStart w:id="1966" w:name="_Toc31711"/>
      <w:r>
        <w:rPr>
          <w:rFonts w:hint="eastAsia" w:ascii="楷体_GB2312" w:hAnsi="宋体" w:eastAsia="楷体_GB2312"/>
          <w:b/>
          <w:bCs/>
          <w:color w:val="000000" w:themeColor="text1"/>
          <w:kern w:val="3"/>
          <w:sz w:val="32"/>
          <w:szCs w:val="32"/>
        </w:rPr>
        <w:t>第6章 存在的主要隐患问题及整改情况</w:t>
      </w:r>
      <w:bookmarkEnd w:id="1925"/>
      <w:r>
        <w:rPr>
          <w:rFonts w:hint="eastAsia" w:ascii="楷体_GB2312" w:hAnsi="宋体" w:eastAsia="楷体_GB2312"/>
          <w:b/>
          <w:bCs/>
          <w:color w:val="000000" w:themeColor="text1"/>
          <w:kern w:val="3"/>
          <w:sz w:val="32"/>
          <w:szCs w:val="32"/>
        </w:rPr>
        <w:t>、安全对策措施及建议</w:t>
      </w:r>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p>
    <w:p>
      <w:pPr>
        <w:pStyle w:val="19"/>
        <w:spacing w:afterLines="100" w:line="500" w:lineRule="exact"/>
        <w:jc w:val="center"/>
        <w:rPr>
          <w:rFonts w:ascii="楷体_GB2312" w:hAnsi="宋体" w:eastAsia="楷体_GB2312"/>
          <w:color w:val="000000" w:themeColor="text1"/>
          <w:kern w:val="3"/>
        </w:rPr>
      </w:pPr>
      <w:bookmarkStart w:id="1967" w:name="_Toc4501"/>
      <w:bookmarkStart w:id="1968" w:name="_Toc27032"/>
      <w:bookmarkStart w:id="1969" w:name="_Toc20"/>
      <w:bookmarkStart w:id="1970" w:name="_Toc31608_WPSOffice_Level2"/>
      <w:bookmarkStart w:id="1971" w:name="_Toc8469"/>
      <w:bookmarkStart w:id="1972" w:name="_Toc15492"/>
      <w:bookmarkStart w:id="1973" w:name="_Toc4002"/>
      <w:bookmarkStart w:id="1974" w:name="_Toc17985"/>
      <w:bookmarkStart w:id="1975" w:name="_Toc30480"/>
      <w:bookmarkStart w:id="1976" w:name="_Toc24924"/>
      <w:bookmarkStart w:id="1977" w:name="_Toc4817"/>
      <w:bookmarkStart w:id="1978" w:name="_Toc9670"/>
      <w:bookmarkStart w:id="1979" w:name="_Toc18330"/>
      <w:bookmarkStart w:id="1980" w:name="_Toc10718"/>
      <w:bookmarkStart w:id="1981" w:name="_Toc2565"/>
      <w:bookmarkStart w:id="1982" w:name="_Toc10620"/>
      <w:bookmarkStart w:id="1983" w:name="_Toc6577"/>
      <w:r>
        <w:rPr>
          <w:rFonts w:hint="eastAsia" w:ascii="楷体_GB2312" w:hAnsi="宋体" w:eastAsia="楷体_GB2312"/>
          <w:color w:val="000000" w:themeColor="text1"/>
          <w:kern w:val="3"/>
        </w:rPr>
        <w:t>6.1存在的主要隐患问题</w:t>
      </w:r>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p>
    <w:p>
      <w:pPr>
        <w:adjustRightInd w:val="0"/>
        <w:snapToGrid w:val="0"/>
        <w:spacing w:line="500" w:lineRule="exact"/>
        <w:ind w:firstLine="560" w:firstLineChars="200"/>
        <w:rPr>
          <w:color w:val="000000" w:themeColor="text1"/>
          <w:sz w:val="28"/>
          <w:szCs w:val="28"/>
        </w:rPr>
      </w:pPr>
      <w:r>
        <w:rPr>
          <w:rFonts w:hint="eastAsia"/>
          <w:color w:val="000000" w:themeColor="text1"/>
          <w:sz w:val="28"/>
          <w:szCs w:val="28"/>
        </w:rPr>
        <w:t>昭通市鼎安科技有限公司</w:t>
      </w:r>
      <w:r>
        <w:rPr>
          <w:color w:val="000000" w:themeColor="text1"/>
          <w:sz w:val="28"/>
          <w:szCs w:val="28"/>
        </w:rPr>
        <w:t>评价组于</w:t>
      </w:r>
      <w:r>
        <w:rPr>
          <w:rFonts w:hint="eastAsia"/>
          <w:color w:val="000000" w:themeColor="text1"/>
          <w:sz w:val="28"/>
          <w:szCs w:val="28"/>
          <w:lang w:val="en-US" w:eastAsia="zh-CN"/>
        </w:rPr>
        <w:t>2025</w:t>
      </w:r>
      <w:r>
        <w:rPr>
          <w:color w:val="000000" w:themeColor="text1"/>
          <w:sz w:val="28"/>
          <w:szCs w:val="28"/>
        </w:rPr>
        <w:t>年</w:t>
      </w:r>
      <w:r>
        <w:rPr>
          <w:rFonts w:hint="eastAsia"/>
          <w:color w:val="000000" w:themeColor="text1"/>
          <w:sz w:val="28"/>
          <w:szCs w:val="28"/>
          <w:lang w:val="en-US" w:eastAsia="zh-CN"/>
        </w:rPr>
        <w:t>5</w:t>
      </w:r>
      <w:r>
        <w:rPr>
          <w:color w:val="000000" w:themeColor="text1"/>
          <w:sz w:val="28"/>
          <w:szCs w:val="28"/>
        </w:rPr>
        <w:t>月</w:t>
      </w:r>
      <w:r>
        <w:rPr>
          <w:rFonts w:hint="eastAsia"/>
          <w:color w:val="000000" w:themeColor="text1"/>
          <w:sz w:val="28"/>
          <w:szCs w:val="28"/>
          <w:lang w:val="en-US" w:eastAsia="zh-CN"/>
        </w:rPr>
        <w:t>23</w:t>
      </w:r>
      <w:r>
        <w:rPr>
          <w:color w:val="000000" w:themeColor="text1"/>
          <w:sz w:val="28"/>
          <w:szCs w:val="28"/>
        </w:rPr>
        <w:t>日到</w:t>
      </w:r>
      <w:r>
        <w:rPr>
          <w:rFonts w:hint="eastAsia"/>
          <w:color w:val="000000" w:themeColor="text1"/>
          <w:sz w:val="28"/>
          <w:szCs w:val="28"/>
        </w:rPr>
        <w:t>昭通市耀晨甲醇醇油有限公司</w:t>
      </w:r>
      <w:r>
        <w:rPr>
          <w:color w:val="000000" w:themeColor="text1"/>
          <w:sz w:val="28"/>
          <w:szCs w:val="28"/>
        </w:rPr>
        <w:t>现场检查以及在该报告编写过程中，发现该项目存在以下主要问题：</w:t>
      </w:r>
    </w:p>
    <w:p>
      <w:pPr>
        <w:adjustRightInd w:val="0"/>
        <w:snapToGrid w:val="0"/>
        <w:spacing w:line="500" w:lineRule="exact"/>
        <w:ind w:firstLine="560" w:firstLineChars="200"/>
        <w:rPr>
          <w:rFonts w:hint="eastAsia"/>
          <w:color w:val="000000" w:themeColor="text1"/>
          <w:sz w:val="28"/>
          <w:szCs w:val="28"/>
          <w:lang w:val="en-US" w:eastAsia="zh-CN"/>
        </w:rPr>
      </w:pPr>
      <w:r>
        <w:rPr>
          <w:rFonts w:hint="eastAsia"/>
          <w:color w:val="000000" w:themeColor="text1"/>
          <w:sz w:val="28"/>
          <w:szCs w:val="28"/>
          <w:lang w:val="en-US" w:eastAsia="zh-CN"/>
        </w:rPr>
        <w:t>1.储罐区操作井盖未跨接；</w:t>
      </w:r>
    </w:p>
    <w:p>
      <w:pPr>
        <w:adjustRightInd w:val="0"/>
        <w:snapToGrid w:val="0"/>
        <w:spacing w:line="500" w:lineRule="exact"/>
        <w:ind w:firstLine="560" w:firstLineChars="200"/>
        <w:rPr>
          <w:rFonts w:hint="eastAsia"/>
          <w:color w:val="000000" w:themeColor="text1"/>
          <w:sz w:val="28"/>
          <w:szCs w:val="28"/>
          <w:lang w:val="en-US" w:eastAsia="zh-CN"/>
        </w:rPr>
      </w:pPr>
      <w:r>
        <w:rPr>
          <w:rFonts w:hint="eastAsia"/>
          <w:color w:val="000000" w:themeColor="text1"/>
          <w:sz w:val="28"/>
          <w:szCs w:val="28"/>
          <w:lang w:val="en-US" w:eastAsia="zh-CN"/>
        </w:rPr>
        <w:t>2.</w:t>
      </w:r>
      <w:r>
        <w:rPr>
          <w:rFonts w:hint="eastAsia"/>
          <w:color w:val="000000" w:themeColor="text1"/>
          <w:sz w:val="28"/>
          <w:szCs w:val="28"/>
        </w:rPr>
        <w:t>埋地甲醇罐操作井</w:t>
      </w:r>
      <w:r>
        <w:rPr>
          <w:rFonts w:hint="eastAsia"/>
          <w:color w:val="000000" w:themeColor="text1"/>
          <w:sz w:val="28"/>
          <w:szCs w:val="28"/>
          <w:lang w:val="en-US" w:eastAsia="zh-CN"/>
        </w:rPr>
        <w:t>内</w:t>
      </w:r>
      <w:r>
        <w:rPr>
          <w:rFonts w:hint="eastAsia"/>
          <w:color w:val="000000" w:themeColor="text1"/>
          <w:sz w:val="28"/>
          <w:szCs w:val="28"/>
        </w:rPr>
        <w:t>无介质流向标识</w:t>
      </w:r>
      <w:r>
        <w:rPr>
          <w:rFonts w:hint="eastAsia"/>
          <w:color w:val="000000" w:themeColor="text1"/>
          <w:sz w:val="28"/>
          <w:szCs w:val="28"/>
          <w:lang w:val="en-US" w:eastAsia="zh-CN"/>
        </w:rPr>
        <w:t>；</w:t>
      </w:r>
    </w:p>
    <w:p>
      <w:pPr>
        <w:adjustRightInd w:val="0"/>
        <w:snapToGrid w:val="0"/>
        <w:spacing w:line="500" w:lineRule="exact"/>
        <w:ind w:firstLine="560" w:firstLineChars="200"/>
        <w:rPr>
          <w:rFonts w:hint="eastAsia"/>
          <w:color w:val="000000" w:themeColor="text1"/>
          <w:sz w:val="28"/>
          <w:szCs w:val="28"/>
          <w:lang w:val="en-US" w:eastAsia="zh-CN"/>
        </w:rPr>
      </w:pPr>
      <w:r>
        <w:rPr>
          <w:rFonts w:hint="eastAsia"/>
          <w:color w:val="000000" w:themeColor="text1"/>
          <w:sz w:val="28"/>
          <w:szCs w:val="28"/>
          <w:lang w:val="en-US" w:eastAsia="zh-CN"/>
        </w:rPr>
        <w:t>3.卸甲醇口未静电接地跨接；</w:t>
      </w:r>
    </w:p>
    <w:p>
      <w:pPr>
        <w:adjustRightInd w:val="0"/>
        <w:snapToGrid w:val="0"/>
        <w:spacing w:line="500" w:lineRule="exact"/>
        <w:ind w:firstLine="560" w:firstLineChars="200"/>
        <w:rPr>
          <w:rFonts w:hint="eastAsia"/>
          <w:color w:val="000000" w:themeColor="text1"/>
          <w:sz w:val="28"/>
          <w:szCs w:val="28"/>
          <w:lang w:val="en-US" w:eastAsia="zh-CN"/>
        </w:rPr>
      </w:pPr>
      <w:r>
        <w:rPr>
          <w:rFonts w:hint="eastAsia"/>
          <w:color w:val="000000" w:themeColor="text1"/>
          <w:sz w:val="28"/>
          <w:szCs w:val="28"/>
          <w:lang w:val="en-US" w:eastAsia="zh-CN"/>
        </w:rPr>
        <w:t>4.静电释放装置与卸甲醇口距离不足；</w:t>
      </w:r>
    </w:p>
    <w:p>
      <w:pPr>
        <w:adjustRightInd w:val="0"/>
        <w:snapToGrid w:val="0"/>
        <w:spacing w:line="500" w:lineRule="exact"/>
        <w:ind w:firstLine="560" w:firstLineChars="200"/>
        <w:rPr>
          <w:rFonts w:hint="eastAsia"/>
          <w:color w:val="000000" w:themeColor="text1"/>
          <w:sz w:val="28"/>
          <w:szCs w:val="28"/>
          <w:lang w:val="en-US" w:eastAsia="zh-CN"/>
        </w:rPr>
      </w:pPr>
      <w:r>
        <w:rPr>
          <w:rFonts w:hint="eastAsia"/>
          <w:color w:val="000000" w:themeColor="text1"/>
          <w:sz w:val="28"/>
          <w:szCs w:val="28"/>
          <w:lang w:val="en-US" w:eastAsia="zh-CN"/>
        </w:rPr>
        <w:t>5.加注机上方有电缆线、通讯线等；</w:t>
      </w:r>
    </w:p>
    <w:p>
      <w:pPr>
        <w:adjustRightInd w:val="0"/>
        <w:snapToGrid w:val="0"/>
        <w:spacing w:line="500" w:lineRule="exact"/>
        <w:ind w:firstLine="560" w:firstLineChars="200"/>
        <w:rPr>
          <w:rFonts w:hint="eastAsia"/>
          <w:color w:val="000000" w:themeColor="text1"/>
          <w:sz w:val="28"/>
          <w:szCs w:val="28"/>
          <w:lang w:val="en-US" w:eastAsia="zh-CN"/>
        </w:rPr>
      </w:pPr>
      <w:r>
        <w:rPr>
          <w:rFonts w:hint="eastAsia"/>
          <w:color w:val="000000" w:themeColor="text1"/>
          <w:sz w:val="28"/>
          <w:szCs w:val="28"/>
          <w:lang w:val="en-US" w:eastAsia="zh-CN"/>
        </w:rPr>
        <w:t>6.未设置可燃气体检测报警仪；</w:t>
      </w:r>
    </w:p>
    <w:p>
      <w:pPr>
        <w:adjustRightInd w:val="0"/>
        <w:snapToGrid w:val="0"/>
        <w:spacing w:line="500" w:lineRule="exact"/>
        <w:ind w:firstLine="560" w:firstLineChars="200"/>
        <w:rPr>
          <w:rFonts w:hint="eastAsia"/>
          <w:color w:val="000000" w:themeColor="text1"/>
          <w:sz w:val="28"/>
          <w:szCs w:val="28"/>
          <w:lang w:val="en-US" w:eastAsia="zh-CN"/>
        </w:rPr>
      </w:pPr>
      <w:r>
        <w:rPr>
          <w:rFonts w:hint="eastAsia"/>
          <w:color w:val="000000" w:themeColor="text1"/>
          <w:sz w:val="28"/>
          <w:szCs w:val="28"/>
          <w:lang w:val="en-US" w:eastAsia="zh-CN"/>
        </w:rPr>
        <w:t>7.未设置站内急停开关；</w:t>
      </w:r>
    </w:p>
    <w:p>
      <w:pPr>
        <w:adjustRightInd w:val="0"/>
        <w:snapToGrid w:val="0"/>
        <w:spacing w:line="500" w:lineRule="exact"/>
        <w:ind w:firstLine="560" w:firstLineChars="200"/>
        <w:rPr>
          <w:rFonts w:hint="eastAsia"/>
          <w:color w:val="000000" w:themeColor="text1"/>
          <w:sz w:val="28"/>
          <w:szCs w:val="28"/>
          <w:lang w:val="en-US" w:eastAsia="zh-CN"/>
        </w:rPr>
      </w:pPr>
      <w:r>
        <w:rPr>
          <w:rFonts w:hint="eastAsia"/>
          <w:color w:val="000000" w:themeColor="text1"/>
          <w:sz w:val="28"/>
          <w:szCs w:val="28"/>
          <w:lang w:val="en-US" w:eastAsia="zh-CN"/>
        </w:rPr>
        <w:t>8.配电室无应急灯，消防器材未配置绝缘手套、绝缘垫、绝缘鞋；</w:t>
      </w:r>
    </w:p>
    <w:p>
      <w:pPr>
        <w:adjustRightInd w:val="0"/>
        <w:snapToGrid w:val="0"/>
        <w:spacing w:line="500" w:lineRule="exact"/>
        <w:ind w:firstLine="560" w:firstLineChars="200"/>
        <w:rPr>
          <w:rFonts w:hint="eastAsia"/>
          <w:color w:val="000000" w:themeColor="text1"/>
          <w:sz w:val="28"/>
          <w:szCs w:val="28"/>
          <w:lang w:val="en-US" w:eastAsia="zh-CN"/>
        </w:rPr>
      </w:pPr>
      <w:r>
        <w:rPr>
          <w:rFonts w:hint="eastAsia"/>
          <w:color w:val="000000" w:themeColor="text1"/>
          <w:sz w:val="28"/>
          <w:szCs w:val="28"/>
          <w:lang w:val="en-US" w:eastAsia="zh-CN"/>
        </w:rPr>
        <w:t>9.甲醇加注区未设置静电接地夹；</w:t>
      </w:r>
    </w:p>
    <w:p>
      <w:pPr>
        <w:adjustRightInd w:val="0"/>
        <w:snapToGrid w:val="0"/>
        <w:spacing w:line="500" w:lineRule="exact"/>
        <w:ind w:firstLine="560" w:firstLineChars="200"/>
        <w:rPr>
          <w:rFonts w:hint="eastAsia"/>
          <w:color w:val="000000" w:themeColor="text1"/>
          <w:sz w:val="28"/>
          <w:szCs w:val="28"/>
          <w:lang w:val="en-US" w:eastAsia="zh-CN"/>
        </w:rPr>
      </w:pPr>
      <w:r>
        <w:rPr>
          <w:rFonts w:hint="eastAsia"/>
          <w:color w:val="000000" w:themeColor="text1"/>
          <w:sz w:val="28"/>
          <w:szCs w:val="28"/>
          <w:lang w:val="en-US" w:eastAsia="zh-CN"/>
        </w:rPr>
        <w:t>10.进入罐区的门损坏</w:t>
      </w:r>
      <w:bookmarkStart w:id="1984" w:name="_Toc1898"/>
      <w:bookmarkStart w:id="1985" w:name="_Toc14221_WPSOffice_Level2"/>
      <w:bookmarkStart w:id="1986" w:name="_Toc19035"/>
      <w:bookmarkStart w:id="1987" w:name="_Toc20885"/>
      <w:bookmarkStart w:id="1988" w:name="_Toc13097"/>
      <w:bookmarkStart w:id="1989" w:name="_Toc23018"/>
      <w:bookmarkStart w:id="1990" w:name="_Toc22903"/>
      <w:bookmarkStart w:id="1991" w:name="_Toc19980"/>
      <w:r>
        <w:rPr>
          <w:rFonts w:hint="eastAsia"/>
          <w:color w:val="000000" w:themeColor="text1"/>
          <w:sz w:val="28"/>
          <w:szCs w:val="28"/>
          <w:lang w:val="en-US" w:eastAsia="zh-CN"/>
        </w:rPr>
        <w:t>；</w:t>
      </w:r>
    </w:p>
    <w:p>
      <w:pPr>
        <w:adjustRightInd w:val="0"/>
        <w:snapToGrid w:val="0"/>
        <w:spacing w:line="500" w:lineRule="exact"/>
        <w:ind w:firstLine="560" w:firstLineChars="200"/>
        <w:rPr>
          <w:rFonts w:hint="default"/>
          <w:color w:val="000000" w:themeColor="text1"/>
          <w:sz w:val="28"/>
          <w:szCs w:val="28"/>
          <w:lang w:val="en-US" w:eastAsia="zh-CN"/>
        </w:rPr>
      </w:pPr>
      <w:r>
        <w:rPr>
          <w:rFonts w:hint="eastAsia"/>
          <w:color w:val="000000" w:themeColor="text1"/>
          <w:sz w:val="28"/>
          <w:szCs w:val="28"/>
          <w:lang w:val="en-US" w:eastAsia="zh-CN"/>
        </w:rPr>
        <w:t>11.加注机内无剪切阀。</w:t>
      </w:r>
    </w:p>
    <w:p>
      <w:pPr>
        <w:pStyle w:val="19"/>
        <w:spacing w:afterLines="100" w:line="500" w:lineRule="exact"/>
        <w:jc w:val="center"/>
        <w:rPr>
          <w:rFonts w:ascii="楷体_GB2312" w:hAnsi="宋体" w:eastAsia="楷体_GB2312"/>
          <w:color w:val="000000" w:themeColor="text1"/>
          <w:kern w:val="3"/>
        </w:rPr>
      </w:pPr>
      <w:r>
        <w:rPr>
          <w:rFonts w:hint="eastAsia" w:ascii="楷体_GB2312" w:hAnsi="宋体" w:eastAsia="楷体_GB2312"/>
          <w:color w:val="000000" w:themeColor="text1"/>
          <w:kern w:val="3"/>
        </w:rPr>
        <w:t>6.2整改情况</w:t>
      </w:r>
      <w:bookmarkEnd w:id="1984"/>
      <w:bookmarkEnd w:id="1985"/>
      <w:bookmarkEnd w:id="1986"/>
      <w:bookmarkEnd w:id="1987"/>
      <w:bookmarkEnd w:id="1988"/>
      <w:bookmarkEnd w:id="1989"/>
      <w:bookmarkEnd w:id="1990"/>
      <w:bookmarkEnd w:id="1991"/>
    </w:p>
    <w:p>
      <w:pPr>
        <w:pStyle w:val="74"/>
        <w:spacing w:line="500" w:lineRule="exact"/>
        <w:ind w:firstLine="560"/>
        <w:rPr>
          <w:rFonts w:ascii="Times New Roman" w:hAnsi="Times New Roman"/>
          <w:snapToGrid w:val="0"/>
          <w:color w:val="000000" w:themeColor="text1"/>
          <w:kern w:val="0"/>
          <w:szCs w:val="28"/>
        </w:rPr>
      </w:pPr>
      <w:r>
        <w:rPr>
          <w:rFonts w:hint="eastAsia" w:ascii="宋体" w:hAnsi="宋体"/>
          <w:kern w:val="3"/>
          <w:sz w:val="28"/>
          <w:szCs w:val="28"/>
        </w:rPr>
        <w:t>昭通市鼎安科技有限公司</w:t>
      </w:r>
      <w:r>
        <w:rPr>
          <w:rFonts w:ascii="宋体" w:hAnsi="宋体"/>
          <w:kern w:val="3"/>
          <w:sz w:val="28"/>
          <w:szCs w:val="28"/>
        </w:rPr>
        <w:t>评价组于</w:t>
      </w:r>
      <w:r>
        <w:rPr>
          <w:rFonts w:hint="eastAsia" w:ascii="宋体" w:hAnsi="宋体"/>
          <w:kern w:val="3"/>
          <w:sz w:val="28"/>
          <w:szCs w:val="28"/>
          <w:lang w:eastAsia="zh-CN"/>
        </w:rPr>
        <w:t>2025年</w:t>
      </w:r>
      <w:r>
        <w:rPr>
          <w:rFonts w:hint="eastAsia" w:cs="Times New Roman"/>
          <w:bCs/>
          <w:snapToGrid w:val="0"/>
          <w:color w:val="000000"/>
          <w:kern w:val="0"/>
          <w:sz w:val="28"/>
          <w:szCs w:val="28"/>
          <w:lang w:val="en-US" w:eastAsia="zh-CN"/>
        </w:rPr>
        <w:t>5</w:t>
      </w:r>
      <w:r>
        <w:rPr>
          <w:rFonts w:hint="eastAsia" w:ascii="宋体" w:hAnsi="宋体" w:eastAsia="宋体" w:cs="Times New Roman"/>
          <w:bCs/>
          <w:snapToGrid w:val="0"/>
          <w:color w:val="000000"/>
          <w:kern w:val="0"/>
          <w:sz w:val="28"/>
          <w:szCs w:val="28"/>
          <w:lang w:eastAsia="zh-CN"/>
        </w:rPr>
        <w:t>月</w:t>
      </w:r>
      <w:r>
        <w:rPr>
          <w:rFonts w:hint="eastAsia" w:ascii="宋体" w:hAnsi="宋体" w:eastAsia="宋体" w:cs="Times New Roman"/>
          <w:bCs/>
          <w:snapToGrid w:val="0"/>
          <w:color w:val="000000"/>
          <w:kern w:val="0"/>
          <w:sz w:val="28"/>
          <w:szCs w:val="28"/>
          <w:lang w:val="en-US" w:eastAsia="zh-CN"/>
        </w:rPr>
        <w:t>23</w:t>
      </w:r>
      <w:r>
        <w:rPr>
          <w:rFonts w:hint="eastAsia" w:ascii="宋体" w:hAnsi="宋体" w:eastAsia="宋体" w:cs="Times New Roman"/>
          <w:bCs/>
          <w:snapToGrid w:val="0"/>
          <w:color w:val="000000"/>
          <w:kern w:val="0"/>
          <w:sz w:val="28"/>
          <w:szCs w:val="28"/>
          <w:lang w:eastAsia="zh-CN"/>
        </w:rPr>
        <w:t>日</w:t>
      </w:r>
      <w:r>
        <w:rPr>
          <w:rFonts w:ascii="宋体" w:hAnsi="宋体"/>
          <w:kern w:val="3"/>
          <w:sz w:val="28"/>
          <w:szCs w:val="28"/>
        </w:rPr>
        <w:t>到</w:t>
      </w:r>
      <w:r>
        <w:rPr>
          <w:rFonts w:hint="eastAsia"/>
          <w:color w:val="000000" w:themeColor="text1"/>
          <w:sz w:val="28"/>
          <w:szCs w:val="28"/>
        </w:rPr>
        <w:t>昭通市耀晨甲醇醇油有限公司</w:t>
      </w:r>
      <w:r>
        <w:rPr>
          <w:rFonts w:ascii="宋体" w:hAnsi="宋体"/>
          <w:kern w:val="3"/>
          <w:sz w:val="28"/>
          <w:szCs w:val="28"/>
        </w:rPr>
        <w:t>现场检查时</w:t>
      </w:r>
      <w:r>
        <w:rPr>
          <w:rFonts w:hint="eastAsia" w:ascii="宋体" w:hAnsi="宋体"/>
          <w:kern w:val="3"/>
          <w:sz w:val="28"/>
          <w:szCs w:val="28"/>
        </w:rPr>
        <w:t>发现</w:t>
      </w:r>
      <w:r>
        <w:rPr>
          <w:rFonts w:hint="eastAsia"/>
          <w:kern w:val="3"/>
          <w:sz w:val="28"/>
          <w:szCs w:val="28"/>
          <w:lang w:val="en-US" w:eastAsia="zh-CN"/>
        </w:rPr>
        <w:t>公司</w:t>
      </w:r>
      <w:r>
        <w:rPr>
          <w:rFonts w:hint="eastAsia" w:ascii="宋体" w:hAnsi="宋体"/>
          <w:kern w:val="3"/>
          <w:sz w:val="28"/>
          <w:szCs w:val="28"/>
        </w:rPr>
        <w:t>存在的问题后，与</w:t>
      </w:r>
      <w:r>
        <w:rPr>
          <w:rFonts w:hint="eastAsia"/>
          <w:color w:val="000000" w:themeColor="text1"/>
          <w:sz w:val="28"/>
          <w:szCs w:val="28"/>
        </w:rPr>
        <w:t>昭通市耀晨甲醇醇油有限公司</w:t>
      </w:r>
      <w:r>
        <w:rPr>
          <w:rFonts w:hint="eastAsia" w:ascii="宋体" w:hAnsi="宋体"/>
          <w:kern w:val="3"/>
          <w:sz w:val="28"/>
          <w:szCs w:val="28"/>
        </w:rPr>
        <w:t>交换了意见，</w:t>
      </w:r>
      <w:r>
        <w:rPr>
          <w:rFonts w:hint="eastAsia"/>
          <w:color w:val="000000" w:themeColor="text1"/>
          <w:sz w:val="28"/>
          <w:szCs w:val="28"/>
        </w:rPr>
        <w:t>昭通市耀晨甲醇醇油有限公司</w:t>
      </w:r>
      <w:r>
        <w:rPr>
          <w:rFonts w:hint="eastAsia" w:ascii="宋体" w:hAnsi="宋体"/>
          <w:kern w:val="3"/>
          <w:sz w:val="28"/>
          <w:szCs w:val="28"/>
          <w:lang w:val="en-US" w:eastAsia="zh-CN"/>
        </w:rPr>
        <w:t>现场已经于2025年</w:t>
      </w:r>
      <w:r>
        <w:rPr>
          <w:rFonts w:hint="eastAsia"/>
          <w:kern w:val="3"/>
          <w:sz w:val="28"/>
          <w:szCs w:val="28"/>
          <w:lang w:val="en-US" w:eastAsia="zh-CN"/>
        </w:rPr>
        <w:t>7</w:t>
      </w:r>
      <w:r>
        <w:rPr>
          <w:rFonts w:hint="eastAsia" w:ascii="宋体" w:hAnsi="宋体"/>
          <w:kern w:val="3"/>
          <w:sz w:val="28"/>
          <w:szCs w:val="28"/>
          <w:lang w:val="en-US" w:eastAsia="zh-CN"/>
        </w:rPr>
        <w:t>月</w:t>
      </w:r>
      <w:r>
        <w:rPr>
          <w:rFonts w:hint="eastAsia"/>
          <w:kern w:val="3"/>
          <w:sz w:val="28"/>
          <w:szCs w:val="28"/>
          <w:lang w:val="en-US" w:eastAsia="zh-CN"/>
        </w:rPr>
        <w:t>前</w:t>
      </w:r>
      <w:r>
        <w:rPr>
          <w:rFonts w:hint="eastAsia" w:ascii="宋体" w:hAnsi="宋体"/>
          <w:kern w:val="3"/>
          <w:sz w:val="28"/>
          <w:szCs w:val="28"/>
          <w:lang w:val="en-US" w:eastAsia="zh-CN"/>
        </w:rPr>
        <w:t>整改完毕</w:t>
      </w:r>
      <w:r>
        <w:rPr>
          <w:rFonts w:hint="eastAsia" w:ascii="Times New Roman" w:hAnsi="Times New Roman"/>
          <w:color w:val="000000" w:themeColor="text1"/>
          <w:szCs w:val="28"/>
          <w:lang w:val="en-US" w:eastAsia="zh-CN"/>
        </w:rPr>
        <w:t>（详见企业整改情况说明报告）</w:t>
      </w:r>
      <w:r>
        <w:rPr>
          <w:rFonts w:ascii="Times New Roman" w:hAnsi="Times New Roman"/>
          <w:color w:val="000000" w:themeColor="text1"/>
          <w:szCs w:val="28"/>
        </w:rPr>
        <w:t>。</w:t>
      </w:r>
    </w:p>
    <w:p>
      <w:pPr>
        <w:pStyle w:val="19"/>
        <w:spacing w:afterLines="100" w:line="500" w:lineRule="exact"/>
        <w:jc w:val="center"/>
        <w:rPr>
          <w:rFonts w:ascii="楷体_GB2312" w:hAnsi="宋体" w:eastAsia="楷体_GB2312"/>
          <w:color w:val="000000" w:themeColor="text1"/>
          <w:kern w:val="3"/>
        </w:rPr>
      </w:pPr>
      <w:bookmarkStart w:id="1992" w:name="_Toc18625"/>
      <w:bookmarkStart w:id="1993" w:name="_Toc13737"/>
      <w:bookmarkStart w:id="1994" w:name="_Toc29954"/>
      <w:bookmarkStart w:id="1995" w:name="_Toc8355"/>
      <w:bookmarkStart w:id="1996" w:name="_Toc6683"/>
      <w:bookmarkStart w:id="1997" w:name="_Toc9272"/>
      <w:bookmarkStart w:id="1998" w:name="_Toc10405"/>
      <w:bookmarkStart w:id="1999" w:name="_Toc20485"/>
      <w:bookmarkStart w:id="2000" w:name="_Toc16170"/>
      <w:bookmarkStart w:id="2001" w:name="_Toc980"/>
      <w:bookmarkStart w:id="2002" w:name="_Toc23820"/>
      <w:bookmarkStart w:id="2003" w:name="_Toc10278_WPSOffice_Level2"/>
      <w:bookmarkStart w:id="2004" w:name="_Toc28853"/>
      <w:bookmarkStart w:id="2005" w:name="_Toc26114"/>
      <w:bookmarkStart w:id="2006" w:name="_Toc28914"/>
      <w:bookmarkStart w:id="2007" w:name="_Toc30005"/>
      <w:r>
        <w:rPr>
          <w:rFonts w:hint="eastAsia" w:ascii="楷体_GB2312" w:hAnsi="宋体" w:eastAsia="楷体_GB2312"/>
          <w:color w:val="000000" w:themeColor="text1"/>
          <w:kern w:val="3"/>
        </w:rPr>
        <w:t>6.3 安全对策措施及建议</w:t>
      </w:r>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p>
    <w:p>
      <w:pPr>
        <w:pStyle w:val="74"/>
        <w:spacing w:line="500" w:lineRule="exact"/>
        <w:ind w:firstLine="560"/>
        <w:rPr>
          <w:rFonts w:ascii="Times New Roman" w:hAnsi="Times New Roman"/>
          <w:color w:val="000000" w:themeColor="text1"/>
        </w:rPr>
      </w:pPr>
      <w:r>
        <w:rPr>
          <w:rFonts w:ascii="Times New Roman" w:hAnsi="Times New Roman" w:eastAsiaTheme="minorEastAsia"/>
          <w:snapToGrid w:val="0"/>
          <w:color w:val="000000" w:themeColor="text1"/>
          <w:kern w:val="0"/>
          <w:szCs w:val="28"/>
        </w:rPr>
        <w:t>1</w:t>
      </w:r>
      <w:r>
        <w:rPr>
          <w:rFonts w:hint="eastAsia" w:ascii="Times New Roman" w:hAnsi="Times New Roman" w:eastAsiaTheme="minorEastAsia"/>
          <w:snapToGrid w:val="0"/>
          <w:color w:val="000000" w:themeColor="text1"/>
          <w:kern w:val="0"/>
          <w:szCs w:val="28"/>
        </w:rPr>
        <w:t>.</w:t>
      </w:r>
      <w:r>
        <w:rPr>
          <w:rFonts w:ascii="Times New Roman" w:hAnsi="Times New Roman" w:eastAsiaTheme="minorEastAsia"/>
          <w:color w:val="000000" w:themeColor="text1"/>
          <w:szCs w:val="28"/>
        </w:rPr>
        <w:t>企业应按整改计划及时整改现场检查、报告编制过程中发现的隐患</w:t>
      </w:r>
      <w:r>
        <w:rPr>
          <w:rFonts w:ascii="Times New Roman" w:hAnsi="Times New Roman"/>
          <w:color w:val="000000" w:themeColor="text1"/>
        </w:rPr>
        <w:t>。</w:t>
      </w:r>
    </w:p>
    <w:p>
      <w:pPr>
        <w:pStyle w:val="74"/>
        <w:spacing w:line="500" w:lineRule="exact"/>
        <w:ind w:firstLine="560"/>
        <w:rPr>
          <w:rFonts w:ascii="Times New Roman" w:hAnsi="Times New Roman" w:eastAsiaTheme="minorEastAsia"/>
          <w:color w:val="000000" w:themeColor="text1"/>
          <w:szCs w:val="28"/>
        </w:rPr>
      </w:pPr>
      <w:r>
        <w:rPr>
          <w:rFonts w:ascii="Times New Roman" w:hAnsi="Times New Roman"/>
          <w:color w:val="000000" w:themeColor="text1"/>
        </w:rPr>
        <w:t>2</w:t>
      </w:r>
      <w:r>
        <w:rPr>
          <w:rFonts w:hint="eastAsia" w:ascii="Times New Roman" w:hAnsi="Times New Roman"/>
          <w:color w:val="000000" w:themeColor="text1"/>
        </w:rPr>
        <w:t>.</w:t>
      </w:r>
      <w:r>
        <w:rPr>
          <w:rFonts w:ascii="Times New Roman" w:hAnsi="Times New Roman"/>
          <w:color w:val="000000" w:themeColor="text1"/>
        </w:rPr>
        <w:t>企业应结合</w:t>
      </w:r>
      <w:r>
        <w:rPr>
          <w:rFonts w:ascii="Times New Roman" w:hAnsi="Times New Roman" w:eastAsiaTheme="minorEastAsia"/>
          <w:color w:val="000000" w:themeColor="text1"/>
          <w:szCs w:val="28"/>
        </w:rPr>
        <w:t>该项目内、外周边已废弃、闲置装置、建筑（构）物现状，为确保甲醇储存安全，企业应</w:t>
      </w:r>
      <w:r>
        <w:rPr>
          <w:rFonts w:ascii="Times New Roman" w:hAnsi="Times New Roman"/>
          <w:color w:val="000000" w:themeColor="text1"/>
          <w:szCs w:val="28"/>
        </w:rPr>
        <w:t>加强项目区的安全管理，对甲醇储存、装卸区进行定期安全检查，及时整改存在的安全隐患，并保障安全投入。</w:t>
      </w:r>
    </w:p>
    <w:p>
      <w:pPr>
        <w:pStyle w:val="74"/>
        <w:spacing w:line="500" w:lineRule="exact"/>
        <w:ind w:firstLine="560"/>
        <w:rPr>
          <w:rFonts w:ascii="Times New Roman" w:hAnsi="Times New Roman" w:eastAsiaTheme="minorEastAsia"/>
          <w:color w:val="000000" w:themeColor="text1"/>
          <w:szCs w:val="28"/>
        </w:rPr>
      </w:pPr>
      <w:r>
        <w:rPr>
          <w:rFonts w:ascii="Times New Roman" w:hAnsi="Times New Roman" w:eastAsiaTheme="minorEastAsia"/>
          <w:snapToGrid w:val="0"/>
          <w:color w:val="000000" w:themeColor="text1"/>
          <w:kern w:val="0"/>
          <w:szCs w:val="28"/>
        </w:rPr>
        <w:t>3</w:t>
      </w:r>
      <w:r>
        <w:rPr>
          <w:rFonts w:hint="eastAsia" w:ascii="Times New Roman" w:hAnsi="Times New Roman" w:eastAsiaTheme="minorEastAsia"/>
          <w:snapToGrid w:val="0"/>
          <w:color w:val="000000" w:themeColor="text1"/>
          <w:kern w:val="0"/>
          <w:szCs w:val="28"/>
        </w:rPr>
        <w:t>.</w:t>
      </w:r>
      <w:r>
        <w:rPr>
          <w:rFonts w:ascii="Times New Roman" w:hAnsi="Times New Roman" w:eastAsiaTheme="minorEastAsia"/>
          <w:snapToGrid w:val="0"/>
          <w:color w:val="000000" w:themeColor="text1"/>
          <w:kern w:val="0"/>
          <w:szCs w:val="28"/>
        </w:rPr>
        <w:t>应对甲醇罐区、装卸区的消防器材进行定期检查，</w:t>
      </w:r>
      <w:r>
        <w:rPr>
          <w:rFonts w:ascii="Times New Roman" w:hAnsi="Times New Roman" w:eastAsiaTheme="minorEastAsia"/>
          <w:color w:val="000000" w:themeColor="text1"/>
          <w:szCs w:val="28"/>
        </w:rPr>
        <w:t>严禁圈占、埋压和挪用于各种消防设施、器材。各类消防器材应设置在明显和便于取用的地点，周围不准放物品和杂物，日常运营中确保消防设施完好有效。</w:t>
      </w:r>
    </w:p>
    <w:p>
      <w:pPr>
        <w:pStyle w:val="74"/>
        <w:spacing w:line="500" w:lineRule="exact"/>
        <w:ind w:firstLine="560"/>
        <w:rPr>
          <w:rFonts w:ascii="Times New Roman" w:hAnsi="Times New Roman" w:eastAsiaTheme="minorEastAsia"/>
          <w:color w:val="000000" w:themeColor="text1"/>
          <w:szCs w:val="28"/>
        </w:rPr>
      </w:pPr>
      <w:r>
        <w:rPr>
          <w:rFonts w:ascii="Times New Roman" w:hAnsi="Times New Roman" w:eastAsiaTheme="minorEastAsia"/>
          <w:color w:val="000000" w:themeColor="text1"/>
          <w:szCs w:val="28"/>
        </w:rPr>
        <w:t>4</w:t>
      </w:r>
      <w:r>
        <w:rPr>
          <w:rFonts w:hint="eastAsia" w:ascii="Times New Roman" w:hAnsi="Times New Roman" w:eastAsiaTheme="minorEastAsia"/>
          <w:color w:val="000000" w:themeColor="text1"/>
          <w:szCs w:val="28"/>
        </w:rPr>
        <w:t>.</w:t>
      </w:r>
      <w:r>
        <w:rPr>
          <w:rFonts w:ascii="Times New Roman" w:hAnsi="Times New Roman" w:eastAsiaTheme="minorEastAsia"/>
          <w:color w:val="000000" w:themeColor="text1"/>
          <w:szCs w:val="28"/>
        </w:rPr>
        <w:t>公司应定期请有资质的防雷装置检测单位对甲醇罐区、装卸区的防雷设施进行检测，确保防雷装置处于完好、有效状态。</w:t>
      </w:r>
    </w:p>
    <w:p>
      <w:pPr>
        <w:pStyle w:val="74"/>
        <w:spacing w:line="500" w:lineRule="exact"/>
        <w:ind w:firstLine="560"/>
        <w:rPr>
          <w:rFonts w:ascii="Times New Roman" w:hAnsi="Times New Roman" w:eastAsiaTheme="minorEastAsia"/>
          <w:color w:val="000000" w:themeColor="text1"/>
          <w:szCs w:val="28"/>
        </w:rPr>
      </w:pPr>
      <w:r>
        <w:rPr>
          <w:rFonts w:ascii="Times New Roman" w:hAnsi="Times New Roman" w:eastAsiaTheme="minorEastAsia"/>
          <w:color w:val="000000" w:themeColor="text1"/>
          <w:szCs w:val="28"/>
        </w:rPr>
        <w:t>5</w:t>
      </w:r>
      <w:r>
        <w:rPr>
          <w:rFonts w:hint="eastAsia" w:ascii="Times New Roman" w:hAnsi="Times New Roman" w:eastAsiaTheme="minorEastAsia"/>
          <w:color w:val="000000" w:themeColor="text1"/>
          <w:szCs w:val="28"/>
        </w:rPr>
        <w:t>.企业应依法给从业人员购买工伤保险，</w:t>
      </w:r>
      <w:r>
        <w:rPr>
          <w:rFonts w:ascii="Times New Roman" w:hAnsi="Times New Roman" w:eastAsiaTheme="minorEastAsia"/>
          <w:color w:val="000000" w:themeColor="text1"/>
          <w:szCs w:val="28"/>
        </w:rPr>
        <w:t>建议配备注册安全工程师从事安全管理工作。</w:t>
      </w:r>
    </w:p>
    <w:p>
      <w:pPr>
        <w:pStyle w:val="74"/>
        <w:spacing w:line="500" w:lineRule="exact"/>
        <w:ind w:firstLine="560"/>
        <w:rPr>
          <w:rFonts w:ascii="Times New Roman" w:hAnsi="Times New Roman" w:eastAsiaTheme="minorEastAsia"/>
          <w:color w:val="000000" w:themeColor="text1"/>
          <w:szCs w:val="28"/>
        </w:rPr>
      </w:pPr>
      <w:r>
        <w:rPr>
          <w:rFonts w:ascii="Times New Roman" w:hAnsi="Times New Roman" w:eastAsiaTheme="minorEastAsia"/>
          <w:color w:val="000000" w:themeColor="text1"/>
          <w:szCs w:val="28"/>
        </w:rPr>
        <w:t>6</w:t>
      </w:r>
      <w:r>
        <w:rPr>
          <w:rFonts w:hint="eastAsia" w:ascii="Times New Roman" w:hAnsi="Times New Roman" w:eastAsiaTheme="minorEastAsia"/>
          <w:color w:val="000000" w:themeColor="text1"/>
          <w:szCs w:val="28"/>
        </w:rPr>
        <w:t>.</w:t>
      </w:r>
      <w:r>
        <w:rPr>
          <w:rFonts w:ascii="Times New Roman" w:hAnsi="Times New Roman" w:eastAsiaTheme="minorEastAsia"/>
          <w:color w:val="000000" w:themeColor="text1"/>
          <w:szCs w:val="28"/>
        </w:rPr>
        <w:t>完善甲醇装、卸区停车用车挡，以防由于溜车而引发安全事故。</w:t>
      </w:r>
    </w:p>
    <w:p>
      <w:pPr>
        <w:tabs>
          <w:tab w:val="left" w:pos="180"/>
        </w:tabs>
        <w:spacing w:line="500" w:lineRule="exact"/>
        <w:ind w:firstLine="560" w:firstLineChars="200"/>
        <w:rPr>
          <w:rFonts w:eastAsiaTheme="minorEastAsia"/>
          <w:color w:val="000000" w:themeColor="text1"/>
          <w:sz w:val="28"/>
          <w:szCs w:val="28"/>
        </w:rPr>
      </w:pPr>
      <w:r>
        <w:rPr>
          <w:rFonts w:eastAsiaTheme="minorEastAsia"/>
          <w:color w:val="000000" w:themeColor="text1"/>
          <w:sz w:val="28"/>
          <w:szCs w:val="28"/>
        </w:rPr>
        <w:t>7</w:t>
      </w:r>
      <w:r>
        <w:rPr>
          <w:rFonts w:hint="eastAsia" w:eastAsiaTheme="minorEastAsia"/>
          <w:color w:val="000000" w:themeColor="text1"/>
          <w:sz w:val="28"/>
          <w:szCs w:val="28"/>
        </w:rPr>
        <w:t>.</w:t>
      </w:r>
      <w:r>
        <w:rPr>
          <w:rFonts w:eastAsiaTheme="minorEastAsia"/>
          <w:bCs/>
          <w:color w:val="000000" w:themeColor="text1"/>
          <w:sz w:val="28"/>
          <w:szCs w:val="28"/>
        </w:rPr>
        <w:t>应建立健全安全培训工作制度，加强项目作业人员的安全教育培训，应对甲醇的理化特性及其安全知识和消防、应急能力等方面进行培训，并定期进行考核</w:t>
      </w:r>
      <w:r>
        <w:rPr>
          <w:rFonts w:eastAsiaTheme="minorEastAsia"/>
          <w:color w:val="000000" w:themeColor="text1"/>
          <w:sz w:val="28"/>
          <w:szCs w:val="28"/>
        </w:rPr>
        <w:t>。</w:t>
      </w:r>
    </w:p>
    <w:p>
      <w:pPr>
        <w:spacing w:line="500" w:lineRule="exact"/>
        <w:ind w:firstLine="560" w:firstLineChars="200"/>
        <w:rPr>
          <w:rFonts w:eastAsiaTheme="minorEastAsia"/>
          <w:color w:val="000000" w:themeColor="text1"/>
          <w:sz w:val="28"/>
          <w:szCs w:val="28"/>
        </w:rPr>
      </w:pPr>
      <w:r>
        <w:rPr>
          <w:rFonts w:eastAsiaTheme="minorEastAsia"/>
          <w:color w:val="000000" w:themeColor="text1"/>
          <w:sz w:val="28"/>
          <w:szCs w:val="28"/>
        </w:rPr>
        <w:t>8</w:t>
      </w:r>
      <w:r>
        <w:rPr>
          <w:rFonts w:hint="eastAsia" w:eastAsiaTheme="minorEastAsia"/>
          <w:color w:val="000000" w:themeColor="text1"/>
          <w:sz w:val="28"/>
          <w:szCs w:val="28"/>
        </w:rPr>
        <w:t>.</w:t>
      </w:r>
      <w:r>
        <w:rPr>
          <w:rFonts w:eastAsiaTheme="minorEastAsia"/>
          <w:color w:val="000000" w:themeColor="text1"/>
          <w:sz w:val="28"/>
          <w:szCs w:val="28"/>
        </w:rPr>
        <w:t>根据《云南省安全生产条例》（云南省第十二届人民代表大会常务委员会63号公告）的要求，企业应</w:t>
      </w:r>
      <w:r>
        <w:rPr>
          <w:bCs/>
          <w:color w:val="000000" w:themeColor="text1"/>
          <w:sz w:val="28"/>
          <w:szCs w:val="28"/>
        </w:rPr>
        <w:t>补充完善甲醇储存及装卸场所安全管理制度、危险作业及劳动防护用品管理制度、安全风险分级管控制度等</w:t>
      </w:r>
      <w:r>
        <w:rPr>
          <w:rFonts w:eastAsiaTheme="minorEastAsia"/>
          <w:color w:val="000000" w:themeColor="text1"/>
          <w:sz w:val="28"/>
          <w:szCs w:val="28"/>
        </w:rPr>
        <w:t>。</w:t>
      </w:r>
    </w:p>
    <w:p>
      <w:pPr>
        <w:pStyle w:val="25"/>
        <w:spacing w:line="500" w:lineRule="exact"/>
        <w:ind w:firstLine="560" w:firstLineChars="200"/>
        <w:jc w:val="both"/>
        <w:rPr>
          <w:rFonts w:eastAsiaTheme="minorEastAsia"/>
          <w:color w:val="000000" w:themeColor="text1"/>
          <w:sz w:val="28"/>
          <w:szCs w:val="28"/>
        </w:rPr>
      </w:pPr>
      <w:r>
        <w:rPr>
          <w:rFonts w:eastAsiaTheme="minorEastAsia"/>
          <w:color w:val="000000" w:themeColor="text1"/>
          <w:sz w:val="28"/>
          <w:szCs w:val="28"/>
        </w:rPr>
        <w:t>9</w:t>
      </w:r>
      <w:r>
        <w:rPr>
          <w:rFonts w:hint="eastAsia" w:eastAsiaTheme="minorEastAsia"/>
          <w:color w:val="000000" w:themeColor="text1"/>
          <w:sz w:val="28"/>
          <w:szCs w:val="28"/>
        </w:rPr>
        <w:t>.</w:t>
      </w:r>
      <w:r>
        <w:rPr>
          <w:rFonts w:eastAsiaTheme="minorEastAsia"/>
          <w:color w:val="000000" w:themeColor="text1"/>
          <w:sz w:val="28"/>
          <w:szCs w:val="28"/>
        </w:rPr>
        <w:t>企业应根据《中华人民共和国安全生产法》（中华人民共和国主席令第八十八号）的要求建立健全全员安全生产责任制，构建安全风险分级管控及隐患排查治理机制，加强安全生产标准化的建设。</w:t>
      </w:r>
    </w:p>
    <w:p>
      <w:pPr>
        <w:pStyle w:val="25"/>
        <w:spacing w:line="500" w:lineRule="exact"/>
        <w:ind w:firstLine="560" w:firstLineChars="200"/>
        <w:jc w:val="both"/>
        <w:rPr>
          <w:color w:val="000000" w:themeColor="text1"/>
          <w:sz w:val="28"/>
          <w:szCs w:val="28"/>
        </w:rPr>
      </w:pPr>
      <w:r>
        <w:rPr>
          <w:rFonts w:eastAsiaTheme="minorEastAsia"/>
          <w:color w:val="000000" w:themeColor="text1"/>
          <w:sz w:val="28"/>
          <w:szCs w:val="28"/>
        </w:rPr>
        <w:t>10</w:t>
      </w:r>
      <w:r>
        <w:rPr>
          <w:rFonts w:hint="eastAsia" w:eastAsiaTheme="minorEastAsia"/>
          <w:color w:val="000000" w:themeColor="text1"/>
          <w:sz w:val="28"/>
          <w:szCs w:val="28"/>
        </w:rPr>
        <w:t>.</w:t>
      </w:r>
      <w:r>
        <w:rPr>
          <w:color w:val="000000" w:themeColor="text1"/>
          <w:sz w:val="28"/>
          <w:szCs w:val="28"/>
        </w:rPr>
        <w:t>企业应根据</w:t>
      </w:r>
      <w:r>
        <w:rPr>
          <w:color w:val="000000" w:themeColor="text1"/>
          <w:sz w:val="28"/>
          <w:szCs w:val="28"/>
          <w:shd w:val="clear" w:color="auto" w:fill="FFFFFF"/>
        </w:rPr>
        <w:t>《危险化学品经营许可证管理办法》（国家安全生产监督管理总局令第55号）的要求，企业主要负责人和安全生产管理人员具备与本企业危险化学品经营活动相适应的安全生产知识和管理能力，</w:t>
      </w:r>
      <w:r>
        <w:rPr>
          <w:color w:val="000000" w:themeColor="text1"/>
          <w:sz w:val="28"/>
          <w:szCs w:val="28"/>
        </w:rPr>
        <w:t>专职安全生产管理人员具备国民教育化工化学类或者安全工程类中等职业教育以上学历，或者化工化学类中级以上专业技术职称。</w:t>
      </w:r>
    </w:p>
    <w:p>
      <w:pPr>
        <w:pStyle w:val="74"/>
        <w:spacing w:line="500" w:lineRule="exact"/>
        <w:ind w:firstLine="560"/>
        <w:rPr>
          <w:rFonts w:ascii="Times New Roman" w:hAnsi="Times New Roman"/>
          <w:color w:val="000000" w:themeColor="text1"/>
          <w:szCs w:val="28"/>
        </w:rPr>
      </w:pPr>
      <w:r>
        <w:rPr>
          <w:rFonts w:ascii="Times New Roman" w:hAnsi="Times New Roman"/>
          <w:color w:val="000000" w:themeColor="text1"/>
          <w:szCs w:val="28"/>
        </w:rPr>
        <w:t>11</w:t>
      </w:r>
      <w:r>
        <w:rPr>
          <w:rFonts w:hint="eastAsia" w:ascii="Times New Roman" w:hAnsi="Times New Roman"/>
          <w:color w:val="000000" w:themeColor="text1"/>
          <w:szCs w:val="28"/>
        </w:rPr>
        <w:t>.</w:t>
      </w:r>
      <w:r>
        <w:rPr>
          <w:rFonts w:ascii="Times New Roman" w:hAnsi="Times New Roman"/>
          <w:color w:val="000000" w:themeColor="text1"/>
          <w:szCs w:val="28"/>
        </w:rPr>
        <w:t>严格执行特殊作业安全管理制度，需进行</w:t>
      </w:r>
      <w:r>
        <w:rPr>
          <w:rFonts w:ascii="Times New Roman" w:hAnsi="Times New Roman" w:eastAsiaTheme="minorEastAsia"/>
          <w:color w:val="000000" w:themeColor="text1"/>
          <w:szCs w:val="28"/>
        </w:rPr>
        <w:t>检、维修作业时，特别是在甲醇罐区、装卸区进行动火作业等时，应加强现场作业安全，在作业现场设置安全警戒线、警示标识、灭火器以及应急救援物资等，根据</w:t>
      </w:r>
      <w:r>
        <w:rPr>
          <w:rFonts w:hint="eastAsia" w:ascii="Times New Roman" w:hAnsi="Times New Roman" w:eastAsiaTheme="minorEastAsia"/>
          <w:color w:val="000000" w:themeColor="text1"/>
          <w:szCs w:val="28"/>
          <w:lang w:val="en-US" w:eastAsia="zh-CN"/>
        </w:rPr>
        <w:t>规范</w:t>
      </w:r>
      <w:r>
        <w:rPr>
          <w:rFonts w:ascii="Times New Roman" w:hAnsi="Times New Roman" w:eastAsiaTheme="minorEastAsia"/>
          <w:color w:val="000000" w:themeColor="text1"/>
          <w:szCs w:val="28"/>
        </w:rPr>
        <w:t>的要求严格执行审批手续，同时采取一定的安全防范措施，加强特殊作业过程的安全管理。</w:t>
      </w:r>
    </w:p>
    <w:p>
      <w:pPr>
        <w:pStyle w:val="74"/>
        <w:spacing w:line="500" w:lineRule="exact"/>
        <w:ind w:firstLine="560"/>
        <w:rPr>
          <w:rFonts w:ascii="Times New Roman" w:hAnsi="Times New Roman"/>
          <w:color w:val="000000" w:themeColor="text1"/>
          <w:szCs w:val="28"/>
        </w:rPr>
      </w:pPr>
      <w:r>
        <w:rPr>
          <w:rFonts w:ascii="Times New Roman" w:hAnsi="Times New Roman"/>
          <w:color w:val="000000" w:themeColor="text1"/>
        </w:rPr>
        <w:t>12</w:t>
      </w:r>
      <w:r>
        <w:rPr>
          <w:rFonts w:hint="eastAsia" w:ascii="Times New Roman" w:hAnsi="Times New Roman"/>
          <w:color w:val="000000" w:themeColor="text1"/>
        </w:rPr>
        <w:t>.</w:t>
      </w:r>
      <w:r>
        <w:rPr>
          <w:rFonts w:ascii="Times New Roman" w:hAnsi="Times New Roman"/>
          <w:color w:val="000000" w:themeColor="text1"/>
        </w:rPr>
        <w:t>严格执行各项规章制度及操作规程，</w:t>
      </w:r>
      <w:r>
        <w:rPr>
          <w:rFonts w:ascii="Times New Roman" w:hAnsi="Times New Roman"/>
          <w:color w:val="000000" w:themeColor="text1"/>
          <w:szCs w:val="28"/>
        </w:rPr>
        <w:t>将各项制度发放到人员，规范作业人员的安全行为，消除侥幸心理。</w:t>
      </w:r>
    </w:p>
    <w:p>
      <w:pPr>
        <w:pStyle w:val="74"/>
        <w:spacing w:line="500" w:lineRule="exact"/>
        <w:ind w:firstLine="560"/>
        <w:rPr>
          <w:rFonts w:ascii="Times New Roman" w:hAnsi="Times New Roman" w:eastAsiaTheme="minorEastAsia"/>
          <w:color w:val="000000" w:themeColor="text1"/>
          <w:szCs w:val="28"/>
        </w:rPr>
      </w:pPr>
      <w:r>
        <w:rPr>
          <w:rFonts w:ascii="Times New Roman" w:hAnsi="Times New Roman" w:eastAsiaTheme="minorEastAsia"/>
          <w:color w:val="000000" w:themeColor="text1"/>
          <w:szCs w:val="28"/>
        </w:rPr>
        <w:t>13</w:t>
      </w:r>
      <w:r>
        <w:rPr>
          <w:rFonts w:hint="eastAsia" w:ascii="Times New Roman" w:hAnsi="Times New Roman" w:eastAsiaTheme="minorEastAsia"/>
          <w:color w:val="000000" w:themeColor="text1"/>
          <w:szCs w:val="28"/>
        </w:rPr>
        <w:t>.</w:t>
      </w:r>
      <w:r>
        <w:rPr>
          <w:rFonts w:ascii="Times New Roman" w:hAnsi="Times New Roman"/>
          <w:color w:val="000000" w:themeColor="text1"/>
          <w:szCs w:val="28"/>
        </w:rPr>
        <w:t>加强公司办公室等处人员用火管理，严禁违</w:t>
      </w:r>
      <w:r>
        <w:rPr>
          <w:rFonts w:ascii="Times New Roman" w:hAnsi="Times New Roman" w:eastAsiaTheme="minorEastAsia"/>
          <w:color w:val="000000" w:themeColor="text1"/>
          <w:szCs w:val="28"/>
        </w:rPr>
        <w:t>章用火。日常运行中应加强甲醇罐区、装卸区防泄漏及周边相邻区域的防火、防爆等管理工作。</w:t>
      </w:r>
    </w:p>
    <w:p>
      <w:pPr>
        <w:pStyle w:val="74"/>
        <w:spacing w:line="500" w:lineRule="exact"/>
        <w:ind w:firstLine="560"/>
        <w:rPr>
          <w:rFonts w:ascii="Times New Roman" w:hAnsi="Times New Roman" w:eastAsiaTheme="minorEastAsia"/>
          <w:color w:val="000000" w:themeColor="text1"/>
          <w:szCs w:val="28"/>
        </w:rPr>
      </w:pPr>
      <w:r>
        <w:rPr>
          <w:rFonts w:ascii="Times New Roman" w:hAnsi="Times New Roman" w:eastAsiaTheme="minorEastAsia"/>
          <w:color w:val="000000" w:themeColor="text1"/>
          <w:szCs w:val="28"/>
        </w:rPr>
        <w:t>14</w:t>
      </w:r>
      <w:r>
        <w:rPr>
          <w:rFonts w:hint="eastAsia" w:ascii="Times New Roman" w:hAnsi="Times New Roman" w:eastAsiaTheme="minorEastAsia"/>
          <w:color w:val="000000" w:themeColor="text1"/>
          <w:szCs w:val="28"/>
        </w:rPr>
        <w:t>.</w:t>
      </w:r>
      <w:r>
        <w:rPr>
          <w:rFonts w:ascii="Times New Roman" w:hAnsi="Times New Roman" w:eastAsiaTheme="minorEastAsia"/>
          <w:color w:val="000000" w:themeColor="text1"/>
          <w:szCs w:val="28"/>
        </w:rPr>
        <w:t>处于爆炸危险区域内的电气设备应采取防爆型，加强甲醇经营储存系统电气设备的日常管理，定期检查并及时更换老化、受损的电气线路、设备。</w:t>
      </w:r>
    </w:p>
    <w:p>
      <w:pPr>
        <w:pStyle w:val="74"/>
        <w:spacing w:line="500" w:lineRule="exact"/>
        <w:ind w:firstLine="560"/>
        <w:rPr>
          <w:rFonts w:ascii="Times New Roman" w:hAnsi="Times New Roman" w:eastAsiaTheme="minorEastAsia"/>
          <w:snapToGrid w:val="0"/>
          <w:color w:val="000000" w:themeColor="text1"/>
          <w:kern w:val="0"/>
          <w:szCs w:val="28"/>
        </w:rPr>
      </w:pPr>
      <w:r>
        <w:rPr>
          <w:rFonts w:ascii="Times New Roman" w:hAnsi="Times New Roman" w:eastAsiaTheme="minorEastAsia"/>
          <w:color w:val="000000" w:themeColor="text1"/>
          <w:szCs w:val="28"/>
        </w:rPr>
        <w:t>15</w:t>
      </w:r>
      <w:r>
        <w:rPr>
          <w:rFonts w:hint="eastAsia" w:ascii="Times New Roman" w:hAnsi="Times New Roman" w:eastAsiaTheme="minorEastAsia"/>
          <w:color w:val="000000" w:themeColor="text1"/>
          <w:szCs w:val="28"/>
        </w:rPr>
        <w:t>.</w:t>
      </w:r>
      <w:r>
        <w:rPr>
          <w:rFonts w:ascii="Times New Roman" w:hAnsi="Times New Roman" w:eastAsiaTheme="minorEastAsia"/>
          <w:color w:val="000000" w:themeColor="text1"/>
          <w:szCs w:val="28"/>
        </w:rPr>
        <w:t>严禁在甲醇罐区、装卸区现场吸烟、携带火</w:t>
      </w:r>
      <w:r>
        <w:rPr>
          <w:rFonts w:ascii="Times New Roman" w:hAnsi="Times New Roman"/>
          <w:color w:val="000000" w:themeColor="text1"/>
          <w:szCs w:val="28"/>
        </w:rPr>
        <w:t>种，作业人员应佩戴相应的劳动防护用品，严禁穿带钉皮鞋和易产生静电的衣物，操作过程不得使用能产生火花的工具</w:t>
      </w:r>
      <w:r>
        <w:rPr>
          <w:rFonts w:ascii="Times New Roman" w:hAnsi="Times New Roman" w:eastAsiaTheme="minorEastAsia"/>
          <w:snapToGrid w:val="0"/>
          <w:color w:val="000000" w:themeColor="text1"/>
          <w:kern w:val="0"/>
          <w:szCs w:val="28"/>
        </w:rPr>
        <w:t>。</w:t>
      </w:r>
    </w:p>
    <w:p>
      <w:pPr>
        <w:pStyle w:val="74"/>
        <w:spacing w:line="500" w:lineRule="exact"/>
        <w:ind w:firstLine="560"/>
        <w:rPr>
          <w:rFonts w:ascii="Times New Roman" w:hAnsi="Times New Roman" w:eastAsiaTheme="minorEastAsia"/>
          <w:snapToGrid w:val="0"/>
          <w:color w:val="000000" w:themeColor="text1"/>
          <w:kern w:val="0"/>
          <w:szCs w:val="28"/>
        </w:rPr>
      </w:pPr>
      <w:r>
        <w:rPr>
          <w:rFonts w:ascii="Times New Roman" w:hAnsi="Times New Roman" w:eastAsiaTheme="minorEastAsia"/>
          <w:snapToGrid w:val="0"/>
          <w:color w:val="000000" w:themeColor="text1"/>
          <w:kern w:val="0"/>
          <w:szCs w:val="28"/>
        </w:rPr>
        <w:t>16</w:t>
      </w:r>
      <w:r>
        <w:rPr>
          <w:rFonts w:hint="eastAsia" w:ascii="Times New Roman" w:hAnsi="Times New Roman" w:eastAsiaTheme="minorEastAsia"/>
          <w:snapToGrid w:val="0"/>
          <w:color w:val="000000" w:themeColor="text1"/>
          <w:kern w:val="0"/>
          <w:szCs w:val="28"/>
        </w:rPr>
        <w:t>.</w:t>
      </w:r>
      <w:r>
        <w:rPr>
          <w:rFonts w:ascii="Times New Roman" w:hAnsi="Times New Roman" w:eastAsiaTheme="minorEastAsia"/>
          <w:snapToGrid w:val="0"/>
          <w:color w:val="000000" w:themeColor="text1"/>
          <w:kern w:val="0"/>
          <w:szCs w:val="28"/>
        </w:rPr>
        <w:t>建议在配备绝缘手套、绝缘鞋、绝缘杆等防触电设施，并定期维护保养。</w:t>
      </w:r>
    </w:p>
    <w:p>
      <w:pPr>
        <w:pStyle w:val="74"/>
        <w:spacing w:line="500" w:lineRule="exact"/>
        <w:ind w:firstLine="560"/>
        <w:rPr>
          <w:rFonts w:ascii="Times New Roman" w:hAnsi="Times New Roman" w:eastAsiaTheme="minorEastAsia"/>
          <w:snapToGrid w:val="0"/>
          <w:color w:val="000000" w:themeColor="text1"/>
          <w:kern w:val="0"/>
          <w:szCs w:val="28"/>
        </w:rPr>
      </w:pPr>
      <w:r>
        <w:rPr>
          <w:rFonts w:ascii="Times New Roman" w:hAnsi="Times New Roman" w:eastAsiaTheme="minorEastAsia"/>
          <w:snapToGrid w:val="0"/>
          <w:color w:val="000000" w:themeColor="text1"/>
          <w:kern w:val="0"/>
          <w:szCs w:val="28"/>
        </w:rPr>
        <w:t>17</w:t>
      </w:r>
      <w:r>
        <w:rPr>
          <w:rFonts w:hint="eastAsia" w:ascii="Times New Roman" w:hAnsi="Times New Roman" w:eastAsiaTheme="minorEastAsia"/>
          <w:snapToGrid w:val="0"/>
          <w:color w:val="000000" w:themeColor="text1"/>
          <w:kern w:val="0"/>
          <w:szCs w:val="28"/>
        </w:rPr>
        <w:t>.</w:t>
      </w:r>
      <w:r>
        <w:rPr>
          <w:rFonts w:ascii="Times New Roman" w:hAnsi="Times New Roman" w:eastAsiaTheme="minorEastAsia"/>
          <w:snapToGrid w:val="0"/>
          <w:color w:val="000000" w:themeColor="text1"/>
          <w:kern w:val="0"/>
          <w:szCs w:val="28"/>
        </w:rPr>
        <w:t>应保持甲醇经营储存系统各场所整洁，日常运营中严禁占用各区通道，保持各安全出入口通畅。</w:t>
      </w:r>
    </w:p>
    <w:p>
      <w:pPr>
        <w:pStyle w:val="74"/>
        <w:spacing w:line="500" w:lineRule="exact"/>
        <w:ind w:firstLine="560"/>
        <w:rPr>
          <w:rFonts w:ascii="Times New Roman" w:hAnsi="Times New Roman" w:eastAsiaTheme="minorEastAsia"/>
          <w:snapToGrid w:val="0"/>
          <w:color w:val="000000" w:themeColor="text1"/>
          <w:kern w:val="0"/>
          <w:szCs w:val="28"/>
        </w:rPr>
      </w:pPr>
      <w:r>
        <w:rPr>
          <w:rFonts w:ascii="Times New Roman" w:hAnsi="Times New Roman" w:eastAsiaTheme="minorEastAsia"/>
          <w:color w:val="000000" w:themeColor="text1"/>
          <w:szCs w:val="28"/>
        </w:rPr>
        <w:t>18</w:t>
      </w:r>
      <w:r>
        <w:rPr>
          <w:rFonts w:hint="eastAsia" w:ascii="Times New Roman" w:hAnsi="Times New Roman" w:eastAsiaTheme="minorEastAsia"/>
          <w:color w:val="000000" w:themeColor="text1"/>
          <w:szCs w:val="28"/>
        </w:rPr>
        <w:t>.</w:t>
      </w:r>
      <w:r>
        <w:rPr>
          <w:rFonts w:ascii="Times New Roman" w:hAnsi="Times New Roman" w:eastAsiaTheme="minorEastAsia"/>
          <w:color w:val="000000" w:themeColor="text1"/>
          <w:szCs w:val="28"/>
        </w:rPr>
        <w:t>甲醇经营储存系统涉及的劳动防护用品的更换选择应执行《</w:t>
      </w:r>
      <w:r>
        <w:rPr>
          <w:rFonts w:ascii="Times New Roman" w:hAnsi="Times New Roman" w:eastAsiaTheme="minorEastAsia"/>
          <w:color w:val="000000" w:themeColor="text1"/>
        </w:rPr>
        <w:t>国家安全监管总局办公厅关于修改用人单位劳动防护用品管理规范的通知</w:t>
      </w:r>
      <w:r>
        <w:rPr>
          <w:rFonts w:ascii="Times New Roman" w:hAnsi="Times New Roman" w:eastAsiaTheme="minorEastAsia"/>
          <w:color w:val="000000" w:themeColor="text1"/>
          <w:szCs w:val="28"/>
        </w:rPr>
        <w:t>》（</w:t>
      </w:r>
      <w:r>
        <w:rPr>
          <w:rFonts w:ascii="Times New Roman" w:hAnsi="Times New Roman" w:eastAsiaTheme="minorEastAsia"/>
          <w:color w:val="000000" w:themeColor="text1"/>
        </w:rPr>
        <w:t>安监总厅安健〔2018〕3号</w:t>
      </w:r>
      <w:r>
        <w:rPr>
          <w:rFonts w:ascii="Times New Roman" w:hAnsi="Times New Roman" w:eastAsiaTheme="minorEastAsia"/>
          <w:color w:val="000000" w:themeColor="text1"/>
          <w:szCs w:val="28"/>
        </w:rPr>
        <w:t>）的要求。</w:t>
      </w:r>
    </w:p>
    <w:p>
      <w:pPr>
        <w:pStyle w:val="74"/>
        <w:spacing w:line="500" w:lineRule="exact"/>
        <w:ind w:firstLine="560"/>
        <w:rPr>
          <w:rFonts w:ascii="Times New Roman" w:hAnsi="Times New Roman"/>
          <w:color w:val="000000" w:themeColor="text1"/>
          <w:szCs w:val="28"/>
        </w:rPr>
      </w:pPr>
      <w:r>
        <w:rPr>
          <w:rFonts w:ascii="Times New Roman" w:hAnsi="Times New Roman" w:eastAsiaTheme="minorEastAsia"/>
          <w:color w:val="000000" w:themeColor="text1"/>
          <w:szCs w:val="28"/>
        </w:rPr>
        <w:t>19</w:t>
      </w:r>
      <w:r>
        <w:rPr>
          <w:rFonts w:hint="eastAsia" w:ascii="Times New Roman" w:hAnsi="Times New Roman" w:eastAsiaTheme="minorEastAsia"/>
          <w:color w:val="000000" w:themeColor="text1"/>
          <w:szCs w:val="28"/>
        </w:rPr>
        <w:t>.</w:t>
      </w:r>
      <w:r>
        <w:rPr>
          <w:rFonts w:ascii="Times New Roman" w:hAnsi="Times New Roman"/>
          <w:color w:val="000000" w:themeColor="text1"/>
          <w:szCs w:val="28"/>
        </w:rPr>
        <w:t>在事故应急管理方面应采取以下安全管理措施：</w:t>
      </w:r>
    </w:p>
    <w:p>
      <w:pPr>
        <w:spacing w:line="500" w:lineRule="exact"/>
        <w:ind w:firstLine="560" w:firstLineChars="200"/>
        <w:rPr>
          <w:rFonts w:eastAsiaTheme="minorEastAsia"/>
          <w:color w:val="000000" w:themeColor="text1"/>
          <w:sz w:val="28"/>
          <w:szCs w:val="28"/>
        </w:rPr>
      </w:pPr>
      <w:r>
        <w:rPr>
          <w:rFonts w:hint="eastAsia"/>
          <w:color w:val="000000" w:themeColor="text1"/>
          <w:sz w:val="28"/>
          <w:szCs w:val="28"/>
        </w:rPr>
        <w:t>（1）</w:t>
      </w:r>
      <w:r>
        <w:rPr>
          <w:color w:val="000000" w:themeColor="text1"/>
          <w:sz w:val="28"/>
          <w:szCs w:val="28"/>
        </w:rPr>
        <w:t>企业</w:t>
      </w:r>
      <w:r>
        <w:rPr>
          <w:rFonts w:eastAsiaTheme="minorEastAsia"/>
          <w:color w:val="000000" w:themeColor="text1"/>
          <w:sz w:val="28"/>
          <w:szCs w:val="28"/>
        </w:rPr>
        <w:t>应按照《生产经营单位生产安全事故应急预案编制导则》（GB/T 29639-2020）的要求预案进行修订。</w:t>
      </w:r>
    </w:p>
    <w:p>
      <w:pPr>
        <w:spacing w:line="500" w:lineRule="exact"/>
        <w:ind w:firstLine="560" w:firstLineChars="200"/>
        <w:rPr>
          <w:color w:val="000000" w:themeColor="text1"/>
          <w:sz w:val="28"/>
          <w:szCs w:val="28"/>
        </w:rPr>
      </w:pPr>
      <w:r>
        <w:rPr>
          <w:rFonts w:hint="eastAsia"/>
          <w:color w:val="000000" w:themeColor="text1"/>
          <w:sz w:val="28"/>
          <w:szCs w:val="28"/>
        </w:rPr>
        <w:t>（2）</w:t>
      </w:r>
      <w:r>
        <w:rPr>
          <w:rFonts w:eastAsiaTheme="minorEastAsia"/>
          <w:color w:val="000000" w:themeColor="text1"/>
          <w:sz w:val="28"/>
          <w:szCs w:val="28"/>
        </w:rPr>
        <w:t>定期进行事故应急预案演练、评估工作，并进行记录。</w:t>
      </w:r>
    </w:p>
    <w:p>
      <w:pPr>
        <w:spacing w:line="500" w:lineRule="exact"/>
        <w:ind w:firstLine="560" w:firstLineChars="200"/>
        <w:rPr>
          <w:rFonts w:eastAsiaTheme="minorEastAsia"/>
          <w:color w:val="000000" w:themeColor="text1"/>
          <w:kern w:val="3"/>
          <w:sz w:val="28"/>
        </w:rPr>
      </w:pPr>
      <w:r>
        <w:rPr>
          <w:rFonts w:hint="eastAsia"/>
          <w:color w:val="000000" w:themeColor="text1"/>
          <w:sz w:val="28"/>
          <w:szCs w:val="28"/>
        </w:rPr>
        <w:t>（3）</w:t>
      </w:r>
      <w:r>
        <w:rPr>
          <w:rFonts w:eastAsiaTheme="minorEastAsia"/>
          <w:color w:val="000000" w:themeColor="text1"/>
          <w:kern w:val="0"/>
          <w:sz w:val="28"/>
          <w:szCs w:val="28"/>
        </w:rPr>
        <w:t>公司内应急救援人员应经培训合格后参加应急救援工作，以</w:t>
      </w:r>
      <w:r>
        <w:rPr>
          <w:color w:val="000000" w:themeColor="text1"/>
          <w:sz w:val="28"/>
          <w:szCs w:val="28"/>
        </w:rPr>
        <w:t>进一步提高公司应急救援能力。</w:t>
      </w:r>
    </w:p>
    <w:p>
      <w:pPr>
        <w:spacing w:line="500" w:lineRule="exact"/>
        <w:ind w:firstLine="560" w:firstLineChars="200"/>
        <w:rPr>
          <w:color w:val="000000" w:themeColor="text1"/>
          <w:sz w:val="28"/>
          <w:szCs w:val="28"/>
        </w:rPr>
      </w:pPr>
      <w:r>
        <w:rPr>
          <w:rFonts w:hint="eastAsia"/>
          <w:color w:val="000000" w:themeColor="text1"/>
          <w:sz w:val="28"/>
          <w:szCs w:val="28"/>
        </w:rPr>
        <w:t>（4）</w:t>
      </w:r>
      <w:r>
        <w:rPr>
          <w:color w:val="000000" w:themeColor="text1"/>
          <w:sz w:val="28"/>
          <w:szCs w:val="28"/>
        </w:rPr>
        <w:t>应对从业人员进行应急教育和培训，保证从业人员具备必要的应急知识，掌握风险防范技能和事故应急措施。</w:t>
      </w:r>
    </w:p>
    <w:p>
      <w:pPr>
        <w:spacing w:line="500" w:lineRule="exact"/>
        <w:ind w:firstLine="560" w:firstLineChars="200"/>
        <w:rPr>
          <w:color w:val="000000" w:themeColor="text1"/>
          <w:sz w:val="28"/>
          <w:szCs w:val="28"/>
        </w:rPr>
      </w:pPr>
      <w:r>
        <w:rPr>
          <w:rFonts w:hint="eastAsia"/>
          <w:color w:val="000000" w:themeColor="text1"/>
          <w:sz w:val="28"/>
          <w:szCs w:val="28"/>
        </w:rPr>
        <w:t>（5）</w:t>
      </w:r>
      <w:r>
        <w:rPr>
          <w:color w:val="000000" w:themeColor="text1"/>
          <w:sz w:val="28"/>
          <w:szCs w:val="28"/>
        </w:rPr>
        <w:t>根据《生产安全事故应急条例》（中华人民共和国国务院令 第708号）的要求，应建立应急值班制度，成立应急处置技术组，配备应急值班人员，实行24小时应急值班。</w:t>
      </w:r>
    </w:p>
    <w:p>
      <w:pPr>
        <w:spacing w:line="500" w:lineRule="exact"/>
        <w:ind w:firstLine="560" w:firstLineChars="200"/>
        <w:rPr>
          <w:color w:val="000000" w:themeColor="text1"/>
          <w:sz w:val="28"/>
          <w:szCs w:val="28"/>
        </w:rPr>
      </w:pPr>
      <w:r>
        <w:rPr>
          <w:rFonts w:hint="eastAsia"/>
          <w:color w:val="000000" w:themeColor="text1"/>
          <w:sz w:val="28"/>
          <w:szCs w:val="28"/>
        </w:rPr>
        <w:t>（6）</w:t>
      </w:r>
      <w:r>
        <w:rPr>
          <w:color w:val="000000" w:themeColor="text1"/>
          <w:sz w:val="28"/>
          <w:szCs w:val="28"/>
        </w:rPr>
        <w:t>补充甲醇经营储存系统应急物资，并设专柜，</w:t>
      </w:r>
      <w:r>
        <w:rPr>
          <w:rFonts w:eastAsiaTheme="minorEastAsia"/>
          <w:snapToGrid w:val="0"/>
          <w:color w:val="000000" w:themeColor="text1"/>
          <w:kern w:val="0"/>
          <w:sz w:val="28"/>
          <w:szCs w:val="28"/>
        </w:rPr>
        <w:t>置于应急条件下便于人员取用的地点，</w:t>
      </w:r>
      <w:r>
        <w:rPr>
          <w:color w:val="000000" w:themeColor="text1"/>
          <w:sz w:val="28"/>
          <w:szCs w:val="28"/>
        </w:rPr>
        <w:t>建立日常检查维护台账，保持各应急物资处于完好、有效状态。</w:t>
      </w:r>
    </w:p>
    <w:p>
      <w:pPr>
        <w:spacing w:line="500" w:lineRule="exact"/>
        <w:ind w:firstLine="560" w:firstLineChars="200"/>
        <w:rPr>
          <w:color w:val="000000" w:themeColor="text1"/>
          <w:kern w:val="3"/>
          <w:sz w:val="28"/>
        </w:rPr>
      </w:pPr>
      <w:r>
        <w:rPr>
          <w:color w:val="000000" w:themeColor="text1"/>
          <w:sz w:val="28"/>
          <w:szCs w:val="28"/>
        </w:rPr>
        <w:t>20</w:t>
      </w:r>
      <w:r>
        <w:rPr>
          <w:rFonts w:hint="eastAsia"/>
          <w:color w:val="000000" w:themeColor="text1"/>
          <w:sz w:val="28"/>
          <w:szCs w:val="28"/>
        </w:rPr>
        <w:t>.</w:t>
      </w:r>
      <w:r>
        <w:rPr>
          <w:color w:val="000000" w:themeColor="text1"/>
          <w:sz w:val="28"/>
          <w:szCs w:val="28"/>
        </w:rPr>
        <w:t>该公司在甲醇经营储存过程中应执行《</w:t>
      </w:r>
      <w:r>
        <w:rPr>
          <w:color w:val="000000" w:themeColor="text1"/>
          <w:kern w:val="3"/>
          <w:sz w:val="28"/>
        </w:rPr>
        <w:t>化工（危险化学品）企业保障生产安全十条规定</w:t>
      </w:r>
      <w:r>
        <w:rPr>
          <w:color w:val="000000" w:themeColor="text1"/>
          <w:sz w:val="28"/>
          <w:szCs w:val="28"/>
        </w:rPr>
        <w:t>》（安监总政法﹝2017﹞15号）中的以下要求：</w:t>
      </w:r>
    </w:p>
    <w:p>
      <w:pPr>
        <w:spacing w:line="500" w:lineRule="exact"/>
        <w:ind w:firstLine="560" w:firstLineChars="200"/>
        <w:rPr>
          <w:color w:val="000000" w:themeColor="text1"/>
          <w:kern w:val="3"/>
          <w:sz w:val="28"/>
        </w:rPr>
      </w:pPr>
      <w:r>
        <w:rPr>
          <w:rFonts w:hint="eastAsia"/>
          <w:color w:val="000000" w:themeColor="text1"/>
          <w:sz w:val="28"/>
          <w:szCs w:val="28"/>
        </w:rPr>
        <w:t>（1）</w:t>
      </w:r>
      <w:r>
        <w:rPr>
          <w:color w:val="000000" w:themeColor="text1"/>
          <w:kern w:val="3"/>
          <w:sz w:val="28"/>
        </w:rPr>
        <w:t>必须依法设立、证照齐全有效。</w:t>
      </w:r>
    </w:p>
    <w:p>
      <w:pPr>
        <w:spacing w:line="500" w:lineRule="exact"/>
        <w:ind w:firstLine="560" w:firstLineChars="200"/>
        <w:rPr>
          <w:color w:val="000000" w:themeColor="text1"/>
          <w:kern w:val="3"/>
          <w:sz w:val="28"/>
        </w:rPr>
      </w:pPr>
      <w:r>
        <w:rPr>
          <w:rFonts w:hint="eastAsia"/>
          <w:color w:val="000000" w:themeColor="text1"/>
          <w:sz w:val="28"/>
          <w:szCs w:val="28"/>
        </w:rPr>
        <w:t>（2）</w:t>
      </w:r>
      <w:r>
        <w:rPr>
          <w:color w:val="000000" w:themeColor="text1"/>
          <w:kern w:val="3"/>
          <w:sz w:val="28"/>
        </w:rPr>
        <w:t>必须建立健全并严格落实全员安全生产责任制。</w:t>
      </w:r>
    </w:p>
    <w:p>
      <w:pPr>
        <w:spacing w:line="500" w:lineRule="exact"/>
        <w:ind w:firstLine="560" w:firstLineChars="200"/>
        <w:rPr>
          <w:color w:val="000000" w:themeColor="text1"/>
          <w:kern w:val="3"/>
          <w:sz w:val="28"/>
        </w:rPr>
      </w:pPr>
      <w:r>
        <w:rPr>
          <w:rFonts w:hint="eastAsia"/>
          <w:color w:val="000000" w:themeColor="text1"/>
          <w:sz w:val="28"/>
          <w:szCs w:val="28"/>
        </w:rPr>
        <w:t>（3）</w:t>
      </w:r>
      <w:r>
        <w:rPr>
          <w:color w:val="000000" w:themeColor="text1"/>
          <w:kern w:val="3"/>
          <w:sz w:val="28"/>
        </w:rPr>
        <w:t>必须确保从业人员符合录用条件并培训合格，依法持证上岗。</w:t>
      </w:r>
    </w:p>
    <w:p>
      <w:pPr>
        <w:spacing w:line="500" w:lineRule="exact"/>
        <w:ind w:firstLine="560" w:firstLineChars="200"/>
        <w:rPr>
          <w:color w:val="000000" w:themeColor="text1"/>
          <w:kern w:val="3"/>
          <w:sz w:val="28"/>
        </w:rPr>
      </w:pPr>
      <w:r>
        <w:rPr>
          <w:rFonts w:hint="eastAsia"/>
          <w:color w:val="000000" w:themeColor="text1"/>
          <w:sz w:val="28"/>
          <w:szCs w:val="28"/>
        </w:rPr>
        <w:t>（4）</w:t>
      </w:r>
      <w:r>
        <w:rPr>
          <w:color w:val="000000" w:themeColor="text1"/>
          <w:kern w:val="3"/>
          <w:sz w:val="28"/>
        </w:rPr>
        <w:t>必须严格变更管理，遇险科学施救。</w:t>
      </w:r>
    </w:p>
    <w:p>
      <w:pPr>
        <w:spacing w:line="500" w:lineRule="exact"/>
        <w:ind w:firstLine="560" w:firstLineChars="200"/>
        <w:rPr>
          <w:color w:val="000000" w:themeColor="text1"/>
          <w:kern w:val="3"/>
          <w:sz w:val="28"/>
        </w:rPr>
      </w:pPr>
      <w:r>
        <w:rPr>
          <w:rFonts w:hint="eastAsia"/>
          <w:color w:val="000000" w:themeColor="text1"/>
          <w:sz w:val="28"/>
          <w:szCs w:val="28"/>
        </w:rPr>
        <w:t>（5）</w:t>
      </w:r>
      <w:r>
        <w:rPr>
          <w:color w:val="000000" w:themeColor="text1"/>
          <w:kern w:val="3"/>
          <w:sz w:val="28"/>
        </w:rPr>
        <w:t>必须按照《危险化学品企业事故隐患排查治理实施导则》要求排查治理隐患。</w:t>
      </w:r>
    </w:p>
    <w:p>
      <w:pPr>
        <w:spacing w:line="500" w:lineRule="exact"/>
        <w:ind w:firstLine="560" w:firstLineChars="200"/>
        <w:rPr>
          <w:color w:val="000000" w:themeColor="text1"/>
          <w:kern w:val="3"/>
          <w:sz w:val="28"/>
        </w:rPr>
      </w:pPr>
      <w:r>
        <w:rPr>
          <w:rFonts w:hint="eastAsia"/>
          <w:color w:val="000000" w:themeColor="text1"/>
          <w:sz w:val="28"/>
          <w:szCs w:val="28"/>
        </w:rPr>
        <w:t>（6）</w:t>
      </w:r>
      <w:r>
        <w:rPr>
          <w:color w:val="000000" w:themeColor="text1"/>
          <w:kern w:val="3"/>
          <w:sz w:val="28"/>
        </w:rPr>
        <w:t>严禁设备设施带病运行和未经审批停用报警系统。</w:t>
      </w:r>
    </w:p>
    <w:p>
      <w:pPr>
        <w:spacing w:line="500" w:lineRule="exact"/>
        <w:ind w:firstLine="560" w:firstLineChars="200"/>
        <w:rPr>
          <w:color w:val="000000" w:themeColor="text1"/>
          <w:kern w:val="3"/>
          <w:sz w:val="28"/>
        </w:rPr>
      </w:pPr>
      <w:r>
        <w:rPr>
          <w:rFonts w:hint="eastAsia"/>
          <w:color w:val="000000" w:themeColor="text1"/>
          <w:sz w:val="28"/>
          <w:szCs w:val="28"/>
        </w:rPr>
        <w:t>（7）</w:t>
      </w:r>
      <w:r>
        <w:rPr>
          <w:color w:val="000000" w:themeColor="text1"/>
          <w:kern w:val="3"/>
          <w:sz w:val="28"/>
        </w:rPr>
        <w:t>严禁未经审批进行动火、受限空间、高处、吊装、临时用电、动土、检维修、盲板抽堵等作业。</w:t>
      </w:r>
    </w:p>
    <w:p>
      <w:pPr>
        <w:spacing w:line="500" w:lineRule="exact"/>
        <w:ind w:left="560"/>
        <w:rPr>
          <w:color w:val="000000" w:themeColor="text1"/>
          <w:kern w:val="3"/>
          <w:sz w:val="28"/>
        </w:rPr>
      </w:pPr>
      <w:r>
        <w:rPr>
          <w:rFonts w:hint="eastAsia"/>
          <w:color w:val="000000" w:themeColor="text1"/>
          <w:sz w:val="28"/>
          <w:szCs w:val="28"/>
        </w:rPr>
        <w:t>（8）</w:t>
      </w:r>
      <w:r>
        <w:rPr>
          <w:color w:val="000000" w:themeColor="text1"/>
          <w:kern w:val="3"/>
          <w:sz w:val="28"/>
        </w:rPr>
        <w:t>严禁违章指挥和强令他人冒险作业。</w:t>
      </w:r>
    </w:p>
    <w:p>
      <w:pPr>
        <w:spacing w:line="500" w:lineRule="exact"/>
        <w:ind w:firstLine="560" w:firstLineChars="200"/>
        <w:rPr>
          <w:color w:val="000000" w:themeColor="text1"/>
          <w:kern w:val="3"/>
          <w:sz w:val="28"/>
        </w:rPr>
      </w:pPr>
      <w:r>
        <w:rPr>
          <w:rFonts w:hint="eastAsia"/>
          <w:color w:val="000000" w:themeColor="text1"/>
          <w:sz w:val="28"/>
          <w:szCs w:val="28"/>
        </w:rPr>
        <w:t>（9）</w:t>
      </w:r>
      <w:r>
        <w:rPr>
          <w:color w:val="000000" w:themeColor="text1"/>
          <w:kern w:val="3"/>
          <w:sz w:val="28"/>
        </w:rPr>
        <w:t>严禁违章作业、脱岗和在岗做与工作无关的事。</w:t>
      </w:r>
    </w:p>
    <w:p>
      <w:pPr>
        <w:spacing w:line="500" w:lineRule="exact"/>
        <w:ind w:firstLine="560" w:firstLineChars="200"/>
        <w:rPr>
          <w:rFonts w:eastAsiaTheme="minorEastAsia"/>
          <w:snapToGrid w:val="0"/>
          <w:color w:val="000000" w:themeColor="text1"/>
          <w:kern w:val="0"/>
          <w:sz w:val="28"/>
          <w:szCs w:val="28"/>
        </w:rPr>
      </w:pPr>
      <w:r>
        <w:rPr>
          <w:color w:val="000000" w:themeColor="text1"/>
          <w:kern w:val="3"/>
          <w:sz w:val="28"/>
        </w:rPr>
        <w:t>21</w:t>
      </w:r>
      <w:r>
        <w:rPr>
          <w:rFonts w:hint="eastAsia"/>
          <w:color w:val="000000" w:themeColor="text1"/>
          <w:kern w:val="3"/>
          <w:sz w:val="28"/>
        </w:rPr>
        <w:t>.</w:t>
      </w:r>
      <w:r>
        <w:rPr>
          <w:rFonts w:eastAsiaTheme="minorEastAsia"/>
          <w:snapToGrid w:val="0"/>
          <w:color w:val="000000" w:themeColor="text1"/>
          <w:kern w:val="0"/>
          <w:sz w:val="28"/>
          <w:szCs w:val="28"/>
        </w:rPr>
        <w:t>日常运营中如项目区已设各类安全警示标识有褪色、损坏等，应按照《化学品作业场所安全警示标志规范》（AQ/T3047-2013）等标准、规范的要求对其进行更换，且设置应明显。</w:t>
      </w:r>
    </w:p>
    <w:p>
      <w:pPr>
        <w:spacing w:line="500" w:lineRule="exact"/>
        <w:ind w:firstLine="560" w:firstLineChars="200"/>
        <w:rPr>
          <w:rFonts w:eastAsiaTheme="minorEastAsia"/>
          <w:color w:val="000000" w:themeColor="text1"/>
          <w:kern w:val="3"/>
          <w:sz w:val="28"/>
        </w:rPr>
      </w:pPr>
      <w:r>
        <w:rPr>
          <w:rFonts w:eastAsiaTheme="minorEastAsia"/>
          <w:snapToGrid w:val="0"/>
          <w:color w:val="000000" w:themeColor="text1"/>
          <w:kern w:val="0"/>
          <w:sz w:val="28"/>
          <w:szCs w:val="28"/>
        </w:rPr>
        <w:t>22</w:t>
      </w:r>
      <w:r>
        <w:rPr>
          <w:rFonts w:hint="eastAsia" w:eastAsiaTheme="minorEastAsia"/>
          <w:snapToGrid w:val="0"/>
          <w:color w:val="000000" w:themeColor="text1"/>
          <w:kern w:val="0"/>
          <w:sz w:val="28"/>
          <w:szCs w:val="28"/>
        </w:rPr>
        <w:t>.</w:t>
      </w:r>
      <w:r>
        <w:rPr>
          <w:rFonts w:eastAsiaTheme="minorEastAsia"/>
          <w:snapToGrid w:val="0"/>
          <w:color w:val="000000" w:themeColor="text1"/>
          <w:kern w:val="0"/>
          <w:sz w:val="28"/>
          <w:szCs w:val="28"/>
        </w:rPr>
        <w:t>根据《危险化学品应急救援管理人员培训及考核要求》（AQ/T3043-2013）的要求，建议项目区危险化学品应急救援管理人员应经安全培训，具备与所从事的应急救援活动相适应的应急救援理论和应急救援能力，并取得危险化学品应急救援资格证。</w:t>
      </w:r>
    </w:p>
    <w:p>
      <w:pPr>
        <w:pStyle w:val="74"/>
        <w:spacing w:line="500" w:lineRule="exact"/>
        <w:ind w:firstLine="560"/>
        <w:rPr>
          <w:rFonts w:ascii="Times New Roman" w:hAnsi="Times New Roman" w:eastAsiaTheme="minorEastAsia"/>
          <w:color w:val="000000" w:themeColor="text1"/>
          <w:szCs w:val="28"/>
        </w:rPr>
      </w:pPr>
      <w:r>
        <w:rPr>
          <w:rFonts w:ascii="Times New Roman" w:hAnsi="Times New Roman" w:eastAsiaTheme="minorEastAsia"/>
          <w:snapToGrid w:val="0"/>
          <w:color w:val="000000" w:themeColor="text1"/>
          <w:kern w:val="0"/>
          <w:szCs w:val="28"/>
        </w:rPr>
        <w:t>23</w:t>
      </w:r>
      <w:bookmarkStart w:id="2008" w:name="_Toc10481"/>
      <w:bookmarkStart w:id="2009" w:name="_Toc191728247"/>
      <w:bookmarkStart w:id="2010" w:name="_Toc191730091"/>
      <w:bookmarkStart w:id="2011" w:name="_Toc191729807"/>
      <w:r>
        <w:rPr>
          <w:rFonts w:hint="eastAsia" w:ascii="Times New Roman" w:hAnsi="Times New Roman" w:eastAsiaTheme="minorEastAsia"/>
          <w:snapToGrid w:val="0"/>
          <w:color w:val="000000" w:themeColor="text1"/>
          <w:kern w:val="0"/>
          <w:szCs w:val="28"/>
        </w:rPr>
        <w:t>.</w:t>
      </w:r>
      <w:r>
        <w:rPr>
          <w:rFonts w:ascii="Times New Roman" w:hAnsi="Times New Roman" w:eastAsiaTheme="minorEastAsia"/>
          <w:color w:val="000000" w:themeColor="text1"/>
          <w:szCs w:val="28"/>
        </w:rPr>
        <w:t>建议企业定期开展全面的自查自改，制定安全检查重点内容，根据检查结果，完善公司的安全管理及甲醇经营储存系统安全设施的设置</w:t>
      </w:r>
      <w:r>
        <w:rPr>
          <w:rFonts w:hint="eastAsia" w:ascii="Times New Roman" w:hAnsi="Times New Roman" w:eastAsiaTheme="minorEastAsia"/>
          <w:color w:val="000000" w:themeColor="text1"/>
          <w:szCs w:val="28"/>
        </w:rPr>
        <w:t>；并在正常运营后，完善台账记录</w:t>
      </w:r>
      <w:r>
        <w:rPr>
          <w:rFonts w:ascii="Times New Roman" w:hAnsi="Times New Roman" w:eastAsiaTheme="minorEastAsia"/>
          <w:color w:val="000000" w:themeColor="text1"/>
          <w:szCs w:val="28"/>
        </w:rPr>
        <w:t>。</w:t>
      </w:r>
    </w:p>
    <w:p>
      <w:pPr>
        <w:spacing w:line="500" w:lineRule="exact"/>
        <w:ind w:firstLine="560" w:firstLineChars="200"/>
        <w:rPr>
          <w:rFonts w:eastAsiaTheme="minorEastAsia"/>
          <w:color w:val="000000" w:themeColor="text1"/>
          <w:szCs w:val="28"/>
        </w:rPr>
      </w:pPr>
      <w:r>
        <w:rPr>
          <w:rFonts w:eastAsiaTheme="minorEastAsia"/>
          <w:color w:val="000000" w:themeColor="text1"/>
          <w:sz w:val="28"/>
          <w:szCs w:val="28"/>
        </w:rPr>
        <w:t>24</w:t>
      </w:r>
      <w:r>
        <w:rPr>
          <w:rFonts w:hint="eastAsia" w:eastAsiaTheme="minorEastAsia"/>
          <w:color w:val="000000" w:themeColor="text1"/>
          <w:sz w:val="28"/>
          <w:szCs w:val="28"/>
        </w:rPr>
        <w:t>.</w:t>
      </w:r>
      <w:r>
        <w:rPr>
          <w:rFonts w:eastAsiaTheme="minorEastAsia"/>
          <w:color w:val="000000" w:themeColor="text1"/>
          <w:sz w:val="28"/>
          <w:szCs w:val="28"/>
        </w:rPr>
        <w:t>建议根据《企业安全生产标准化基本规范》（GB33000-2016）等要求完善企业安全运行条件和安全管理工作水平。</w:t>
      </w:r>
    </w:p>
    <w:p>
      <w:pPr>
        <w:spacing w:line="500" w:lineRule="exact"/>
        <w:ind w:firstLine="560" w:firstLineChars="200"/>
        <w:rPr>
          <w:rFonts w:eastAsiaTheme="minorEastAsia"/>
          <w:color w:val="000000" w:themeColor="text1"/>
          <w:sz w:val="28"/>
          <w:szCs w:val="28"/>
        </w:rPr>
      </w:pPr>
      <w:r>
        <w:rPr>
          <w:rFonts w:eastAsiaTheme="minorEastAsia"/>
          <w:color w:val="000000" w:themeColor="text1"/>
          <w:sz w:val="28"/>
          <w:szCs w:val="28"/>
        </w:rPr>
        <w:t>2</w:t>
      </w:r>
      <w:r>
        <w:rPr>
          <w:rFonts w:hint="eastAsia" w:eastAsiaTheme="minorEastAsia"/>
          <w:color w:val="000000" w:themeColor="text1"/>
          <w:sz w:val="28"/>
          <w:szCs w:val="28"/>
        </w:rPr>
        <w:t>5.</w:t>
      </w:r>
      <w:r>
        <w:rPr>
          <w:rFonts w:hint="eastAsia" w:eastAsiaTheme="minorEastAsia"/>
          <w:snapToGrid w:val="0"/>
          <w:color w:val="000000" w:themeColor="text1"/>
          <w:kern w:val="0"/>
          <w:sz w:val="28"/>
          <w:szCs w:val="28"/>
        </w:rPr>
        <w:t>公司</w:t>
      </w:r>
      <w:r>
        <w:rPr>
          <w:rFonts w:eastAsiaTheme="minorEastAsia"/>
          <w:snapToGrid w:val="0"/>
          <w:color w:val="000000" w:themeColor="text1"/>
          <w:kern w:val="0"/>
          <w:sz w:val="28"/>
          <w:szCs w:val="28"/>
        </w:rPr>
        <w:t>在甲醇储存过程中如</w:t>
      </w:r>
      <w:r>
        <w:rPr>
          <w:rFonts w:eastAsiaTheme="minorEastAsia"/>
          <w:color w:val="000000" w:themeColor="text1"/>
          <w:sz w:val="28"/>
          <w:szCs w:val="28"/>
        </w:rPr>
        <w:t>周边需新建或规划发生改变时，应结合对甲醇储存设施的安全影响，应及时上报当地规划、应急管理等相关部门，必要时签订相关责任协议。</w:t>
      </w:r>
    </w:p>
    <w:bookmarkEnd w:id="2008"/>
    <w:bookmarkEnd w:id="2009"/>
    <w:bookmarkEnd w:id="2010"/>
    <w:bookmarkEnd w:id="2011"/>
    <w:p>
      <w:pPr>
        <w:keepNext/>
        <w:keepLines/>
        <w:pageBreakBefore/>
        <w:spacing w:before="340" w:after="330" w:line="500" w:lineRule="exact"/>
        <w:jc w:val="center"/>
        <w:outlineLvl w:val="0"/>
        <w:rPr>
          <w:rFonts w:ascii="楷体_GB2312" w:hAnsi="宋体" w:eastAsia="楷体_GB2312"/>
          <w:b/>
          <w:bCs/>
          <w:color w:val="000000" w:themeColor="text1"/>
          <w:kern w:val="3"/>
          <w:sz w:val="32"/>
          <w:szCs w:val="32"/>
        </w:rPr>
      </w:pPr>
      <w:bookmarkStart w:id="2012" w:name="_Toc14834"/>
      <w:bookmarkStart w:id="2013" w:name="_Toc24380"/>
      <w:bookmarkStart w:id="2014" w:name="_Toc13475"/>
      <w:bookmarkStart w:id="2015" w:name="_Toc20517"/>
      <w:bookmarkStart w:id="2016" w:name="_Toc24439"/>
      <w:bookmarkStart w:id="2017" w:name="_Toc17430"/>
      <w:bookmarkStart w:id="2018" w:name="_Toc24933"/>
      <w:bookmarkStart w:id="2019" w:name="_Toc24661"/>
      <w:bookmarkStart w:id="2020" w:name="_Toc22759_WPSOffice_Level1"/>
      <w:bookmarkStart w:id="2021" w:name="_Toc6045"/>
      <w:bookmarkStart w:id="2022" w:name="_Toc10113"/>
      <w:bookmarkStart w:id="2023" w:name="_Toc22696"/>
      <w:bookmarkStart w:id="2024" w:name="_Toc19633"/>
      <w:bookmarkStart w:id="2025" w:name="_Toc8272"/>
      <w:bookmarkStart w:id="2026" w:name="_Toc3715"/>
      <w:bookmarkStart w:id="2027" w:name="_Toc26940"/>
      <w:r>
        <w:rPr>
          <w:rFonts w:hint="eastAsia" w:ascii="楷体_GB2312" w:hAnsi="宋体" w:eastAsia="楷体_GB2312"/>
          <w:b/>
          <w:bCs/>
          <w:color w:val="000000" w:themeColor="text1"/>
          <w:kern w:val="3"/>
          <w:sz w:val="32"/>
          <w:szCs w:val="32"/>
        </w:rPr>
        <w:t>第7章 安全现状评价结论</w:t>
      </w:r>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p>
    <w:p>
      <w:pPr>
        <w:spacing w:line="500" w:lineRule="exact"/>
        <w:ind w:firstLine="560" w:firstLineChars="200"/>
        <w:rPr>
          <w:rFonts w:eastAsia="黑体"/>
          <w:b/>
          <w:bCs/>
          <w:color w:val="000000" w:themeColor="text1"/>
          <w:kern w:val="0"/>
          <w:sz w:val="36"/>
          <w:szCs w:val="36"/>
        </w:rPr>
      </w:pPr>
      <w:r>
        <w:rPr>
          <w:rFonts w:hint="eastAsia"/>
          <w:color w:val="000000" w:themeColor="text1"/>
          <w:sz w:val="28"/>
          <w:szCs w:val="28"/>
        </w:rPr>
        <w:t>昭通市鼎安科技有限公司</w:t>
      </w:r>
      <w:r>
        <w:rPr>
          <w:color w:val="000000" w:themeColor="text1"/>
          <w:sz w:val="28"/>
          <w:szCs w:val="28"/>
        </w:rPr>
        <w:t>根据国家相关法律法</w:t>
      </w:r>
      <w:bookmarkStart w:id="2028" w:name="_Toc15820"/>
      <w:bookmarkStart w:id="2029" w:name="_Toc194389993"/>
      <w:bookmarkStart w:id="2030" w:name="_Toc217444277"/>
      <w:bookmarkStart w:id="2031" w:name="_Toc191730098"/>
      <w:bookmarkStart w:id="2032" w:name="_Toc191729814"/>
      <w:bookmarkStart w:id="2033" w:name="_Toc191728254"/>
      <w:r>
        <w:rPr>
          <w:color w:val="000000" w:themeColor="text1"/>
          <w:sz w:val="28"/>
          <w:szCs w:val="28"/>
        </w:rPr>
        <w:t>规及标</w:t>
      </w:r>
      <w:bookmarkStart w:id="2034" w:name="_Toc191375158"/>
      <w:bookmarkStart w:id="2035" w:name="_Toc190690427"/>
      <w:r>
        <w:rPr>
          <w:color w:val="000000" w:themeColor="text1"/>
          <w:sz w:val="28"/>
          <w:szCs w:val="28"/>
        </w:rPr>
        <w:t>准</w:t>
      </w:r>
      <w:r>
        <w:rPr>
          <w:rFonts w:hint="eastAsia"/>
          <w:color w:val="000000" w:themeColor="text1"/>
          <w:sz w:val="28"/>
          <w:szCs w:val="28"/>
        </w:rPr>
        <w:t>规范</w:t>
      </w:r>
      <w:r>
        <w:rPr>
          <w:color w:val="000000" w:themeColor="text1"/>
          <w:sz w:val="28"/>
          <w:szCs w:val="28"/>
        </w:rPr>
        <w:t>的要求，对</w:t>
      </w:r>
      <w:bookmarkEnd w:id="2028"/>
      <w:bookmarkEnd w:id="2029"/>
      <w:bookmarkEnd w:id="2030"/>
      <w:bookmarkEnd w:id="2031"/>
      <w:bookmarkEnd w:id="2032"/>
      <w:bookmarkEnd w:id="2033"/>
      <w:bookmarkEnd w:id="2034"/>
      <w:bookmarkEnd w:id="2035"/>
      <w:bookmarkStart w:id="2036" w:name="_Toc8408"/>
      <w:r>
        <w:rPr>
          <w:rFonts w:hint="eastAsia"/>
          <w:color w:val="000000" w:themeColor="text1"/>
          <w:sz w:val="28"/>
          <w:szCs w:val="28"/>
        </w:rPr>
        <w:t>昭通市耀晨甲醇醇油有限公司危化品经营</w:t>
      </w:r>
      <w:r>
        <w:rPr>
          <w:color w:val="000000" w:themeColor="text1"/>
          <w:sz w:val="28"/>
          <w:szCs w:val="28"/>
        </w:rPr>
        <w:t>涉及的厂址、总平面布置、甲醇储存工艺及设备、设施、公辅设施、安全管理等进行了安全分析评价，做出如下结论：</w:t>
      </w:r>
    </w:p>
    <w:bookmarkEnd w:id="2036"/>
    <w:p>
      <w:pPr>
        <w:pStyle w:val="19"/>
        <w:spacing w:afterLines="100" w:line="500" w:lineRule="exact"/>
        <w:jc w:val="center"/>
        <w:rPr>
          <w:rFonts w:ascii="楷体_GB2312" w:hAnsi="宋体" w:eastAsia="楷体_GB2312"/>
          <w:color w:val="000000" w:themeColor="text1"/>
          <w:kern w:val="3"/>
        </w:rPr>
      </w:pPr>
      <w:bookmarkStart w:id="2037" w:name="_Toc3088"/>
      <w:bookmarkStart w:id="2038" w:name="_Toc21448"/>
      <w:bookmarkStart w:id="2039" w:name="_Toc23540"/>
      <w:bookmarkStart w:id="2040" w:name="_Toc778"/>
      <w:bookmarkStart w:id="2041" w:name="_Toc31037"/>
      <w:bookmarkStart w:id="2042" w:name="_Toc1664"/>
      <w:bookmarkStart w:id="2043" w:name="_Toc21137"/>
      <w:bookmarkStart w:id="2044" w:name="_Toc24160"/>
      <w:bookmarkStart w:id="2045" w:name="_Toc22756"/>
      <w:bookmarkStart w:id="2046" w:name="_Toc6578"/>
      <w:bookmarkStart w:id="2047" w:name="_Toc30172"/>
      <w:bookmarkStart w:id="2048" w:name="_Toc5932"/>
      <w:bookmarkStart w:id="2049" w:name="_Toc25774"/>
      <w:bookmarkStart w:id="2050" w:name="_Toc7038_WPSOffice_Level2"/>
      <w:bookmarkStart w:id="2051" w:name="_Toc1780"/>
      <w:bookmarkStart w:id="2052" w:name="_Toc29502"/>
      <w:r>
        <w:rPr>
          <w:rFonts w:hint="eastAsia" w:ascii="楷体_GB2312" w:hAnsi="宋体" w:eastAsia="楷体_GB2312"/>
          <w:color w:val="000000" w:themeColor="text1"/>
          <w:kern w:val="3"/>
        </w:rPr>
        <w:t>7.1主要危险、有害物质</w:t>
      </w:r>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p>
    <w:p>
      <w:pPr>
        <w:spacing w:line="500" w:lineRule="exact"/>
        <w:ind w:firstLine="560" w:firstLineChars="200"/>
        <w:rPr>
          <w:rFonts w:eastAsiaTheme="minorEastAsia"/>
          <w:color w:val="000000" w:themeColor="text1"/>
          <w:sz w:val="28"/>
          <w:szCs w:val="28"/>
        </w:rPr>
      </w:pPr>
      <w:r>
        <w:rPr>
          <w:rFonts w:hint="eastAsia" w:eastAsiaTheme="minorEastAsia"/>
          <w:color w:val="000000" w:themeColor="text1"/>
          <w:sz w:val="28"/>
          <w:szCs w:val="28"/>
        </w:rPr>
        <w:t>昭通市耀晨甲醇醇油有限公司危化品经营</w:t>
      </w:r>
      <w:r>
        <w:rPr>
          <w:rFonts w:eastAsiaTheme="minorEastAsia"/>
          <w:color w:val="000000" w:themeColor="text1"/>
          <w:sz w:val="28"/>
          <w:szCs w:val="28"/>
        </w:rPr>
        <w:t>过程中涉及的主要危险、物质</w:t>
      </w:r>
      <w:bookmarkStart w:id="2053" w:name="_Toc445750331"/>
      <w:r>
        <w:rPr>
          <w:rFonts w:eastAsiaTheme="minorEastAsia"/>
          <w:color w:val="000000" w:themeColor="text1"/>
          <w:sz w:val="28"/>
          <w:szCs w:val="28"/>
        </w:rPr>
        <w:t>为甲醇。甲醇具有“易燃液体，类别2；急性毒性-经口，类别3；急性毒性-经皮，类别3；急性毒性-吸入，类别3；特异性靶器官毒性一次接触,类别1”的性质。</w:t>
      </w:r>
    </w:p>
    <w:bookmarkEnd w:id="2053"/>
    <w:p>
      <w:pPr>
        <w:pStyle w:val="19"/>
        <w:spacing w:afterLines="100" w:line="500" w:lineRule="exact"/>
        <w:jc w:val="center"/>
        <w:rPr>
          <w:rFonts w:ascii="楷体_GB2312" w:hAnsi="宋体" w:eastAsia="楷体_GB2312"/>
          <w:color w:val="000000" w:themeColor="text1"/>
          <w:kern w:val="3"/>
        </w:rPr>
      </w:pPr>
      <w:bookmarkStart w:id="2054" w:name="_Toc16409"/>
      <w:bookmarkStart w:id="2055" w:name="_Toc19762"/>
      <w:bookmarkStart w:id="2056" w:name="_Toc16251"/>
      <w:bookmarkStart w:id="2057" w:name="_Toc15571"/>
      <w:bookmarkStart w:id="2058" w:name="_Toc7653"/>
      <w:bookmarkStart w:id="2059" w:name="_Toc32479"/>
      <w:bookmarkStart w:id="2060" w:name="_Toc11848"/>
      <w:bookmarkStart w:id="2061" w:name="_Toc31759"/>
      <w:bookmarkStart w:id="2062" w:name="_Toc1336"/>
      <w:bookmarkStart w:id="2063" w:name="_Toc6719"/>
      <w:bookmarkStart w:id="2064" w:name="_Toc17184"/>
      <w:bookmarkStart w:id="2065" w:name="_Toc32693"/>
      <w:bookmarkStart w:id="2066" w:name="_Toc5882_WPSOffice_Level2"/>
      <w:bookmarkStart w:id="2067" w:name="_Toc25477"/>
      <w:bookmarkStart w:id="2068" w:name="_Toc14238"/>
      <w:bookmarkStart w:id="2069" w:name="_Toc4198"/>
      <w:r>
        <w:rPr>
          <w:rFonts w:hint="eastAsia" w:ascii="楷体_GB2312" w:hAnsi="宋体" w:eastAsia="楷体_GB2312"/>
          <w:color w:val="000000" w:themeColor="text1"/>
          <w:kern w:val="3"/>
        </w:rPr>
        <w:t>7.2主要危险、有害因素</w:t>
      </w:r>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p>
    <w:p>
      <w:pPr>
        <w:spacing w:line="500" w:lineRule="exact"/>
        <w:ind w:firstLine="560" w:firstLineChars="200"/>
        <w:rPr>
          <w:color w:val="000000" w:themeColor="text1"/>
          <w:sz w:val="28"/>
        </w:rPr>
      </w:pPr>
      <w:r>
        <w:rPr>
          <w:rFonts w:hint="eastAsia"/>
          <w:color w:val="000000" w:themeColor="text1"/>
          <w:sz w:val="28"/>
          <w:szCs w:val="28"/>
        </w:rPr>
        <w:t>昭通市耀晨甲醇醇油有限公司危化品经营</w:t>
      </w:r>
      <w:r>
        <w:rPr>
          <w:color w:val="000000" w:themeColor="text1"/>
          <w:sz w:val="28"/>
          <w:szCs w:val="28"/>
        </w:rPr>
        <w:t>过程中涉及的</w:t>
      </w:r>
      <w:r>
        <w:rPr>
          <w:color w:val="000000" w:themeColor="text1"/>
          <w:sz w:val="28"/>
        </w:rPr>
        <w:t>主要危险、有害</w:t>
      </w:r>
      <w:bookmarkStart w:id="2070" w:name="_Toc445750332"/>
      <w:r>
        <w:rPr>
          <w:color w:val="000000" w:themeColor="text1"/>
          <w:sz w:val="28"/>
        </w:rPr>
        <w:t>因素有</w:t>
      </w:r>
      <w:bookmarkEnd w:id="2070"/>
      <w:r>
        <w:rPr>
          <w:color w:val="000000" w:themeColor="text1"/>
          <w:sz w:val="28"/>
        </w:rPr>
        <w:t>火灾、爆炸、中毒和窒息、</w:t>
      </w:r>
      <w:r>
        <w:rPr>
          <w:color w:val="000000" w:themeColor="text1"/>
          <w:sz w:val="28"/>
          <w:szCs w:val="28"/>
        </w:rPr>
        <w:t>车辆伤害</w:t>
      </w:r>
      <w:r>
        <w:rPr>
          <w:color w:val="000000" w:themeColor="text1"/>
          <w:sz w:val="28"/>
        </w:rPr>
        <w:t>、高处坠落、机械伤害、物体打击、触电、化学腐蚀、化学灼伤、雷电及静电危害</w:t>
      </w:r>
      <w:r>
        <w:rPr>
          <w:color w:val="000000" w:themeColor="text1"/>
          <w:sz w:val="28"/>
          <w:szCs w:val="28"/>
        </w:rPr>
        <w:t>等。</w:t>
      </w:r>
    </w:p>
    <w:p>
      <w:pPr>
        <w:pStyle w:val="19"/>
        <w:spacing w:afterLines="100" w:line="500" w:lineRule="exact"/>
        <w:jc w:val="center"/>
        <w:rPr>
          <w:rFonts w:ascii="楷体_GB2312" w:hAnsi="宋体" w:eastAsia="楷体_GB2312"/>
          <w:color w:val="000000" w:themeColor="text1"/>
          <w:kern w:val="3"/>
        </w:rPr>
      </w:pPr>
      <w:bookmarkStart w:id="2071" w:name="_Toc24545"/>
      <w:bookmarkStart w:id="2072" w:name="_Toc15769"/>
      <w:bookmarkStart w:id="2073" w:name="_Toc25430"/>
      <w:bookmarkStart w:id="2074" w:name="_Toc20505"/>
      <w:bookmarkStart w:id="2075" w:name="_Toc16862"/>
      <w:bookmarkStart w:id="2076" w:name="_Toc12526"/>
      <w:bookmarkStart w:id="2077" w:name="_Toc29998_WPSOffice_Level2"/>
      <w:bookmarkStart w:id="2078" w:name="_Toc16179"/>
      <w:bookmarkStart w:id="2079" w:name="_Toc17464"/>
      <w:bookmarkStart w:id="2080" w:name="_Toc13458"/>
      <w:bookmarkStart w:id="2081" w:name="_Toc25886"/>
      <w:bookmarkStart w:id="2082" w:name="_Toc8274"/>
      <w:bookmarkStart w:id="2083" w:name="_Toc31369"/>
      <w:bookmarkStart w:id="2084" w:name="_Toc7044"/>
      <w:bookmarkStart w:id="2085" w:name="_Toc2504"/>
      <w:bookmarkStart w:id="2086" w:name="_Toc22927"/>
      <w:r>
        <w:rPr>
          <w:rFonts w:hint="eastAsia" w:ascii="楷体_GB2312" w:hAnsi="宋体" w:eastAsia="楷体_GB2312"/>
          <w:color w:val="000000" w:themeColor="text1"/>
          <w:kern w:val="3"/>
        </w:rPr>
        <w:t>7.3危险化学品重大危险源辨识结果</w:t>
      </w:r>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p>
    <w:p>
      <w:pPr>
        <w:spacing w:line="500" w:lineRule="exact"/>
        <w:ind w:firstLine="560" w:firstLineChars="200"/>
        <w:rPr>
          <w:color w:val="000000" w:themeColor="text1"/>
          <w:sz w:val="28"/>
          <w:szCs w:val="28"/>
        </w:rPr>
      </w:pPr>
      <w:r>
        <w:rPr>
          <w:rFonts w:hint="eastAsia"/>
          <w:color w:val="000000" w:themeColor="text1"/>
          <w:sz w:val="28"/>
          <w:szCs w:val="28"/>
        </w:rPr>
        <w:t>昭通市耀晨甲醇醇油有限公司危化品经营</w:t>
      </w:r>
      <w:r>
        <w:rPr>
          <w:color w:val="000000" w:themeColor="text1"/>
          <w:sz w:val="28"/>
          <w:szCs w:val="28"/>
        </w:rPr>
        <w:t>过程中不构成危险化学品重大危险源。</w:t>
      </w:r>
    </w:p>
    <w:p>
      <w:pPr>
        <w:pStyle w:val="19"/>
        <w:spacing w:afterLines="100" w:line="500" w:lineRule="exact"/>
        <w:jc w:val="center"/>
        <w:rPr>
          <w:rFonts w:ascii="楷体_GB2312" w:hAnsi="宋体" w:eastAsia="楷体_GB2312"/>
          <w:color w:val="000000" w:themeColor="text1"/>
          <w:kern w:val="3"/>
        </w:rPr>
      </w:pPr>
      <w:bookmarkStart w:id="2087" w:name="_Toc445750333"/>
      <w:bookmarkStart w:id="2088" w:name="_Toc10774"/>
      <w:bookmarkStart w:id="2089" w:name="_Toc1537"/>
      <w:bookmarkStart w:id="2090" w:name="_Toc20239"/>
      <w:bookmarkStart w:id="2091" w:name="_Toc7543"/>
      <w:bookmarkStart w:id="2092" w:name="_Toc4855"/>
      <w:bookmarkStart w:id="2093" w:name="_Toc31885"/>
      <w:bookmarkStart w:id="2094" w:name="_Toc29595"/>
      <w:bookmarkStart w:id="2095" w:name="_Toc14045"/>
      <w:bookmarkStart w:id="2096" w:name="_Toc730"/>
      <w:bookmarkStart w:id="2097" w:name="_Toc13576_WPSOffice_Level2"/>
      <w:bookmarkStart w:id="2098" w:name="_Toc28231"/>
      <w:bookmarkStart w:id="2099" w:name="_Toc15252"/>
      <w:bookmarkStart w:id="2100" w:name="_Toc21483"/>
      <w:bookmarkStart w:id="2101" w:name="_Toc10643"/>
      <w:bookmarkStart w:id="2102" w:name="_Toc14347"/>
      <w:bookmarkStart w:id="2103" w:name="_Toc28437"/>
      <w:r>
        <w:rPr>
          <w:rFonts w:hint="eastAsia" w:ascii="楷体_GB2312" w:hAnsi="宋体" w:eastAsia="楷体_GB2312"/>
          <w:color w:val="000000" w:themeColor="text1"/>
          <w:kern w:val="3"/>
        </w:rPr>
        <w:t>7.4应重点防范的事故及危</w:t>
      </w:r>
      <w:bookmarkEnd w:id="2087"/>
      <w:r>
        <w:rPr>
          <w:rFonts w:hint="eastAsia" w:ascii="楷体_GB2312" w:hAnsi="宋体" w:eastAsia="楷体_GB2312"/>
          <w:color w:val="000000" w:themeColor="text1"/>
          <w:kern w:val="3"/>
        </w:rPr>
        <w:t>害</w:t>
      </w:r>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p>
    <w:p>
      <w:pPr>
        <w:spacing w:line="500" w:lineRule="exact"/>
        <w:ind w:firstLine="560" w:firstLineChars="200"/>
        <w:rPr>
          <w:color w:val="000000" w:themeColor="text1"/>
          <w:sz w:val="28"/>
        </w:rPr>
      </w:pPr>
      <w:r>
        <w:rPr>
          <w:rFonts w:hint="eastAsia"/>
          <w:color w:val="000000" w:themeColor="text1"/>
          <w:sz w:val="28"/>
          <w:szCs w:val="28"/>
        </w:rPr>
        <w:t>昭通市耀晨甲醇醇油有限公司</w:t>
      </w:r>
      <w:r>
        <w:rPr>
          <w:color w:val="000000" w:themeColor="text1"/>
          <w:sz w:val="28"/>
        </w:rPr>
        <w:t>应重点防范的事故及危害为火灾、爆炸、中毒</w:t>
      </w:r>
      <w:bookmarkStart w:id="2104" w:name="_Toc445750334"/>
      <w:r>
        <w:rPr>
          <w:color w:val="000000" w:themeColor="text1"/>
          <w:sz w:val="28"/>
        </w:rPr>
        <w:t>和窒息、雷电及静电危害等。</w:t>
      </w:r>
    </w:p>
    <w:bookmarkEnd w:id="2104"/>
    <w:p>
      <w:pPr>
        <w:pStyle w:val="19"/>
        <w:spacing w:afterLines="100" w:line="500" w:lineRule="exact"/>
        <w:jc w:val="center"/>
        <w:rPr>
          <w:rFonts w:hint="eastAsia" w:ascii="楷体_GB2312" w:hAnsi="宋体" w:eastAsia="楷体_GB2312"/>
          <w:color w:val="000000" w:themeColor="text1"/>
          <w:kern w:val="3"/>
        </w:rPr>
      </w:pPr>
      <w:bookmarkStart w:id="2105" w:name="_Toc21200"/>
      <w:bookmarkStart w:id="2106" w:name="_Toc29131"/>
      <w:bookmarkStart w:id="2107" w:name="_Toc14174"/>
      <w:bookmarkStart w:id="2108" w:name="_Toc17408"/>
      <w:bookmarkStart w:id="2109" w:name="_Toc5083"/>
      <w:bookmarkStart w:id="2110" w:name="_Toc1926"/>
      <w:bookmarkStart w:id="2111" w:name="_Toc8099"/>
      <w:bookmarkStart w:id="2112" w:name="_Toc491"/>
      <w:bookmarkStart w:id="2113" w:name="_Toc26194"/>
      <w:bookmarkStart w:id="2114" w:name="_Toc12633"/>
      <w:bookmarkStart w:id="2115" w:name="_Toc16583_WPSOffice_Level2"/>
      <w:bookmarkStart w:id="2116" w:name="_Toc9778"/>
      <w:bookmarkStart w:id="2117" w:name="_Toc24818"/>
      <w:bookmarkStart w:id="2118" w:name="_Toc15228"/>
      <w:bookmarkStart w:id="2119" w:name="_Toc20425"/>
      <w:bookmarkStart w:id="2120" w:name="_Toc30043"/>
      <w:r>
        <w:rPr>
          <w:rFonts w:hint="eastAsia" w:ascii="楷体_GB2312" w:hAnsi="宋体" w:eastAsia="楷体_GB2312"/>
          <w:color w:val="000000" w:themeColor="text1"/>
          <w:kern w:val="3"/>
        </w:rPr>
        <w:t>7.5安全现状评价结论</w:t>
      </w:r>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p>
    <w:p>
      <w:pPr>
        <w:spacing w:line="500" w:lineRule="exact"/>
        <w:ind w:firstLine="560" w:firstLineChars="200"/>
        <w:rPr>
          <w:rFonts w:eastAsiaTheme="minorEastAsia"/>
          <w:snapToGrid w:val="0"/>
          <w:color w:val="000000" w:themeColor="text1"/>
          <w:kern w:val="0"/>
          <w:sz w:val="28"/>
          <w:szCs w:val="28"/>
        </w:rPr>
      </w:pPr>
      <w:r>
        <w:rPr>
          <w:rFonts w:eastAsiaTheme="minorEastAsia"/>
          <w:snapToGrid w:val="0"/>
          <w:color w:val="000000" w:themeColor="text1"/>
          <w:kern w:val="0"/>
          <w:sz w:val="28"/>
          <w:szCs w:val="28"/>
        </w:rPr>
        <w:t>1</w:t>
      </w:r>
      <w:r>
        <w:rPr>
          <w:rFonts w:hint="eastAsia" w:eastAsiaTheme="minorEastAsia"/>
          <w:snapToGrid w:val="0"/>
          <w:color w:val="000000" w:themeColor="text1"/>
          <w:kern w:val="0"/>
          <w:sz w:val="28"/>
          <w:szCs w:val="28"/>
        </w:rPr>
        <w:t>.该项目甲醇储存设施与厂外周边环境的防火间距符合《危险化学品安全管理条例》（中华人民共和国国务院令第591号，2015年修订）、《工业企业总平面设计规范》（GB50187-2012）、《建筑设计防火规范（2018年版）》（GB50016-2014）、《汽车加油加气加氢站技术标准》（GB50156-2021）等有关标准规范的要求。</w:t>
      </w:r>
    </w:p>
    <w:p>
      <w:pPr>
        <w:spacing w:line="500" w:lineRule="exact"/>
        <w:ind w:firstLine="560" w:firstLineChars="200"/>
        <w:rPr>
          <w:rFonts w:eastAsiaTheme="minorEastAsia"/>
          <w:snapToGrid w:val="0"/>
          <w:color w:val="000000" w:themeColor="text1"/>
          <w:kern w:val="0"/>
          <w:sz w:val="28"/>
          <w:szCs w:val="28"/>
        </w:rPr>
      </w:pPr>
      <w:r>
        <w:rPr>
          <w:rFonts w:hint="eastAsia" w:eastAsiaTheme="minorEastAsia"/>
          <w:snapToGrid w:val="0"/>
          <w:color w:val="000000" w:themeColor="text1"/>
          <w:kern w:val="0"/>
          <w:sz w:val="28"/>
          <w:szCs w:val="28"/>
        </w:rPr>
        <w:t>2.该项目总平面布置以及甲醇储存、装卸设施的防火间距均符合《建筑设计防火规范（2018年版）》（GB50016-2014）、《汽车加油加气加氢站技术标准》（GB50156-2021）等相关标准、规范的要求。</w:t>
      </w:r>
    </w:p>
    <w:p>
      <w:pPr>
        <w:spacing w:line="500" w:lineRule="exact"/>
        <w:ind w:firstLine="560" w:firstLineChars="200"/>
        <w:rPr>
          <w:rFonts w:eastAsiaTheme="minorEastAsia"/>
          <w:snapToGrid w:val="0"/>
          <w:color w:val="000000" w:themeColor="text1"/>
          <w:kern w:val="0"/>
          <w:sz w:val="28"/>
          <w:szCs w:val="28"/>
        </w:rPr>
      </w:pPr>
      <w:r>
        <w:rPr>
          <w:rFonts w:hint="eastAsia" w:eastAsiaTheme="minorEastAsia"/>
          <w:snapToGrid w:val="0"/>
          <w:color w:val="000000" w:themeColor="text1"/>
          <w:kern w:val="0"/>
          <w:sz w:val="28"/>
          <w:szCs w:val="28"/>
          <w:lang w:val="en-US" w:eastAsia="zh-CN"/>
        </w:rPr>
        <w:t>3</w:t>
      </w:r>
      <w:r>
        <w:rPr>
          <w:rFonts w:hint="eastAsia" w:eastAsiaTheme="minorEastAsia"/>
          <w:snapToGrid w:val="0"/>
          <w:color w:val="000000" w:themeColor="text1"/>
          <w:kern w:val="0"/>
          <w:sz w:val="28"/>
          <w:szCs w:val="28"/>
        </w:rPr>
        <w:t>.</w:t>
      </w:r>
      <w:r>
        <w:rPr>
          <w:rFonts w:eastAsiaTheme="minorEastAsia"/>
          <w:snapToGrid w:val="0"/>
          <w:color w:val="000000" w:themeColor="text1"/>
          <w:kern w:val="0"/>
          <w:sz w:val="28"/>
          <w:szCs w:val="28"/>
        </w:rPr>
        <w:t>该项目甲醇储存工艺设备、设施符合《汽车加油加气加氢站技术标准》（GB50156-2021）</w:t>
      </w:r>
      <w:r>
        <w:rPr>
          <w:rFonts w:hint="eastAsia" w:eastAsiaTheme="minorEastAsia"/>
          <w:snapToGrid w:val="0"/>
          <w:color w:val="000000" w:themeColor="text1"/>
          <w:kern w:val="0"/>
          <w:sz w:val="28"/>
          <w:szCs w:val="28"/>
        </w:rPr>
        <w:t>中的</w:t>
      </w:r>
      <w:r>
        <w:rPr>
          <w:rFonts w:eastAsiaTheme="minorEastAsia"/>
          <w:snapToGrid w:val="0"/>
          <w:color w:val="000000" w:themeColor="text1"/>
          <w:kern w:val="0"/>
          <w:sz w:val="28"/>
          <w:szCs w:val="28"/>
        </w:rPr>
        <w:t>要求</w:t>
      </w:r>
      <w:r>
        <w:rPr>
          <w:rFonts w:hint="eastAsia" w:eastAsiaTheme="minorEastAsia"/>
          <w:snapToGrid w:val="0"/>
          <w:color w:val="000000" w:themeColor="text1"/>
          <w:kern w:val="0"/>
          <w:sz w:val="28"/>
          <w:szCs w:val="28"/>
        </w:rPr>
        <w:t>1.</w:t>
      </w:r>
      <w:r>
        <w:rPr>
          <w:rFonts w:eastAsiaTheme="minorEastAsia"/>
          <w:snapToGrid w:val="0"/>
          <w:color w:val="000000" w:themeColor="text1"/>
          <w:kern w:val="0"/>
          <w:sz w:val="28"/>
          <w:szCs w:val="28"/>
        </w:rPr>
        <w:t>该项目供配电系统除视频监控系统无UPS电源外，</w:t>
      </w:r>
      <w:r>
        <w:rPr>
          <w:rFonts w:hint="eastAsia" w:eastAsiaTheme="minorEastAsia"/>
          <w:snapToGrid w:val="0"/>
          <w:color w:val="000000" w:themeColor="text1"/>
          <w:kern w:val="0"/>
          <w:sz w:val="28"/>
          <w:szCs w:val="28"/>
        </w:rPr>
        <w:t>其余均符合</w:t>
      </w:r>
      <w:r>
        <w:rPr>
          <w:rFonts w:eastAsiaTheme="minorEastAsia"/>
          <w:snapToGrid w:val="0"/>
          <w:color w:val="000000" w:themeColor="text1"/>
          <w:kern w:val="0"/>
          <w:sz w:val="28"/>
          <w:szCs w:val="28"/>
        </w:rPr>
        <w:t>《低压配电设计规范》（GB50054-2011）、《汽车加油加气加氢站技术标准》（GB50156-2021）、《加油加气站视频安防监控系统技术要求》（AQT3050-2013）、《通用用电设备配电设计规范》（GB50055-2011）、《20kV及以下变电所设计规范》（GB50053-2013）、《用电安全导则》（GB/T 13869-2017）等标准、规范的要求。</w:t>
      </w:r>
    </w:p>
    <w:p>
      <w:pPr>
        <w:spacing w:line="500" w:lineRule="exact"/>
        <w:ind w:firstLine="560" w:firstLineChars="200"/>
        <w:rPr>
          <w:rFonts w:eastAsiaTheme="minorEastAsia"/>
          <w:snapToGrid w:val="0"/>
          <w:color w:val="000000" w:themeColor="text1"/>
          <w:kern w:val="0"/>
          <w:sz w:val="28"/>
          <w:szCs w:val="28"/>
        </w:rPr>
      </w:pPr>
      <w:r>
        <w:rPr>
          <w:rFonts w:hint="eastAsia" w:eastAsiaTheme="minorEastAsia"/>
          <w:snapToGrid w:val="0"/>
          <w:color w:val="000000" w:themeColor="text1"/>
          <w:kern w:val="0"/>
          <w:sz w:val="28"/>
          <w:szCs w:val="28"/>
        </w:rPr>
        <w:t>5.</w:t>
      </w:r>
      <w:r>
        <w:rPr>
          <w:rFonts w:eastAsiaTheme="minorEastAsia"/>
          <w:snapToGrid w:val="0"/>
          <w:color w:val="000000" w:themeColor="text1"/>
          <w:kern w:val="0"/>
          <w:sz w:val="28"/>
          <w:szCs w:val="28"/>
        </w:rPr>
        <w:t>该项目消防及给水系统除办公区未设置手提式灭火器外，其余均符合《建筑灭火器配置设计规范》（GB50140-2005）、《汽车加油加气加氢站技术标准》（GB50156-2021）、《云南省消防条例》（2001年3月29日省九届人大常委会第二十一次会议通过）等</w:t>
      </w:r>
      <w:r>
        <w:rPr>
          <w:rFonts w:hint="eastAsia" w:eastAsiaTheme="minorEastAsia"/>
          <w:snapToGrid w:val="0"/>
          <w:color w:val="000000" w:themeColor="text1"/>
          <w:kern w:val="0"/>
          <w:sz w:val="28"/>
          <w:szCs w:val="28"/>
        </w:rPr>
        <w:t>法规、</w:t>
      </w:r>
      <w:r>
        <w:rPr>
          <w:rFonts w:eastAsiaTheme="minorEastAsia"/>
          <w:snapToGrid w:val="0"/>
          <w:color w:val="000000" w:themeColor="text1"/>
          <w:kern w:val="0"/>
          <w:sz w:val="28"/>
          <w:szCs w:val="28"/>
        </w:rPr>
        <w:t>标准规范的要求。</w:t>
      </w:r>
    </w:p>
    <w:p>
      <w:pPr>
        <w:spacing w:line="500" w:lineRule="exact"/>
        <w:ind w:firstLine="560" w:firstLineChars="200"/>
        <w:rPr>
          <w:rFonts w:eastAsiaTheme="minorEastAsia"/>
          <w:snapToGrid w:val="0"/>
          <w:color w:val="000000" w:themeColor="text1"/>
          <w:kern w:val="0"/>
          <w:sz w:val="28"/>
          <w:szCs w:val="28"/>
        </w:rPr>
      </w:pPr>
      <w:r>
        <w:rPr>
          <w:rFonts w:hint="eastAsia" w:eastAsiaTheme="minorEastAsia"/>
          <w:snapToGrid w:val="0"/>
          <w:color w:val="000000" w:themeColor="text1"/>
          <w:kern w:val="0"/>
          <w:sz w:val="28"/>
          <w:szCs w:val="28"/>
        </w:rPr>
        <w:t>6.</w:t>
      </w:r>
      <w:r>
        <w:rPr>
          <w:rFonts w:eastAsiaTheme="minorEastAsia"/>
          <w:snapToGrid w:val="0"/>
          <w:color w:val="000000" w:themeColor="text1"/>
          <w:kern w:val="0"/>
          <w:sz w:val="28"/>
          <w:szCs w:val="28"/>
        </w:rPr>
        <w:t>该项目防雷、防静电装置</w:t>
      </w:r>
      <w:r>
        <w:rPr>
          <w:rFonts w:hint="eastAsia" w:eastAsiaTheme="minorEastAsia"/>
          <w:snapToGrid w:val="0"/>
          <w:color w:val="000000" w:themeColor="text1"/>
          <w:kern w:val="0"/>
          <w:sz w:val="28"/>
          <w:szCs w:val="28"/>
        </w:rPr>
        <w:t>除现场未设置静电接地装置，未设置人体静电释放装置外，其他符合</w:t>
      </w:r>
      <w:r>
        <w:rPr>
          <w:rFonts w:eastAsiaTheme="minorEastAsia"/>
          <w:snapToGrid w:val="0"/>
          <w:color w:val="000000" w:themeColor="text1"/>
          <w:kern w:val="0"/>
          <w:sz w:val="28"/>
          <w:szCs w:val="28"/>
        </w:rPr>
        <w:t>《汽车加油加气</w:t>
      </w:r>
      <w:r>
        <w:rPr>
          <w:rFonts w:hint="eastAsia" w:eastAsiaTheme="minorEastAsia"/>
          <w:snapToGrid w:val="0"/>
          <w:color w:val="000000" w:themeColor="text1"/>
          <w:kern w:val="0"/>
          <w:sz w:val="28"/>
          <w:szCs w:val="28"/>
        </w:rPr>
        <w:t>加氢技术标准</w:t>
      </w:r>
      <w:r>
        <w:rPr>
          <w:rFonts w:eastAsiaTheme="minorEastAsia"/>
          <w:snapToGrid w:val="0"/>
          <w:color w:val="000000" w:themeColor="text1"/>
          <w:kern w:val="0"/>
          <w:sz w:val="28"/>
          <w:szCs w:val="28"/>
        </w:rPr>
        <w:t>》（GB50156-2021）的要求</w:t>
      </w:r>
    </w:p>
    <w:p>
      <w:pPr>
        <w:spacing w:line="500" w:lineRule="exact"/>
        <w:ind w:firstLine="560" w:firstLineChars="200"/>
        <w:rPr>
          <w:rFonts w:eastAsiaTheme="minorEastAsia"/>
          <w:snapToGrid w:val="0"/>
          <w:color w:val="000000" w:themeColor="text1"/>
          <w:kern w:val="0"/>
          <w:sz w:val="28"/>
          <w:szCs w:val="28"/>
        </w:rPr>
      </w:pPr>
      <w:r>
        <w:rPr>
          <w:rFonts w:hint="eastAsia" w:eastAsiaTheme="minorEastAsia"/>
          <w:snapToGrid w:val="0"/>
          <w:color w:val="000000" w:themeColor="text1"/>
          <w:kern w:val="0"/>
          <w:sz w:val="28"/>
          <w:szCs w:val="28"/>
        </w:rPr>
        <w:t>7.</w:t>
      </w:r>
      <w:r>
        <w:rPr>
          <w:rFonts w:eastAsiaTheme="minorEastAsia"/>
          <w:snapToGrid w:val="0"/>
          <w:color w:val="000000" w:themeColor="text1"/>
          <w:kern w:val="0"/>
          <w:sz w:val="28"/>
          <w:szCs w:val="28"/>
        </w:rPr>
        <w:t>该项目</w:t>
      </w:r>
      <w:r>
        <w:rPr>
          <w:rFonts w:hint="eastAsia" w:eastAsiaTheme="minorEastAsia"/>
          <w:snapToGrid w:val="0"/>
          <w:color w:val="000000" w:themeColor="text1"/>
          <w:kern w:val="0"/>
          <w:sz w:val="28"/>
          <w:szCs w:val="28"/>
          <w:lang w:val="en-US" w:eastAsia="zh-CN"/>
        </w:rPr>
        <w:t>除</w:t>
      </w:r>
      <w:r>
        <w:rPr>
          <w:rFonts w:eastAsiaTheme="minorEastAsia"/>
          <w:snapToGrid w:val="0"/>
          <w:color w:val="000000" w:themeColor="text1"/>
          <w:kern w:val="0"/>
          <w:sz w:val="28"/>
          <w:szCs w:val="28"/>
        </w:rPr>
        <w:t>埋地甲醇罐操作井盖无介质流向标识等问题外，其余均符合《生产设备安全卫生设计总则》（</w:t>
      </w:r>
      <w:r>
        <w:rPr>
          <w:rFonts w:hint="eastAsia" w:eastAsiaTheme="minorEastAsia"/>
          <w:snapToGrid w:val="0"/>
          <w:color w:val="000000" w:themeColor="text1"/>
          <w:kern w:val="0"/>
          <w:sz w:val="28"/>
          <w:szCs w:val="28"/>
          <w:lang w:eastAsia="zh-CN"/>
        </w:rPr>
        <w:t>GB5083-2023</w:t>
      </w:r>
      <w:r>
        <w:rPr>
          <w:rFonts w:eastAsiaTheme="minorEastAsia"/>
          <w:snapToGrid w:val="0"/>
          <w:color w:val="000000" w:themeColor="text1"/>
          <w:kern w:val="0"/>
          <w:sz w:val="28"/>
          <w:szCs w:val="28"/>
        </w:rPr>
        <w:t>）、《化学品作业场所安全警示标志规范》（AQ 3047</w:t>
      </w:r>
      <w:r>
        <w:rPr>
          <w:rFonts w:hint="eastAsia" w:eastAsiaTheme="minorEastAsia"/>
          <w:snapToGrid w:val="0"/>
          <w:color w:val="000000" w:themeColor="text1"/>
          <w:kern w:val="0"/>
          <w:sz w:val="28"/>
          <w:szCs w:val="28"/>
        </w:rPr>
        <w:t>-</w:t>
      </w:r>
      <w:r>
        <w:rPr>
          <w:rFonts w:eastAsiaTheme="minorEastAsia"/>
          <w:snapToGrid w:val="0"/>
          <w:color w:val="000000" w:themeColor="text1"/>
          <w:kern w:val="0"/>
          <w:sz w:val="28"/>
          <w:szCs w:val="28"/>
        </w:rPr>
        <w:t>2013）、《工业企业设计卫生标准》（GBZ1-2010）、《固定式钢梯及平台安全要求 第3部分工业防护栏杆及钢平台》（GB 4053.3-2009）、《化工企业安全卫生设计规范》（HG20571-2014）、《工业管道的基本识别色、识别符合和安全标识》（GB231-2003）</w:t>
      </w:r>
      <w:r>
        <w:rPr>
          <w:rFonts w:hint="eastAsia" w:eastAsiaTheme="minorEastAsia"/>
          <w:snapToGrid w:val="0"/>
          <w:color w:val="000000" w:themeColor="text1"/>
          <w:kern w:val="0"/>
          <w:sz w:val="28"/>
          <w:szCs w:val="28"/>
        </w:rPr>
        <w:t>、</w:t>
      </w:r>
      <w:r>
        <w:rPr>
          <w:rFonts w:eastAsiaTheme="minorEastAsia"/>
          <w:snapToGrid w:val="0"/>
          <w:color w:val="000000" w:themeColor="text1"/>
          <w:kern w:val="0"/>
          <w:sz w:val="28"/>
          <w:szCs w:val="28"/>
        </w:rPr>
        <w:t>《机械安全防护装置 固定式和活动式防护装置的设计与制造一般要求》（GB/T 8196-2018）</w:t>
      </w:r>
      <w:r>
        <w:rPr>
          <w:rFonts w:hint="eastAsia" w:eastAsiaTheme="minorEastAsia"/>
          <w:snapToGrid w:val="0"/>
          <w:color w:val="000000" w:themeColor="text1"/>
          <w:kern w:val="0"/>
          <w:sz w:val="28"/>
          <w:szCs w:val="28"/>
        </w:rPr>
        <w:t>、</w:t>
      </w:r>
      <w:r>
        <w:rPr>
          <w:rFonts w:eastAsiaTheme="minorEastAsia"/>
          <w:snapToGrid w:val="0"/>
          <w:color w:val="000000" w:themeColor="text1"/>
          <w:kern w:val="0"/>
          <w:sz w:val="28"/>
          <w:szCs w:val="28"/>
        </w:rPr>
        <w:t>《爆炸危险环境电力装置设计规范》（GB50058-2014）</w:t>
      </w:r>
      <w:r>
        <w:rPr>
          <w:rFonts w:hint="eastAsia" w:eastAsiaTheme="minorEastAsia"/>
          <w:snapToGrid w:val="0"/>
          <w:color w:val="000000" w:themeColor="text1"/>
          <w:kern w:val="0"/>
          <w:sz w:val="28"/>
          <w:szCs w:val="28"/>
        </w:rPr>
        <w:t>、</w:t>
      </w:r>
      <w:r>
        <w:rPr>
          <w:rFonts w:eastAsiaTheme="minorEastAsia"/>
          <w:snapToGrid w:val="0"/>
          <w:color w:val="000000" w:themeColor="text1"/>
          <w:kern w:val="0"/>
          <w:sz w:val="28"/>
          <w:szCs w:val="28"/>
        </w:rPr>
        <w:t>《汽车加油加气加氢站技术标准》（GB50156-2021）等标准、规范的要求</w:t>
      </w:r>
    </w:p>
    <w:p>
      <w:pPr>
        <w:spacing w:line="500" w:lineRule="exact"/>
        <w:ind w:firstLine="560" w:firstLineChars="200"/>
        <w:rPr>
          <w:rFonts w:eastAsiaTheme="minorEastAsia"/>
          <w:snapToGrid w:val="0"/>
          <w:color w:val="000000" w:themeColor="text1"/>
          <w:kern w:val="0"/>
          <w:sz w:val="28"/>
          <w:szCs w:val="28"/>
        </w:rPr>
      </w:pPr>
      <w:r>
        <w:rPr>
          <w:rFonts w:hint="eastAsia" w:eastAsiaTheme="minorEastAsia"/>
          <w:snapToGrid w:val="0"/>
          <w:color w:val="000000" w:themeColor="text1"/>
          <w:kern w:val="0"/>
          <w:sz w:val="28"/>
          <w:szCs w:val="28"/>
        </w:rPr>
        <w:t>8.</w:t>
      </w:r>
      <w:r>
        <w:rPr>
          <w:rFonts w:eastAsiaTheme="minorEastAsia"/>
          <w:snapToGrid w:val="0"/>
          <w:color w:val="000000" w:themeColor="text1"/>
          <w:kern w:val="0"/>
          <w:sz w:val="28"/>
          <w:szCs w:val="28"/>
        </w:rPr>
        <w:t>该项目</w:t>
      </w:r>
      <w:r>
        <w:rPr>
          <w:rFonts w:hint="eastAsia" w:eastAsiaTheme="minorEastAsia"/>
          <w:snapToGrid w:val="0"/>
          <w:color w:val="000000" w:themeColor="text1"/>
          <w:kern w:val="0"/>
          <w:sz w:val="28"/>
          <w:szCs w:val="28"/>
        </w:rPr>
        <w:t>符合</w:t>
      </w:r>
      <w:r>
        <w:rPr>
          <w:rFonts w:eastAsiaTheme="minorEastAsia"/>
          <w:snapToGrid w:val="0"/>
          <w:color w:val="000000" w:themeColor="text1"/>
          <w:kern w:val="0"/>
          <w:sz w:val="28"/>
          <w:szCs w:val="28"/>
        </w:rPr>
        <w:t>《中华人民共和国安全生产法》（中华人民共和国主席令第八十八号）、《生产经营单位安全培训规定》（国家安全生产监督管理总局令第3号，根据2013年8月29日国家安全监管总局令第63号第一次修正，根据2015年5月29日国家安全生产监管总局令第80号第二次修正）、《生产安全事故应急预案管理办法》（根据2019年6月24日《应急管理部关于修改〈生产安全事故应急预案管理办法〉的决定》修订，自2019年9月1日起实施）</w:t>
      </w:r>
      <w:r>
        <w:rPr>
          <w:rFonts w:hint="eastAsia" w:eastAsiaTheme="minorEastAsia"/>
          <w:snapToGrid w:val="0"/>
          <w:color w:val="000000" w:themeColor="text1"/>
          <w:kern w:val="0"/>
          <w:sz w:val="28"/>
          <w:szCs w:val="28"/>
        </w:rPr>
        <w:t>、</w:t>
      </w:r>
      <w:r>
        <w:rPr>
          <w:rFonts w:eastAsiaTheme="minorEastAsia"/>
          <w:snapToGrid w:val="0"/>
          <w:color w:val="000000" w:themeColor="text1"/>
          <w:kern w:val="0"/>
          <w:sz w:val="28"/>
          <w:szCs w:val="28"/>
        </w:rPr>
        <w:t>《云南省安全生产条例》等法律法规、标准规范的相关要求</w:t>
      </w:r>
      <w:r>
        <w:rPr>
          <w:rFonts w:hint="eastAsia" w:eastAsiaTheme="minorEastAsia"/>
          <w:snapToGrid w:val="0"/>
          <w:color w:val="000000" w:themeColor="text1"/>
          <w:kern w:val="0"/>
          <w:sz w:val="28"/>
          <w:szCs w:val="28"/>
        </w:rPr>
        <w:t>。</w:t>
      </w:r>
    </w:p>
    <w:p>
      <w:pPr>
        <w:spacing w:line="500" w:lineRule="exact"/>
        <w:ind w:firstLine="560" w:firstLineChars="200"/>
        <w:rPr>
          <w:rFonts w:hint="eastAsia" w:ascii="宋体" w:hAnsi="宋体"/>
          <w:color w:val="000000"/>
          <w:sz w:val="28"/>
          <w:szCs w:val="28"/>
        </w:rPr>
      </w:pPr>
      <w:r>
        <w:rPr>
          <w:rFonts w:hint="eastAsia" w:ascii="宋体" w:hAnsi="宋体"/>
          <w:color w:val="000000"/>
          <w:sz w:val="28"/>
          <w:szCs w:val="28"/>
        </w:rPr>
        <w:t>根据《中华人民共和国安全生产法》、《危险化学品安全管理条例》、《危险化学品经营许可证管理办法》、《安全评价通则》及相关规范的要求，评价小组认为昭通市耀晨甲醇醇油有限公司的安全管理制度、从业人员、经营和储存场所、经营储存条件、消防设施等基本符合安全要求。</w:t>
      </w:r>
    </w:p>
    <w:p>
      <w:pPr>
        <w:spacing w:line="500" w:lineRule="exact"/>
        <w:ind w:firstLine="562" w:firstLineChars="200"/>
        <w:rPr>
          <w:snapToGrid w:val="0"/>
          <w:color w:val="000000" w:themeColor="text1"/>
          <w:kern w:val="0"/>
          <w:sz w:val="28"/>
          <w:szCs w:val="28"/>
        </w:rPr>
      </w:pPr>
      <w:r>
        <w:rPr>
          <w:rFonts w:hint="eastAsia" w:ascii="宋体" w:hAnsi="宋体"/>
          <w:b/>
          <w:color w:val="000000"/>
          <w:sz w:val="28"/>
          <w:szCs w:val="28"/>
          <w:lang w:eastAsia="zh-CN"/>
        </w:rPr>
        <w:t>安全现状评价</w:t>
      </w:r>
      <w:r>
        <w:rPr>
          <w:rFonts w:hint="eastAsia" w:ascii="宋体" w:hAnsi="宋体"/>
          <w:b/>
          <w:color w:val="000000"/>
          <w:sz w:val="28"/>
          <w:szCs w:val="28"/>
        </w:rPr>
        <w:t>结论：昭通市耀晨甲醇醇油有限公司的现状符合国家有关安全方面的法律、法规、标准、规程、规章的有关要求，其安全现状符合安全要求</w:t>
      </w:r>
      <w:r>
        <w:rPr>
          <w:snapToGrid w:val="0"/>
          <w:color w:val="000000" w:themeColor="text1"/>
          <w:kern w:val="0"/>
          <w:sz w:val="28"/>
          <w:szCs w:val="28"/>
        </w:rPr>
        <w:t>。</w:t>
      </w:r>
    </w:p>
    <w:p>
      <w:pPr>
        <w:rPr>
          <w:snapToGrid w:val="0"/>
          <w:color w:val="000000" w:themeColor="text1"/>
          <w:kern w:val="0"/>
          <w:sz w:val="28"/>
          <w:szCs w:val="28"/>
        </w:rPr>
      </w:pPr>
      <w:r>
        <w:rPr>
          <w:snapToGrid w:val="0"/>
          <w:color w:val="000000" w:themeColor="text1"/>
          <w:kern w:val="0"/>
          <w:sz w:val="28"/>
          <w:szCs w:val="28"/>
        </w:rPr>
        <w:br w:type="page"/>
      </w:r>
    </w:p>
    <w:p>
      <w:pPr>
        <w:pStyle w:val="19"/>
        <w:spacing w:after="312" w:afterLines="100" w:line="500" w:lineRule="exact"/>
        <w:jc w:val="center"/>
        <w:rPr>
          <w:rFonts w:ascii="楷体_GB2312" w:hAnsi="宋体" w:eastAsia="楷体_GB2312"/>
          <w:color w:val="000000"/>
          <w:kern w:val="3"/>
        </w:rPr>
      </w:pPr>
      <w:bookmarkStart w:id="2121" w:name="_Toc196033084"/>
      <w:bookmarkStart w:id="2122" w:name="_Toc19451_WPSOffice_Level1"/>
      <w:bookmarkStart w:id="2123" w:name="_Toc321068255"/>
      <w:bookmarkStart w:id="2124" w:name="_Toc3357"/>
      <w:bookmarkStart w:id="2125" w:name="_Toc26694228"/>
      <w:bookmarkStart w:id="2126" w:name="_Toc26694551"/>
      <w:r>
        <w:rPr>
          <w:rFonts w:hint="eastAsia" w:ascii="楷体_GB2312" w:hAnsi="宋体" w:eastAsia="楷体_GB2312"/>
          <w:color w:val="000000"/>
          <w:kern w:val="3"/>
        </w:rPr>
        <w:t>第</w:t>
      </w:r>
      <w:r>
        <w:rPr>
          <w:rFonts w:hint="eastAsia" w:ascii="楷体_GB2312" w:hAnsi="宋体" w:eastAsia="楷体_GB2312"/>
          <w:color w:val="000000"/>
          <w:kern w:val="3"/>
          <w:lang w:val="en-US" w:eastAsia="zh-CN"/>
        </w:rPr>
        <w:t>8</w:t>
      </w:r>
      <w:r>
        <w:rPr>
          <w:rFonts w:hint="eastAsia" w:ascii="楷体_GB2312" w:hAnsi="宋体" w:eastAsia="楷体_GB2312"/>
          <w:color w:val="000000"/>
          <w:kern w:val="3"/>
        </w:rPr>
        <w:t>章  与被评价单位交换意见的情况</w:t>
      </w:r>
      <w:bookmarkEnd w:id="2121"/>
      <w:bookmarkEnd w:id="2122"/>
      <w:bookmarkEnd w:id="2123"/>
      <w:bookmarkEnd w:id="2124"/>
    </w:p>
    <w:bookmarkEnd w:id="2125"/>
    <w:bookmarkEnd w:id="2126"/>
    <w:p>
      <w:pPr>
        <w:ind w:firstLine="560" w:firstLineChars="200"/>
        <w:rPr>
          <w:rFonts w:hint="eastAsia" w:ascii="宋体" w:hAnsi="宋体"/>
          <w:color w:val="000000"/>
          <w:sz w:val="28"/>
          <w:szCs w:val="28"/>
        </w:rPr>
      </w:pPr>
      <w:r>
        <w:rPr>
          <w:rFonts w:ascii="宋体" w:hAnsi="宋体"/>
          <w:color w:val="000000"/>
          <w:sz w:val="28"/>
          <w:szCs w:val="28"/>
        </w:rPr>
        <w:t>针对</w:t>
      </w:r>
      <w:r>
        <w:rPr>
          <w:rFonts w:hint="eastAsia"/>
          <w:color w:val="000000" w:themeColor="text1"/>
          <w:sz w:val="28"/>
        </w:rPr>
        <w:t>昭通市耀晨甲醇醇油有限公司</w:t>
      </w:r>
      <w:r>
        <w:rPr>
          <w:rFonts w:ascii="宋体" w:hAnsi="宋体"/>
          <w:color w:val="000000"/>
          <w:sz w:val="28"/>
          <w:szCs w:val="28"/>
        </w:rPr>
        <w:t>存在</w:t>
      </w:r>
      <w:r>
        <w:rPr>
          <w:rFonts w:hint="eastAsia" w:ascii="宋体" w:hAnsi="宋体"/>
          <w:color w:val="000000"/>
          <w:sz w:val="28"/>
          <w:szCs w:val="28"/>
        </w:rPr>
        <w:t>的</w:t>
      </w:r>
      <w:r>
        <w:rPr>
          <w:rFonts w:ascii="宋体" w:hAnsi="宋体"/>
          <w:color w:val="000000"/>
          <w:sz w:val="28"/>
          <w:szCs w:val="28"/>
        </w:rPr>
        <w:t>问题，</w:t>
      </w:r>
      <w:r>
        <w:rPr>
          <w:rFonts w:hint="eastAsia" w:ascii="宋体" w:hAnsi="宋体"/>
          <w:color w:val="000000"/>
          <w:sz w:val="28"/>
          <w:szCs w:val="28"/>
        </w:rPr>
        <w:t>评价组</w:t>
      </w:r>
      <w:r>
        <w:rPr>
          <w:rFonts w:ascii="宋体" w:hAnsi="宋体"/>
          <w:color w:val="000000"/>
          <w:sz w:val="28"/>
          <w:szCs w:val="28"/>
        </w:rPr>
        <w:t>向</w:t>
      </w:r>
      <w:r>
        <w:rPr>
          <w:rFonts w:hint="eastAsia"/>
          <w:color w:val="000000" w:themeColor="text1"/>
          <w:sz w:val="28"/>
        </w:rPr>
        <w:t>昭通市耀晨甲醇醇油有限公司</w:t>
      </w:r>
      <w:r>
        <w:rPr>
          <w:rFonts w:hint="eastAsia" w:ascii="宋体" w:hAnsi="宋体"/>
          <w:color w:val="000000"/>
          <w:sz w:val="28"/>
          <w:szCs w:val="28"/>
        </w:rPr>
        <w:t>发出“整改建议书”，</w:t>
      </w:r>
      <w:r>
        <w:rPr>
          <w:rFonts w:hint="eastAsia"/>
          <w:color w:val="000000" w:themeColor="text1"/>
          <w:sz w:val="28"/>
        </w:rPr>
        <w:t>昭通市耀晨甲醇醇油有限公司</w:t>
      </w:r>
      <w:r>
        <w:rPr>
          <w:rFonts w:hint="eastAsia"/>
          <w:color w:val="000000" w:themeColor="text1"/>
          <w:sz w:val="28"/>
          <w:lang w:val="en-US" w:eastAsia="zh-CN"/>
        </w:rPr>
        <w:t>已对存在问题进行整改，同时昭通市鼎安科技有限公司对</w:t>
      </w:r>
      <w:r>
        <w:rPr>
          <w:rFonts w:hint="eastAsia"/>
          <w:color w:val="000000" w:themeColor="text1"/>
          <w:sz w:val="28"/>
        </w:rPr>
        <w:t>昭通市耀晨甲醇醇油有限公司</w:t>
      </w:r>
      <w:r>
        <w:rPr>
          <w:rFonts w:hint="eastAsia" w:ascii="宋体" w:hAnsi="宋体"/>
          <w:color w:val="000000"/>
          <w:sz w:val="28"/>
          <w:szCs w:val="28"/>
        </w:rPr>
        <w:t>提出下面的改进建议：</w:t>
      </w:r>
    </w:p>
    <w:p>
      <w:pPr>
        <w:ind w:firstLine="570"/>
        <w:rPr>
          <w:rFonts w:hint="eastAsia" w:ascii="宋体" w:hAnsi="宋体" w:cs="宋体"/>
          <w:color w:val="000000"/>
          <w:sz w:val="28"/>
          <w:szCs w:val="21"/>
        </w:rPr>
      </w:pPr>
      <w:r>
        <w:rPr>
          <w:rFonts w:hint="eastAsia" w:ascii="宋体" w:hAnsi="宋体" w:cs="宋体"/>
          <w:color w:val="000000"/>
          <w:sz w:val="28"/>
          <w:szCs w:val="21"/>
        </w:rPr>
        <w:t>1.</w:t>
      </w:r>
      <w:r>
        <w:rPr>
          <w:rFonts w:hint="eastAsia"/>
          <w:color w:val="000000" w:themeColor="text1"/>
          <w:sz w:val="28"/>
        </w:rPr>
        <w:t>昭通市耀晨甲醇醇油有限公司</w:t>
      </w:r>
      <w:r>
        <w:rPr>
          <w:rFonts w:hint="eastAsia"/>
          <w:color w:val="000000" w:themeColor="text1"/>
          <w:sz w:val="28"/>
          <w:lang w:val="en-US" w:eastAsia="zh-CN"/>
        </w:rPr>
        <w:t>未进行标准化创建评审，但</w:t>
      </w:r>
      <w:r>
        <w:rPr>
          <w:rFonts w:hint="eastAsia"/>
          <w:color w:val="000000" w:themeColor="text1"/>
          <w:sz w:val="28"/>
        </w:rPr>
        <w:t>昭通市耀晨甲醇醇油有限公司</w:t>
      </w:r>
      <w:r>
        <w:rPr>
          <w:rFonts w:hint="eastAsia" w:ascii="宋体" w:hAnsi="宋体"/>
          <w:color w:val="000000"/>
          <w:sz w:val="28"/>
          <w:szCs w:val="28"/>
        </w:rPr>
        <w:t>应严格按规范要求</w:t>
      </w:r>
      <w:r>
        <w:rPr>
          <w:rFonts w:ascii="宋体" w:hAnsi="宋体"/>
          <w:color w:val="000000"/>
          <w:sz w:val="28"/>
          <w:szCs w:val="28"/>
        </w:rPr>
        <w:t>《危险化学品从业单位安全标准化通用规范》（AQ3013-2008）</w:t>
      </w:r>
      <w:r>
        <w:rPr>
          <w:rFonts w:hint="eastAsia" w:ascii="宋体" w:hAnsi="宋体"/>
          <w:color w:val="000000"/>
          <w:sz w:val="28"/>
          <w:szCs w:val="28"/>
        </w:rPr>
        <w:t>的要求进行档案台帐建设。</w:t>
      </w:r>
    </w:p>
    <w:p>
      <w:pPr>
        <w:ind w:firstLine="570"/>
        <w:rPr>
          <w:rFonts w:hint="eastAsia" w:ascii="宋体" w:hAnsi="宋体" w:cs="宋体"/>
          <w:color w:val="000000"/>
          <w:sz w:val="28"/>
          <w:szCs w:val="21"/>
        </w:rPr>
      </w:pPr>
      <w:r>
        <w:rPr>
          <w:rFonts w:hint="eastAsia" w:ascii="宋体" w:hAnsi="宋体" w:cs="宋体"/>
          <w:color w:val="000000"/>
          <w:sz w:val="28"/>
          <w:szCs w:val="21"/>
        </w:rPr>
        <w:t>2.认真贯彻落实“一企一标准”安全大检查长效机制工作。</w:t>
      </w:r>
    </w:p>
    <w:p>
      <w:pPr>
        <w:ind w:firstLine="570"/>
        <w:rPr>
          <w:rFonts w:hint="eastAsia" w:ascii="宋体" w:hAnsi="宋体" w:cs="宋体"/>
          <w:color w:val="000000"/>
          <w:sz w:val="28"/>
          <w:szCs w:val="21"/>
        </w:rPr>
      </w:pPr>
      <w:r>
        <w:rPr>
          <w:rFonts w:hint="eastAsia" w:ascii="宋体" w:hAnsi="宋体" w:cs="宋体"/>
          <w:color w:val="000000"/>
          <w:sz w:val="28"/>
          <w:szCs w:val="21"/>
        </w:rPr>
        <w:t>3.昭通市耀晨甲醇醇油有限公司应定期请相关部门对消防设施进行检查，发现问题及时整改。</w:t>
      </w:r>
    </w:p>
    <w:p>
      <w:pPr>
        <w:ind w:firstLine="570"/>
        <w:rPr>
          <w:rFonts w:hint="eastAsia" w:ascii="宋体" w:hAnsi="宋体" w:cs="宋体"/>
          <w:color w:val="000000"/>
          <w:sz w:val="28"/>
          <w:szCs w:val="21"/>
        </w:rPr>
      </w:pPr>
      <w:r>
        <w:rPr>
          <w:rFonts w:hint="eastAsia" w:ascii="宋体" w:hAnsi="宋体" w:cs="宋体"/>
          <w:color w:val="000000"/>
          <w:sz w:val="28"/>
          <w:szCs w:val="21"/>
        </w:rPr>
        <w:t>4.按现行的法律、法规修改完善安全管理制度、各级人员安全职责。</w:t>
      </w:r>
      <w:bookmarkStart w:id="2182" w:name="_GoBack"/>
      <w:bookmarkEnd w:id="2182"/>
    </w:p>
    <w:p>
      <w:pPr>
        <w:ind w:firstLine="570"/>
        <w:rPr>
          <w:rFonts w:hint="default" w:ascii="宋体" w:hAnsi="宋体" w:cs="宋体"/>
          <w:color w:val="000000"/>
          <w:sz w:val="28"/>
          <w:szCs w:val="21"/>
          <w:lang w:val="en-US" w:eastAsia="zh-CN"/>
        </w:rPr>
      </w:pPr>
      <w:r>
        <w:rPr>
          <w:rFonts w:hint="eastAsia" w:ascii="宋体" w:hAnsi="宋体" w:cs="宋体"/>
          <w:color w:val="000000"/>
          <w:sz w:val="28"/>
          <w:szCs w:val="21"/>
          <w:lang w:val="en-US" w:eastAsia="zh-CN"/>
        </w:rPr>
        <w:t>5.公司工作人员较少，但外来车辆及加注甲醇车辆较多，公司应加强外来车辆及人员的安全教育培训。</w:t>
      </w:r>
    </w:p>
    <w:p>
      <w:pPr>
        <w:ind w:firstLine="570"/>
        <w:rPr>
          <w:rFonts w:hint="eastAsia" w:ascii="宋体" w:hAnsi="宋体" w:cs="宋体"/>
          <w:color w:val="000000"/>
          <w:sz w:val="28"/>
          <w:szCs w:val="21"/>
        </w:rPr>
      </w:pPr>
      <w:r>
        <w:rPr>
          <w:rFonts w:hint="eastAsia" w:ascii="宋体" w:hAnsi="宋体" w:cs="宋体"/>
          <w:color w:val="000000"/>
          <w:sz w:val="28"/>
          <w:szCs w:val="21"/>
          <w:lang w:val="en-US" w:eastAsia="zh-CN"/>
        </w:rPr>
        <w:t>6</w:t>
      </w:r>
      <w:r>
        <w:rPr>
          <w:rFonts w:hint="eastAsia" w:ascii="宋体" w:hAnsi="宋体" w:cs="宋体"/>
          <w:color w:val="000000"/>
          <w:sz w:val="28"/>
          <w:szCs w:val="21"/>
        </w:rPr>
        <w:t>.不断完善安全管理制度、补充应急值班制度。</w:t>
      </w:r>
    </w:p>
    <w:p>
      <w:pPr>
        <w:ind w:firstLine="570"/>
        <w:rPr>
          <w:rFonts w:hint="eastAsia" w:ascii="宋体" w:hAnsi="宋体"/>
          <w:color w:val="000000"/>
          <w:sz w:val="28"/>
          <w:szCs w:val="28"/>
        </w:rPr>
      </w:pPr>
      <w:r>
        <w:rPr>
          <w:rFonts w:hint="eastAsia" w:ascii="宋体" w:hAnsi="宋体" w:cs="宋体"/>
          <w:color w:val="000000"/>
          <w:sz w:val="28"/>
          <w:szCs w:val="21"/>
        </w:rPr>
        <w:t>昭通市耀晨甲醇醇油有限公司对评价小组提出的意见和建议基本接受</w:t>
      </w:r>
      <w:r>
        <w:rPr>
          <w:rFonts w:hint="eastAsia" w:ascii="宋体" w:hAnsi="宋体"/>
          <w:color w:val="000000"/>
          <w:sz w:val="28"/>
          <w:szCs w:val="28"/>
        </w:rPr>
        <w:t>。</w:t>
      </w:r>
    </w:p>
    <w:p>
      <w:pPr>
        <w:pStyle w:val="2"/>
      </w:pPr>
    </w:p>
    <w:p>
      <w:pPr>
        <w:keepNext/>
        <w:keepLines/>
        <w:adjustRightInd w:val="0"/>
        <w:snapToGrid w:val="0"/>
        <w:spacing w:line="500" w:lineRule="exact"/>
        <w:jc w:val="center"/>
        <w:outlineLvl w:val="0"/>
        <w:rPr>
          <w:snapToGrid w:val="0"/>
          <w:color w:val="000000" w:themeColor="text1"/>
          <w:kern w:val="0"/>
        </w:rPr>
      </w:pPr>
      <w:r>
        <w:rPr>
          <w:snapToGrid w:val="0"/>
          <w:color w:val="000000" w:themeColor="text1"/>
          <w:kern w:val="0"/>
          <w:sz w:val="28"/>
          <w:szCs w:val="20"/>
        </w:rPr>
        <w:br w:type="page"/>
      </w:r>
      <w:bookmarkStart w:id="2127" w:name="_Toc12856"/>
      <w:bookmarkStart w:id="2128" w:name="_Toc18887"/>
      <w:bookmarkStart w:id="2129" w:name="_Toc12993"/>
      <w:bookmarkStart w:id="2130" w:name="_Toc16112"/>
      <w:bookmarkStart w:id="2131" w:name="_Toc13511"/>
      <w:bookmarkStart w:id="2132" w:name="_Toc23878"/>
      <w:bookmarkStart w:id="2133" w:name="_Toc24294"/>
      <w:bookmarkStart w:id="2134" w:name="_Toc4553"/>
      <w:bookmarkStart w:id="2135" w:name="_Toc21041"/>
      <w:bookmarkStart w:id="2136" w:name="_Toc25079"/>
      <w:bookmarkStart w:id="2137" w:name="_Toc8995_WPSOffice_Level1"/>
      <w:bookmarkStart w:id="2138" w:name="_Toc19249"/>
      <w:bookmarkStart w:id="2139" w:name="_Toc10063"/>
      <w:bookmarkStart w:id="2140" w:name="_Toc5167"/>
      <w:bookmarkStart w:id="2141" w:name="_Toc3589_WPSOffice_Level1"/>
      <w:bookmarkStart w:id="2142" w:name="_Toc24228"/>
      <w:bookmarkStart w:id="2143" w:name="_Toc12347"/>
      <w:r>
        <w:rPr>
          <w:rFonts w:eastAsia="黑体"/>
          <w:b/>
          <w:bCs/>
          <w:snapToGrid w:val="0"/>
          <w:color w:val="000000" w:themeColor="text1"/>
          <w:kern w:val="0"/>
          <w:sz w:val="44"/>
          <w:szCs w:val="44"/>
        </w:rPr>
        <w:t>附件目录</w:t>
      </w:r>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p>
    <w:p>
      <w:pPr>
        <w:tabs>
          <w:tab w:val="center" w:pos="4252"/>
        </w:tabs>
        <w:adjustRightInd w:val="0"/>
        <w:snapToGrid w:val="0"/>
        <w:spacing w:line="500" w:lineRule="exact"/>
        <w:ind w:firstLine="560" w:firstLineChars="200"/>
        <w:rPr>
          <w:rFonts w:hint="eastAsia" w:ascii="宋体" w:hAnsi="宋体"/>
          <w:kern w:val="3"/>
          <w:sz w:val="28"/>
          <w:szCs w:val="28"/>
        </w:rPr>
      </w:pPr>
      <w:bookmarkStart w:id="2144" w:name="_Toc10544_WPSOffice_Level1"/>
      <w:bookmarkStart w:id="2145" w:name="_Toc17971_WPSOffice_Level1"/>
      <w:bookmarkStart w:id="2146" w:name="_Toc23367_WPSOffice_Level1"/>
      <w:r>
        <w:rPr>
          <w:rFonts w:hint="eastAsia" w:ascii="宋体" w:hAnsi="宋体"/>
          <w:kern w:val="3"/>
          <w:sz w:val="28"/>
          <w:szCs w:val="28"/>
          <w:lang w:val="en-US" w:eastAsia="zh-CN"/>
        </w:rPr>
        <w:t>附件一、</w:t>
      </w:r>
      <w:r>
        <w:rPr>
          <w:rFonts w:hint="eastAsia" w:ascii="宋体" w:hAnsi="宋体"/>
          <w:kern w:val="3"/>
          <w:sz w:val="28"/>
          <w:szCs w:val="28"/>
        </w:rPr>
        <w:t>委托书</w:t>
      </w:r>
      <w:bookmarkEnd w:id="2144"/>
      <w:bookmarkEnd w:id="2145"/>
    </w:p>
    <w:p>
      <w:pPr>
        <w:tabs>
          <w:tab w:val="center" w:pos="4252"/>
        </w:tabs>
        <w:adjustRightInd w:val="0"/>
        <w:snapToGrid w:val="0"/>
        <w:spacing w:line="500" w:lineRule="exact"/>
        <w:ind w:firstLine="560" w:firstLineChars="200"/>
        <w:rPr>
          <w:rFonts w:hint="eastAsia" w:ascii="宋体" w:hAnsi="宋体"/>
          <w:kern w:val="3"/>
          <w:sz w:val="28"/>
          <w:szCs w:val="28"/>
        </w:rPr>
      </w:pPr>
      <w:bookmarkStart w:id="2147" w:name="_Toc6105_WPSOffice_Level1"/>
      <w:bookmarkStart w:id="2148" w:name="_Toc30300_WPSOffice_Level1"/>
      <w:r>
        <w:rPr>
          <w:rFonts w:hint="eastAsia" w:ascii="宋体" w:hAnsi="宋体"/>
          <w:kern w:val="3"/>
          <w:sz w:val="28"/>
          <w:szCs w:val="28"/>
          <w:lang w:val="en-US" w:eastAsia="zh-CN"/>
        </w:rPr>
        <w:t>附件二、</w:t>
      </w:r>
      <w:r>
        <w:rPr>
          <w:rFonts w:hint="eastAsia" w:ascii="宋体" w:hAnsi="宋体"/>
          <w:kern w:val="3"/>
          <w:sz w:val="28"/>
          <w:szCs w:val="28"/>
        </w:rPr>
        <w:t>提供材料真实性承诺书</w:t>
      </w:r>
      <w:bookmarkEnd w:id="2147"/>
      <w:bookmarkEnd w:id="2148"/>
    </w:p>
    <w:p>
      <w:pPr>
        <w:tabs>
          <w:tab w:val="center" w:pos="4252"/>
        </w:tabs>
        <w:adjustRightInd w:val="0"/>
        <w:snapToGrid w:val="0"/>
        <w:spacing w:line="500" w:lineRule="exact"/>
        <w:ind w:firstLine="560" w:firstLineChars="200"/>
        <w:rPr>
          <w:rFonts w:hint="eastAsia" w:ascii="宋体" w:hAnsi="宋体"/>
          <w:kern w:val="3"/>
          <w:sz w:val="28"/>
          <w:szCs w:val="28"/>
        </w:rPr>
      </w:pPr>
      <w:bookmarkStart w:id="2149" w:name="_Toc8455_WPSOffice_Level1"/>
      <w:bookmarkStart w:id="2150" w:name="_Toc895_WPSOffice_Level1"/>
      <w:r>
        <w:rPr>
          <w:rFonts w:hint="eastAsia" w:ascii="宋体" w:hAnsi="宋体"/>
          <w:kern w:val="3"/>
          <w:sz w:val="28"/>
          <w:szCs w:val="28"/>
          <w:lang w:val="en-US" w:eastAsia="zh-CN"/>
        </w:rPr>
        <w:t>附件三、</w:t>
      </w:r>
      <w:r>
        <w:rPr>
          <w:rFonts w:hint="eastAsia" w:ascii="宋体" w:hAnsi="宋体"/>
          <w:kern w:val="3"/>
          <w:sz w:val="28"/>
          <w:szCs w:val="28"/>
        </w:rPr>
        <w:t>营业执照</w:t>
      </w:r>
      <w:bookmarkEnd w:id="2146"/>
      <w:bookmarkEnd w:id="2149"/>
      <w:bookmarkEnd w:id="2150"/>
    </w:p>
    <w:p>
      <w:pPr>
        <w:tabs>
          <w:tab w:val="center" w:pos="4252"/>
        </w:tabs>
        <w:adjustRightInd w:val="0"/>
        <w:snapToGrid w:val="0"/>
        <w:spacing w:line="500" w:lineRule="exact"/>
        <w:ind w:firstLine="560" w:firstLineChars="200"/>
        <w:rPr>
          <w:rFonts w:hint="eastAsia" w:ascii="宋体" w:hAnsi="宋体"/>
          <w:kern w:val="3"/>
          <w:sz w:val="28"/>
          <w:szCs w:val="28"/>
        </w:rPr>
      </w:pPr>
      <w:bookmarkStart w:id="2151" w:name="_Toc6654_WPSOffice_Level1"/>
      <w:bookmarkStart w:id="2152" w:name="_Toc3635_WPSOffice_Level1"/>
      <w:bookmarkStart w:id="2153" w:name="_Toc27350_WPSOffice_Level1"/>
      <w:r>
        <w:rPr>
          <w:rFonts w:hint="eastAsia" w:ascii="宋体" w:hAnsi="宋体"/>
          <w:kern w:val="3"/>
          <w:sz w:val="28"/>
          <w:szCs w:val="28"/>
          <w:lang w:val="en-US" w:eastAsia="zh-CN"/>
        </w:rPr>
        <w:t>附件四、</w:t>
      </w:r>
      <w:r>
        <w:rPr>
          <w:rFonts w:hint="eastAsia" w:ascii="宋体" w:hAnsi="宋体"/>
          <w:kern w:val="3"/>
          <w:sz w:val="28"/>
          <w:szCs w:val="28"/>
        </w:rPr>
        <w:t>危化品经营许可证</w:t>
      </w:r>
      <w:bookmarkEnd w:id="2151"/>
      <w:bookmarkEnd w:id="2152"/>
      <w:bookmarkEnd w:id="2153"/>
    </w:p>
    <w:p>
      <w:pPr>
        <w:tabs>
          <w:tab w:val="center" w:pos="4252"/>
        </w:tabs>
        <w:adjustRightInd w:val="0"/>
        <w:snapToGrid w:val="0"/>
        <w:spacing w:line="500" w:lineRule="exact"/>
        <w:ind w:firstLine="560" w:firstLineChars="200"/>
        <w:rPr>
          <w:rFonts w:hint="eastAsia" w:ascii="宋体" w:hAnsi="宋体"/>
          <w:kern w:val="3"/>
          <w:sz w:val="28"/>
          <w:szCs w:val="28"/>
        </w:rPr>
      </w:pPr>
      <w:bookmarkStart w:id="2154" w:name="_Toc617_WPSOffice_Level1"/>
      <w:bookmarkStart w:id="2155" w:name="_Toc1248_WPSOffice_Level1"/>
      <w:bookmarkStart w:id="2156" w:name="_Toc24259_WPSOffice_Level1"/>
      <w:r>
        <w:rPr>
          <w:rFonts w:hint="eastAsia" w:ascii="宋体" w:hAnsi="宋体"/>
          <w:kern w:val="3"/>
          <w:sz w:val="28"/>
          <w:szCs w:val="28"/>
          <w:lang w:val="en-US" w:eastAsia="zh-CN"/>
        </w:rPr>
        <w:t>附件五、</w:t>
      </w:r>
      <w:r>
        <w:rPr>
          <w:rFonts w:hint="eastAsia" w:ascii="宋体" w:hAnsi="宋体"/>
          <w:kern w:val="3"/>
          <w:sz w:val="28"/>
          <w:szCs w:val="28"/>
        </w:rPr>
        <w:t>土地</w:t>
      </w:r>
      <w:bookmarkEnd w:id="2154"/>
      <w:bookmarkEnd w:id="2155"/>
      <w:r>
        <w:rPr>
          <w:rFonts w:hint="eastAsia" w:ascii="宋体" w:hAnsi="宋体"/>
          <w:kern w:val="3"/>
          <w:sz w:val="28"/>
          <w:szCs w:val="28"/>
          <w:lang w:val="en-US" w:eastAsia="zh-CN"/>
        </w:rPr>
        <w:t>使用证明</w:t>
      </w:r>
    </w:p>
    <w:p>
      <w:pPr>
        <w:tabs>
          <w:tab w:val="center" w:pos="4252"/>
        </w:tabs>
        <w:adjustRightInd w:val="0"/>
        <w:snapToGrid w:val="0"/>
        <w:spacing w:line="500" w:lineRule="exact"/>
        <w:ind w:firstLine="560" w:firstLineChars="200"/>
        <w:rPr>
          <w:rFonts w:hint="eastAsia" w:ascii="宋体" w:hAnsi="宋体"/>
          <w:kern w:val="3"/>
          <w:sz w:val="28"/>
          <w:szCs w:val="28"/>
        </w:rPr>
      </w:pPr>
      <w:bookmarkStart w:id="2157" w:name="_Toc16598_WPSOffice_Level1"/>
      <w:bookmarkStart w:id="2158" w:name="_Toc11676_WPSOffice_Level1"/>
      <w:r>
        <w:rPr>
          <w:rFonts w:hint="eastAsia" w:ascii="宋体" w:hAnsi="宋体"/>
          <w:kern w:val="3"/>
          <w:sz w:val="28"/>
          <w:szCs w:val="28"/>
          <w:lang w:val="en-US" w:eastAsia="zh-CN"/>
        </w:rPr>
        <w:t>附件六、</w:t>
      </w:r>
      <w:r>
        <w:rPr>
          <w:rFonts w:hint="eastAsia" w:ascii="宋体" w:hAnsi="宋体"/>
          <w:kern w:val="3"/>
          <w:sz w:val="28"/>
          <w:szCs w:val="28"/>
        </w:rPr>
        <w:t>成立安全领导小组的通知、安全员任命文件</w:t>
      </w:r>
      <w:bookmarkEnd w:id="2156"/>
      <w:bookmarkEnd w:id="2157"/>
      <w:bookmarkEnd w:id="2158"/>
    </w:p>
    <w:p>
      <w:pPr>
        <w:tabs>
          <w:tab w:val="center" w:pos="4252"/>
        </w:tabs>
        <w:adjustRightInd w:val="0"/>
        <w:snapToGrid w:val="0"/>
        <w:spacing w:line="500" w:lineRule="exact"/>
        <w:ind w:firstLine="560" w:firstLineChars="200"/>
        <w:rPr>
          <w:rFonts w:hint="eastAsia" w:ascii="宋体" w:hAnsi="宋体"/>
          <w:kern w:val="3"/>
          <w:sz w:val="28"/>
          <w:szCs w:val="28"/>
        </w:rPr>
      </w:pPr>
      <w:bookmarkStart w:id="2159" w:name="_Toc1585_WPSOffice_Level1"/>
      <w:bookmarkStart w:id="2160" w:name="_Toc1082_WPSOffice_Level1"/>
      <w:bookmarkStart w:id="2161" w:name="_Toc6943_WPSOffice_Level1"/>
      <w:r>
        <w:rPr>
          <w:rFonts w:hint="eastAsia" w:ascii="宋体" w:hAnsi="宋体"/>
          <w:kern w:val="3"/>
          <w:sz w:val="28"/>
          <w:szCs w:val="28"/>
          <w:lang w:val="en-US" w:eastAsia="zh-CN"/>
        </w:rPr>
        <w:t>附件七、</w:t>
      </w:r>
      <w:r>
        <w:rPr>
          <w:rFonts w:hint="eastAsia" w:ascii="宋体" w:hAnsi="宋体"/>
          <w:kern w:val="3"/>
          <w:sz w:val="28"/>
          <w:szCs w:val="28"/>
        </w:rPr>
        <w:t>安全生产责任制、安全管理制度、操作规程封面、目录</w:t>
      </w:r>
      <w:bookmarkEnd w:id="2159"/>
      <w:bookmarkEnd w:id="2160"/>
      <w:bookmarkEnd w:id="2161"/>
    </w:p>
    <w:p>
      <w:pPr>
        <w:tabs>
          <w:tab w:val="center" w:pos="4252"/>
        </w:tabs>
        <w:adjustRightInd w:val="0"/>
        <w:snapToGrid w:val="0"/>
        <w:spacing w:line="500" w:lineRule="exact"/>
        <w:ind w:firstLine="560" w:firstLineChars="200"/>
        <w:rPr>
          <w:rFonts w:hint="eastAsia" w:ascii="宋体" w:hAnsi="宋体"/>
          <w:kern w:val="3"/>
          <w:sz w:val="28"/>
          <w:szCs w:val="28"/>
        </w:rPr>
      </w:pPr>
      <w:bookmarkStart w:id="2162" w:name="_Toc7704_WPSOffice_Level1"/>
      <w:bookmarkStart w:id="2163" w:name="_Toc15536_WPSOffice_Level1"/>
      <w:bookmarkStart w:id="2164" w:name="_Toc4641_WPSOffice_Level1"/>
      <w:r>
        <w:rPr>
          <w:rFonts w:hint="eastAsia" w:ascii="宋体" w:hAnsi="宋体"/>
          <w:kern w:val="3"/>
          <w:sz w:val="28"/>
          <w:szCs w:val="28"/>
          <w:lang w:val="en-US" w:eastAsia="zh-CN"/>
        </w:rPr>
        <w:t>附件八、</w:t>
      </w:r>
      <w:r>
        <w:rPr>
          <w:rFonts w:hint="eastAsia" w:ascii="宋体" w:hAnsi="宋体"/>
          <w:kern w:val="3"/>
          <w:sz w:val="28"/>
          <w:szCs w:val="28"/>
        </w:rPr>
        <w:t>主要负责人、安全员安全合格证</w:t>
      </w:r>
      <w:bookmarkEnd w:id="2162"/>
      <w:bookmarkEnd w:id="2163"/>
      <w:bookmarkEnd w:id="2164"/>
    </w:p>
    <w:p>
      <w:pPr>
        <w:tabs>
          <w:tab w:val="center" w:pos="4252"/>
        </w:tabs>
        <w:adjustRightInd w:val="0"/>
        <w:snapToGrid w:val="0"/>
        <w:spacing w:line="500" w:lineRule="exact"/>
        <w:ind w:firstLine="560" w:firstLineChars="200"/>
        <w:rPr>
          <w:rFonts w:hint="eastAsia" w:ascii="宋体" w:hAnsi="宋体"/>
          <w:kern w:val="3"/>
          <w:sz w:val="28"/>
          <w:szCs w:val="28"/>
        </w:rPr>
      </w:pPr>
      <w:bookmarkStart w:id="2165" w:name="_Toc26945_WPSOffice_Level1"/>
      <w:bookmarkStart w:id="2166" w:name="_Toc8418_WPSOffice_Level1"/>
      <w:bookmarkStart w:id="2167" w:name="_Toc14712_WPSOffice_Level1"/>
      <w:r>
        <w:rPr>
          <w:rFonts w:hint="eastAsia" w:ascii="宋体" w:hAnsi="宋体"/>
          <w:kern w:val="3"/>
          <w:sz w:val="28"/>
          <w:szCs w:val="28"/>
          <w:lang w:val="en-US" w:eastAsia="zh-CN"/>
        </w:rPr>
        <w:t>附件九、</w:t>
      </w:r>
      <w:r>
        <w:rPr>
          <w:rFonts w:hint="eastAsia" w:ascii="宋体" w:hAnsi="宋体"/>
          <w:kern w:val="3"/>
          <w:sz w:val="28"/>
          <w:szCs w:val="28"/>
        </w:rPr>
        <w:t>员工保险</w:t>
      </w:r>
      <w:bookmarkEnd w:id="2165"/>
      <w:bookmarkEnd w:id="2166"/>
      <w:r>
        <w:rPr>
          <w:rFonts w:hint="eastAsia" w:ascii="宋体" w:hAnsi="宋体"/>
          <w:kern w:val="3"/>
          <w:sz w:val="28"/>
          <w:szCs w:val="28"/>
          <w:lang w:eastAsia="zh-CN"/>
        </w:rPr>
        <w:t>（</w:t>
      </w:r>
      <w:r>
        <w:rPr>
          <w:rFonts w:hint="eastAsia" w:ascii="宋体" w:hAnsi="宋体"/>
          <w:kern w:val="3"/>
          <w:sz w:val="28"/>
          <w:szCs w:val="28"/>
          <w:lang w:val="en-US" w:eastAsia="zh-CN"/>
        </w:rPr>
        <w:t>安全生产责任险、工伤保险</w:t>
      </w:r>
      <w:r>
        <w:rPr>
          <w:rFonts w:hint="eastAsia" w:ascii="宋体" w:hAnsi="宋体"/>
          <w:kern w:val="3"/>
          <w:sz w:val="28"/>
          <w:szCs w:val="28"/>
          <w:lang w:eastAsia="zh-CN"/>
        </w:rPr>
        <w:t>）</w:t>
      </w:r>
      <w:bookmarkEnd w:id="2167"/>
    </w:p>
    <w:p>
      <w:pPr>
        <w:tabs>
          <w:tab w:val="center" w:pos="4252"/>
        </w:tabs>
        <w:adjustRightInd w:val="0"/>
        <w:snapToGrid w:val="0"/>
        <w:spacing w:line="500" w:lineRule="exact"/>
        <w:ind w:firstLine="560" w:firstLineChars="200"/>
        <w:rPr>
          <w:rFonts w:hint="eastAsia" w:ascii="宋体" w:hAnsi="宋体"/>
          <w:kern w:val="3"/>
          <w:sz w:val="28"/>
          <w:szCs w:val="28"/>
        </w:rPr>
      </w:pPr>
      <w:bookmarkStart w:id="2168" w:name="_Toc1408_WPSOffice_Level1"/>
      <w:bookmarkStart w:id="2169" w:name="_Toc12334_WPSOffice_Level1"/>
      <w:bookmarkStart w:id="2170" w:name="_Toc27313_WPSOffice_Level1"/>
      <w:r>
        <w:rPr>
          <w:rFonts w:hint="eastAsia" w:ascii="宋体" w:hAnsi="宋体"/>
          <w:kern w:val="3"/>
          <w:sz w:val="28"/>
          <w:szCs w:val="28"/>
          <w:lang w:val="en-US" w:eastAsia="zh-CN"/>
        </w:rPr>
        <w:t>附件十、</w:t>
      </w:r>
      <w:r>
        <w:rPr>
          <w:rFonts w:hint="eastAsia" w:ascii="宋体" w:hAnsi="宋体"/>
          <w:kern w:val="3"/>
          <w:sz w:val="28"/>
          <w:szCs w:val="28"/>
        </w:rPr>
        <w:t>加注机检测报告</w:t>
      </w:r>
      <w:bookmarkEnd w:id="2168"/>
      <w:bookmarkEnd w:id="2169"/>
      <w:bookmarkEnd w:id="2170"/>
    </w:p>
    <w:p>
      <w:pPr>
        <w:tabs>
          <w:tab w:val="center" w:pos="4252"/>
        </w:tabs>
        <w:adjustRightInd w:val="0"/>
        <w:snapToGrid w:val="0"/>
        <w:spacing w:line="500" w:lineRule="exact"/>
        <w:ind w:firstLine="560" w:firstLineChars="200"/>
        <w:rPr>
          <w:rFonts w:hint="eastAsia" w:ascii="宋体" w:hAnsi="宋体"/>
          <w:kern w:val="3"/>
          <w:sz w:val="28"/>
          <w:szCs w:val="28"/>
        </w:rPr>
      </w:pPr>
      <w:bookmarkStart w:id="2171" w:name="_Toc31663_WPSOffice_Level1"/>
      <w:bookmarkStart w:id="2172" w:name="_Toc8604_WPSOffice_Level1"/>
      <w:bookmarkStart w:id="2173" w:name="_Toc24253_WPSOffice_Level1"/>
      <w:r>
        <w:rPr>
          <w:rFonts w:hint="eastAsia" w:ascii="宋体" w:hAnsi="宋体"/>
          <w:kern w:val="3"/>
          <w:sz w:val="28"/>
          <w:szCs w:val="28"/>
          <w:lang w:val="en-US" w:eastAsia="zh-CN"/>
        </w:rPr>
        <w:t>附件十一、日常安全管理台账</w:t>
      </w:r>
      <w:bookmarkEnd w:id="2171"/>
    </w:p>
    <w:p>
      <w:pPr>
        <w:tabs>
          <w:tab w:val="center" w:pos="4252"/>
        </w:tabs>
        <w:adjustRightInd w:val="0"/>
        <w:snapToGrid w:val="0"/>
        <w:spacing w:line="500" w:lineRule="exact"/>
        <w:ind w:firstLine="560" w:firstLineChars="200"/>
        <w:rPr>
          <w:rFonts w:hint="eastAsia" w:ascii="宋体" w:hAnsi="宋体"/>
          <w:kern w:val="3"/>
          <w:sz w:val="28"/>
          <w:szCs w:val="28"/>
        </w:rPr>
      </w:pPr>
      <w:bookmarkStart w:id="2174" w:name="_Toc26874_WPSOffice_Level1"/>
      <w:r>
        <w:rPr>
          <w:rFonts w:hint="eastAsia" w:ascii="宋体" w:hAnsi="宋体"/>
          <w:kern w:val="3"/>
          <w:sz w:val="28"/>
          <w:szCs w:val="28"/>
          <w:lang w:val="en-US" w:eastAsia="zh-CN"/>
        </w:rPr>
        <w:t>附件十二、</w:t>
      </w:r>
      <w:r>
        <w:rPr>
          <w:rFonts w:hint="eastAsia" w:ascii="宋体" w:hAnsi="宋体"/>
          <w:kern w:val="3"/>
          <w:sz w:val="28"/>
          <w:szCs w:val="28"/>
        </w:rPr>
        <w:t>供货方资质复印件</w:t>
      </w:r>
      <w:bookmarkEnd w:id="2172"/>
      <w:bookmarkEnd w:id="2173"/>
      <w:bookmarkEnd w:id="2174"/>
    </w:p>
    <w:p>
      <w:pPr>
        <w:tabs>
          <w:tab w:val="center" w:pos="4252"/>
        </w:tabs>
        <w:adjustRightInd w:val="0"/>
        <w:snapToGrid w:val="0"/>
        <w:spacing w:line="500" w:lineRule="exact"/>
        <w:ind w:firstLine="560" w:firstLineChars="200"/>
        <w:rPr>
          <w:rFonts w:hint="eastAsia" w:ascii="宋体" w:hAnsi="宋体"/>
          <w:kern w:val="3"/>
          <w:sz w:val="28"/>
          <w:szCs w:val="28"/>
        </w:rPr>
      </w:pPr>
      <w:r>
        <w:rPr>
          <w:rFonts w:hint="eastAsia" w:ascii="宋体" w:hAnsi="宋体"/>
          <w:kern w:val="3"/>
          <w:sz w:val="28"/>
          <w:szCs w:val="28"/>
          <w:lang w:val="en-US" w:eastAsia="zh-CN"/>
        </w:rPr>
        <w:t>附件十三、雷电防护装置检测报告</w:t>
      </w:r>
    </w:p>
    <w:p>
      <w:pPr>
        <w:tabs>
          <w:tab w:val="center" w:pos="4252"/>
        </w:tabs>
        <w:adjustRightInd w:val="0"/>
        <w:snapToGrid w:val="0"/>
        <w:spacing w:line="500" w:lineRule="exact"/>
        <w:ind w:firstLine="560" w:firstLineChars="200"/>
        <w:rPr>
          <w:rFonts w:hint="eastAsia" w:ascii="宋体" w:hAnsi="宋体"/>
          <w:kern w:val="3"/>
          <w:sz w:val="28"/>
          <w:szCs w:val="28"/>
        </w:rPr>
      </w:pPr>
      <w:bookmarkStart w:id="2175" w:name="_Toc14216_WPSOffice_Level1"/>
      <w:bookmarkStart w:id="2176" w:name="_Toc18148_WPSOffice_Level1"/>
      <w:bookmarkStart w:id="2177" w:name="_Toc28397_WPSOffice_Level1"/>
      <w:r>
        <w:rPr>
          <w:rFonts w:hint="eastAsia" w:ascii="宋体" w:hAnsi="宋体"/>
          <w:kern w:val="3"/>
          <w:sz w:val="28"/>
          <w:szCs w:val="28"/>
          <w:lang w:val="en-US" w:eastAsia="zh-CN"/>
        </w:rPr>
        <w:t>附件十四、</w:t>
      </w:r>
      <w:r>
        <w:rPr>
          <w:rFonts w:hint="eastAsia" w:ascii="宋体" w:hAnsi="宋体"/>
          <w:kern w:val="3"/>
          <w:sz w:val="28"/>
          <w:szCs w:val="28"/>
        </w:rPr>
        <w:t>隐患整改情况说明</w:t>
      </w:r>
      <w:bookmarkEnd w:id="2175"/>
      <w:bookmarkEnd w:id="2176"/>
      <w:bookmarkEnd w:id="2177"/>
    </w:p>
    <w:p>
      <w:pPr>
        <w:tabs>
          <w:tab w:val="center" w:pos="4252"/>
        </w:tabs>
        <w:adjustRightInd w:val="0"/>
        <w:snapToGrid w:val="0"/>
        <w:spacing w:line="500" w:lineRule="exact"/>
        <w:ind w:firstLine="560" w:firstLineChars="200"/>
        <w:rPr>
          <w:rFonts w:hint="eastAsia" w:ascii="宋体" w:hAnsi="宋体"/>
          <w:kern w:val="3"/>
          <w:sz w:val="28"/>
          <w:szCs w:val="28"/>
        </w:rPr>
      </w:pPr>
      <w:bookmarkStart w:id="2178" w:name="_Toc26865_WPSOffice_Level1"/>
      <w:bookmarkStart w:id="2179" w:name="_Toc30248_WPSOffice_Level1"/>
      <w:bookmarkStart w:id="2180" w:name="_Toc4414_WPSOffice_Level1"/>
      <w:r>
        <w:rPr>
          <w:rFonts w:hint="eastAsia" w:ascii="宋体" w:hAnsi="宋体"/>
          <w:kern w:val="3"/>
          <w:sz w:val="28"/>
          <w:szCs w:val="28"/>
          <w:lang w:val="en-US" w:eastAsia="zh-CN"/>
        </w:rPr>
        <w:t>附件十五、</w:t>
      </w:r>
      <w:r>
        <w:rPr>
          <w:rFonts w:hint="eastAsia" w:ascii="宋体" w:hAnsi="宋体"/>
          <w:kern w:val="3"/>
          <w:sz w:val="28"/>
          <w:szCs w:val="28"/>
        </w:rPr>
        <w:t>应急预案备案登记</w:t>
      </w:r>
      <w:bookmarkEnd w:id="2178"/>
      <w:bookmarkEnd w:id="2179"/>
      <w:r>
        <w:rPr>
          <w:rFonts w:hint="eastAsia" w:ascii="宋体" w:hAnsi="宋体"/>
          <w:kern w:val="3"/>
          <w:sz w:val="28"/>
          <w:szCs w:val="28"/>
          <w:lang w:val="en-US" w:eastAsia="zh-CN"/>
        </w:rPr>
        <w:t>表</w:t>
      </w:r>
      <w:bookmarkEnd w:id="2180"/>
    </w:p>
    <w:p>
      <w:pPr>
        <w:tabs>
          <w:tab w:val="center" w:pos="4252"/>
        </w:tabs>
        <w:adjustRightInd w:val="0"/>
        <w:snapToGrid w:val="0"/>
        <w:spacing w:line="500" w:lineRule="exact"/>
        <w:ind w:firstLine="560" w:firstLineChars="200"/>
        <w:rPr>
          <w:rFonts w:hint="default" w:ascii="宋体" w:hAnsi="宋体"/>
          <w:kern w:val="3"/>
          <w:sz w:val="28"/>
          <w:szCs w:val="28"/>
          <w:lang w:val="en-US"/>
        </w:rPr>
      </w:pPr>
      <w:r>
        <w:rPr>
          <w:rFonts w:hint="eastAsia" w:ascii="宋体" w:hAnsi="宋体"/>
          <w:kern w:val="3"/>
          <w:sz w:val="28"/>
          <w:szCs w:val="28"/>
          <w:lang w:val="en-US" w:eastAsia="zh-CN"/>
        </w:rPr>
        <w:t>附件十六、储罐合格证</w:t>
      </w:r>
    </w:p>
    <w:p>
      <w:pPr>
        <w:tabs>
          <w:tab w:val="center" w:pos="4252"/>
        </w:tabs>
        <w:adjustRightInd w:val="0"/>
        <w:snapToGrid w:val="0"/>
        <w:spacing w:line="500" w:lineRule="exact"/>
        <w:ind w:firstLine="560" w:firstLineChars="200"/>
        <w:rPr>
          <w:rFonts w:hint="default" w:ascii="宋体" w:hAnsi="宋体"/>
          <w:kern w:val="3"/>
          <w:sz w:val="28"/>
          <w:szCs w:val="28"/>
          <w:lang w:val="en-US"/>
        </w:rPr>
      </w:pPr>
      <w:bookmarkStart w:id="2181" w:name="_Toc19547_WPSOffice_Level1"/>
      <w:r>
        <w:rPr>
          <w:rFonts w:hint="eastAsia" w:ascii="宋体" w:hAnsi="宋体"/>
          <w:kern w:val="3"/>
          <w:sz w:val="28"/>
          <w:szCs w:val="28"/>
          <w:lang w:val="en-US" w:eastAsia="zh-CN"/>
        </w:rPr>
        <w:t>附件十七、</w:t>
      </w:r>
      <w:r>
        <w:rPr>
          <w:rFonts w:hint="eastAsia" w:ascii="宋体" w:hAnsi="宋体"/>
          <w:kern w:val="3"/>
          <w:sz w:val="28"/>
          <w:szCs w:val="28"/>
        </w:rPr>
        <w:t>总平面示意图</w:t>
      </w:r>
      <w:bookmarkEnd w:id="2181"/>
    </w:p>
    <w:p>
      <w:pPr>
        <w:adjustRightInd w:val="0"/>
        <w:snapToGrid w:val="0"/>
        <w:spacing w:line="500" w:lineRule="exact"/>
        <w:rPr>
          <w:color w:val="000000" w:themeColor="text1"/>
        </w:rPr>
      </w:pPr>
    </w:p>
    <w:sectPr>
      <w:headerReference r:id="rId5" w:type="default"/>
      <w:footerReference r:id="rId6" w:type="default"/>
      <w:pgSz w:w="11906" w:h="16838"/>
      <w:pgMar w:top="1417" w:right="1134" w:bottom="1134" w:left="1587" w:header="851" w:footer="992" w:gutter="0"/>
      <w:pgNumType w:start="1"/>
      <w:cols w:space="0" w:num="1"/>
      <w:docGrid w:type="lines" w:linePitch="31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2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roman"/>
    <w:pitch w:val="default"/>
    <w:sig w:usb0="00000000" w:usb1="00000000" w:usb2="00000000" w:usb3="00000000" w:csb0="00040000" w:csb1="00000000"/>
  </w:font>
  <w:font w:name="隶书">
    <w:altName w:val="微软雅黑"/>
    <w:panose1 w:val="02010509060101010101"/>
    <w:charset w:val="86"/>
    <w:family w:val="modern"/>
    <w:pitch w:val="default"/>
    <w:sig w:usb0="00000000" w:usb1="00000000" w:usb2="00000000" w:usb3="00000000" w:csb0="00040000" w:csb1="00000000"/>
  </w:font>
  <w:font w:name="Verdana">
    <w:panose1 w:val="020B0604030504040204"/>
    <w:charset w:val="00"/>
    <w:family w:val="swiss"/>
    <w:pitch w:val="default"/>
    <w:sig w:usb0="A00006FF" w:usb1="4000205B" w:usb2="00000010"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新宋体">
    <w:panose1 w:val="02010609030101010101"/>
    <w:charset w:val="86"/>
    <w:family w:val="modern"/>
    <w:pitch w:val="default"/>
    <w:sig w:usb0="00000203" w:usb1="288F0000" w:usb2="00000006" w:usb3="00000000" w:csb0="00040001" w:csb1="00000000"/>
  </w:font>
  <w:font w:name="Tahoma">
    <w:panose1 w:val="020B0604030504040204"/>
    <w:charset w:val="00"/>
    <w:family w:val="swiss"/>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6"/>
      <w:rPr>
        <w:rFonts w:hint="default" w:eastAsia="宋体"/>
        <w:lang w:val="en-US" w:eastAsia="zh-CN"/>
      </w:rPr>
    </w:pPr>
    <w:r>
      <w:rPr>
        <w:rFonts w:hint="eastAsia"/>
        <w:lang w:val="en-US" w:eastAsia="zh-CN"/>
      </w:rPr>
      <w:t>昭通市鼎安科技有限公司</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default" w:eastAsia="宋体"/>
        <w:lang w:val="en-US" w:eastAsia="zh-CN"/>
      </w:rPr>
    </w:pPr>
    <w:r>
      <w:pict>
        <v:shape id="_x0000_s3073" o:spid="_x0000_s3073"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zSVju0AAAAAUBAAAPAAAAAAAAAAEAIAAAACIAAABk&#10;cnMvZG93bnJldi54bWxQSwECFAAUAAAACACHTuJAGoMyvA4CAAAJBAAADgAAAAAAAAABACAAAAAf&#10;AQAAZHJzL2Uyb0RvYy54bWxQSwUGAAAAAAYABgBZAQAAnwUAAAAA&#10;">
          <v:path/>
          <v:fill on="f" focussize="0,0"/>
          <v:stroke on="f" weight="0.5pt" joinstyle="miter"/>
          <v:imagedata o:title=""/>
          <o:lock v:ext="edit"/>
          <v:textbox inset="0mm,0mm,0mm,0mm" style="mso-fit-shape-to-text:t;">
            <w:txbxContent>
              <w:p>
                <w:pPr>
                  <w:pStyle w:val="36"/>
                </w:pPr>
                <w:r>
                  <w:rPr>
                    <w:rFonts w:hint="eastAsia"/>
                  </w:rPr>
                  <w:fldChar w:fldCharType="begin"/>
                </w:r>
                <w:r>
                  <w:rPr>
                    <w:rFonts w:hint="eastAsia"/>
                  </w:rPr>
                  <w:instrText xml:space="preserve"> PAGE  \* MERGEFORMAT </w:instrText>
                </w:r>
                <w:r>
                  <w:rPr>
                    <w:rFonts w:hint="eastAsia"/>
                  </w:rPr>
                  <w:fldChar w:fldCharType="separate"/>
                </w:r>
                <w:r>
                  <w:t>93</w:t>
                </w:r>
                <w:r>
                  <w:rPr>
                    <w:rFonts w:hint="eastAsia"/>
                  </w:rPr>
                  <w:fldChar w:fldCharType="end"/>
                </w:r>
              </w:p>
            </w:txbxContent>
          </v:textbox>
        </v:shape>
      </w:pict>
    </w:r>
    <w:r>
      <w:rPr>
        <w:rFonts w:hint="eastAsia"/>
        <w:lang w:val="en-US" w:eastAsia="zh-CN"/>
      </w:rPr>
      <w:t>昭通市鼎安科技有限公司</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7"/>
      <w:rPr>
        <w:rFonts w:hint="default" w:eastAsia="宋体"/>
        <w:lang w:val="en-US" w:eastAsia="zh-CN"/>
      </w:rPr>
    </w:pPr>
    <w:r>
      <w:rPr>
        <w:rFonts w:hint="eastAsia"/>
        <w:lang w:val="en-US" w:eastAsia="zh-CN"/>
      </w:rPr>
      <w:t>昭通市耀晨甲醇醇油有限公司  安全现状评价</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7"/>
      <w:ind w:left="-1260" w:leftChars="-600" w:right="-1260" w:rightChars="-600" w:firstLine="420" w:firstLineChars="200"/>
      <w:rPr>
        <w:rFonts w:ascii="宋体" w:hAnsi="宋体" w:cs="宋体"/>
        <w:w w:val="90"/>
        <w:sz w:val="21"/>
        <w:szCs w:val="21"/>
      </w:rPr>
    </w:pPr>
    <w:r>
      <w:rPr>
        <w:rFonts w:hint="eastAsia"/>
        <w:snapToGrid w:val="0"/>
        <w:kern w:val="20"/>
        <w:sz w:val="21"/>
        <w:szCs w:val="21"/>
      </w:rPr>
      <w:t xml:space="preserve">昭通市耀晨甲醇醇油有限公司   安全现状评价报告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8E1BC5"/>
    <w:multiLevelType w:val="singleLevel"/>
    <w:tmpl w:val="878E1BC5"/>
    <w:lvl w:ilvl="0" w:tentative="0">
      <w:start w:val="1"/>
      <w:numFmt w:val="decimal"/>
      <w:lvlText w:val="%1."/>
      <w:lvlJc w:val="left"/>
      <w:pPr>
        <w:ind w:left="425" w:hanging="425"/>
      </w:pPr>
      <w:rPr>
        <w:rFonts w:hint="default"/>
      </w:rPr>
    </w:lvl>
  </w:abstractNum>
  <w:abstractNum w:abstractNumId="1">
    <w:nsid w:val="9A957CCA"/>
    <w:multiLevelType w:val="singleLevel"/>
    <w:tmpl w:val="9A957CCA"/>
    <w:lvl w:ilvl="0" w:tentative="0">
      <w:start w:val="1"/>
      <w:numFmt w:val="decimal"/>
      <w:lvlText w:val="%1."/>
      <w:lvlJc w:val="left"/>
      <w:pPr>
        <w:ind w:left="425" w:hanging="425"/>
      </w:pPr>
      <w:rPr>
        <w:rFonts w:hint="default"/>
      </w:rPr>
    </w:lvl>
  </w:abstractNum>
  <w:abstractNum w:abstractNumId="2">
    <w:nsid w:val="AEF6F600"/>
    <w:multiLevelType w:val="singleLevel"/>
    <w:tmpl w:val="AEF6F600"/>
    <w:lvl w:ilvl="0" w:tentative="0">
      <w:start w:val="1"/>
      <w:numFmt w:val="decimal"/>
      <w:suff w:val="nothing"/>
      <w:lvlText w:val="%1．"/>
      <w:lvlJc w:val="left"/>
      <w:pPr>
        <w:ind w:left="0" w:firstLine="400"/>
      </w:pPr>
      <w:rPr>
        <w:rFonts w:hint="default"/>
      </w:rPr>
    </w:lvl>
  </w:abstractNum>
  <w:abstractNum w:abstractNumId="3">
    <w:nsid w:val="CBE9979D"/>
    <w:multiLevelType w:val="singleLevel"/>
    <w:tmpl w:val="CBE9979D"/>
    <w:lvl w:ilvl="0" w:tentative="0">
      <w:start w:val="1"/>
      <w:numFmt w:val="decimal"/>
      <w:suff w:val="nothing"/>
      <w:lvlText w:val="%1．"/>
      <w:lvlJc w:val="left"/>
      <w:pPr>
        <w:ind w:left="0" w:firstLine="400"/>
      </w:pPr>
      <w:rPr>
        <w:rFonts w:hint="default"/>
      </w:rPr>
    </w:lvl>
  </w:abstractNum>
  <w:abstractNum w:abstractNumId="4">
    <w:nsid w:val="CF435151"/>
    <w:multiLevelType w:val="singleLevel"/>
    <w:tmpl w:val="CF435151"/>
    <w:lvl w:ilvl="0" w:tentative="0">
      <w:start w:val="1"/>
      <w:numFmt w:val="decimal"/>
      <w:lvlText w:val="%1."/>
      <w:lvlJc w:val="left"/>
      <w:pPr>
        <w:ind w:left="425" w:hanging="425"/>
      </w:pPr>
      <w:rPr>
        <w:rFonts w:hint="default"/>
      </w:rPr>
    </w:lvl>
  </w:abstractNum>
  <w:abstractNum w:abstractNumId="5">
    <w:nsid w:val="00000008"/>
    <w:multiLevelType w:val="multilevel"/>
    <w:tmpl w:val="00000008"/>
    <w:lvl w:ilvl="0" w:tentative="0">
      <w:start w:val="1"/>
      <w:numFmt w:val="decimal"/>
      <w:lvlText w:val="%1."/>
      <w:lvlJc w:val="left"/>
      <w:pPr>
        <w:tabs>
          <w:tab w:val="left" w:pos="960"/>
        </w:tabs>
        <w:ind w:left="960" w:hanging="420"/>
      </w:pPr>
      <w:rPr>
        <w:rFonts w:hint="default" w:ascii="Times New Roman" w:hAnsi="Times New Roman"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6">
    <w:nsid w:val="00000012"/>
    <w:multiLevelType w:val="singleLevel"/>
    <w:tmpl w:val="00000012"/>
    <w:lvl w:ilvl="0" w:tentative="0">
      <w:start w:val="1"/>
      <w:numFmt w:val="decimal"/>
      <w:suff w:val="nothing"/>
      <w:lvlText w:val="%1."/>
      <w:lvlJc w:val="left"/>
    </w:lvl>
  </w:abstractNum>
  <w:abstractNum w:abstractNumId="7">
    <w:nsid w:val="0000001C"/>
    <w:multiLevelType w:val="multilevel"/>
    <w:tmpl w:val="0000001C"/>
    <w:lvl w:ilvl="0" w:tentative="0">
      <w:start w:val="1"/>
      <w:numFmt w:val="decimal"/>
      <w:lvlText w:val="%1."/>
      <w:lvlJc w:val="left"/>
      <w:pPr>
        <w:tabs>
          <w:tab w:val="left" w:pos="960"/>
        </w:tabs>
        <w:ind w:left="960" w:hanging="420"/>
      </w:pPr>
      <w:rPr>
        <w:rFonts w:cs="Times New Roman"/>
      </w:rPr>
    </w:lvl>
    <w:lvl w:ilvl="1" w:tentative="0">
      <w:start w:val="1"/>
      <w:numFmt w:val="lowerLetter"/>
      <w:lvlText w:val="%2)"/>
      <w:lvlJc w:val="left"/>
      <w:pPr>
        <w:tabs>
          <w:tab w:val="left" w:pos="1275"/>
        </w:tabs>
        <w:ind w:left="1275" w:hanging="420"/>
      </w:pPr>
      <w:rPr>
        <w:rFonts w:cs="Times New Roman"/>
      </w:rPr>
    </w:lvl>
    <w:lvl w:ilvl="2" w:tentative="0">
      <w:start w:val="1"/>
      <w:numFmt w:val="lowerRoman"/>
      <w:lvlText w:val="%3."/>
      <w:lvlJc w:val="right"/>
      <w:pPr>
        <w:tabs>
          <w:tab w:val="left" w:pos="1695"/>
        </w:tabs>
        <w:ind w:left="1695" w:hanging="420"/>
      </w:pPr>
      <w:rPr>
        <w:rFonts w:cs="Times New Roman"/>
      </w:rPr>
    </w:lvl>
    <w:lvl w:ilvl="3" w:tentative="0">
      <w:start w:val="1"/>
      <w:numFmt w:val="decimal"/>
      <w:lvlText w:val="%4."/>
      <w:lvlJc w:val="left"/>
      <w:pPr>
        <w:tabs>
          <w:tab w:val="left" w:pos="2115"/>
        </w:tabs>
        <w:ind w:left="2115" w:hanging="420"/>
      </w:pPr>
      <w:rPr>
        <w:rFonts w:cs="Times New Roman"/>
      </w:rPr>
    </w:lvl>
    <w:lvl w:ilvl="4" w:tentative="0">
      <w:start w:val="1"/>
      <w:numFmt w:val="lowerLetter"/>
      <w:lvlText w:val="%5)"/>
      <w:lvlJc w:val="left"/>
      <w:pPr>
        <w:tabs>
          <w:tab w:val="left" w:pos="2535"/>
        </w:tabs>
        <w:ind w:left="2535" w:hanging="420"/>
      </w:pPr>
      <w:rPr>
        <w:rFonts w:cs="Times New Roman"/>
      </w:rPr>
    </w:lvl>
    <w:lvl w:ilvl="5" w:tentative="0">
      <w:start w:val="1"/>
      <w:numFmt w:val="lowerRoman"/>
      <w:lvlText w:val="%6."/>
      <w:lvlJc w:val="right"/>
      <w:pPr>
        <w:tabs>
          <w:tab w:val="left" w:pos="2955"/>
        </w:tabs>
        <w:ind w:left="2955" w:hanging="420"/>
      </w:pPr>
      <w:rPr>
        <w:rFonts w:cs="Times New Roman"/>
      </w:rPr>
    </w:lvl>
    <w:lvl w:ilvl="6" w:tentative="0">
      <w:start w:val="1"/>
      <w:numFmt w:val="decimal"/>
      <w:lvlText w:val="%7."/>
      <w:lvlJc w:val="left"/>
      <w:pPr>
        <w:tabs>
          <w:tab w:val="left" w:pos="3375"/>
        </w:tabs>
        <w:ind w:left="3375" w:hanging="420"/>
      </w:pPr>
      <w:rPr>
        <w:rFonts w:cs="Times New Roman"/>
      </w:rPr>
    </w:lvl>
    <w:lvl w:ilvl="7" w:tentative="0">
      <w:start w:val="1"/>
      <w:numFmt w:val="lowerLetter"/>
      <w:lvlText w:val="%8)"/>
      <w:lvlJc w:val="left"/>
      <w:pPr>
        <w:tabs>
          <w:tab w:val="left" w:pos="3795"/>
        </w:tabs>
        <w:ind w:left="3795" w:hanging="420"/>
      </w:pPr>
      <w:rPr>
        <w:rFonts w:cs="Times New Roman"/>
      </w:rPr>
    </w:lvl>
    <w:lvl w:ilvl="8" w:tentative="0">
      <w:start w:val="1"/>
      <w:numFmt w:val="lowerRoman"/>
      <w:lvlText w:val="%9."/>
      <w:lvlJc w:val="right"/>
      <w:pPr>
        <w:tabs>
          <w:tab w:val="left" w:pos="4215"/>
        </w:tabs>
        <w:ind w:left="4215" w:hanging="420"/>
      </w:pPr>
      <w:rPr>
        <w:rFonts w:cs="Times New Roman"/>
      </w:rPr>
    </w:lvl>
  </w:abstractNum>
  <w:abstractNum w:abstractNumId="8">
    <w:nsid w:val="0C927334"/>
    <w:multiLevelType w:val="multilevel"/>
    <w:tmpl w:val="0C927334"/>
    <w:lvl w:ilvl="0" w:tentative="0">
      <w:start w:val="1"/>
      <w:numFmt w:val="decimal"/>
      <w:lvlText w:val="%1"/>
      <w:lvlJc w:val="left"/>
      <w:pPr>
        <w:tabs>
          <w:tab w:val="left" w:pos="420"/>
        </w:tabs>
        <w:ind w:left="420" w:hanging="420"/>
      </w:pPr>
      <w:rPr>
        <w:rFonts w:hint="eastAsia"/>
        <w:b w:val="0"/>
      </w:rPr>
    </w:lvl>
    <w:lvl w:ilvl="1" w:tentative="0">
      <w:start w:val="1"/>
      <w:numFmt w:val="lowerLetter"/>
      <w:lvlText w:val="%2)"/>
      <w:lvlJc w:val="left"/>
      <w:pPr>
        <w:tabs>
          <w:tab w:val="left" w:pos="735"/>
        </w:tabs>
        <w:ind w:left="735" w:hanging="420"/>
      </w:pPr>
    </w:lvl>
    <w:lvl w:ilvl="2" w:tentative="0">
      <w:start w:val="1"/>
      <w:numFmt w:val="lowerRoman"/>
      <w:lvlText w:val="%3."/>
      <w:lvlJc w:val="right"/>
      <w:pPr>
        <w:tabs>
          <w:tab w:val="left" w:pos="1155"/>
        </w:tabs>
        <w:ind w:left="1155" w:hanging="420"/>
      </w:pPr>
    </w:lvl>
    <w:lvl w:ilvl="3" w:tentative="0">
      <w:start w:val="1"/>
      <w:numFmt w:val="decimal"/>
      <w:lvlText w:val="%4."/>
      <w:lvlJc w:val="left"/>
      <w:pPr>
        <w:tabs>
          <w:tab w:val="left" w:pos="1575"/>
        </w:tabs>
        <w:ind w:left="1575" w:hanging="420"/>
      </w:pPr>
    </w:lvl>
    <w:lvl w:ilvl="4" w:tentative="0">
      <w:start w:val="1"/>
      <w:numFmt w:val="lowerLetter"/>
      <w:lvlText w:val="%5)"/>
      <w:lvlJc w:val="left"/>
      <w:pPr>
        <w:tabs>
          <w:tab w:val="left" w:pos="1995"/>
        </w:tabs>
        <w:ind w:left="1995" w:hanging="420"/>
      </w:pPr>
    </w:lvl>
    <w:lvl w:ilvl="5" w:tentative="0">
      <w:start w:val="1"/>
      <w:numFmt w:val="lowerRoman"/>
      <w:lvlText w:val="%6."/>
      <w:lvlJc w:val="right"/>
      <w:pPr>
        <w:tabs>
          <w:tab w:val="left" w:pos="2415"/>
        </w:tabs>
        <w:ind w:left="2415" w:hanging="420"/>
      </w:pPr>
    </w:lvl>
    <w:lvl w:ilvl="6" w:tentative="0">
      <w:start w:val="1"/>
      <w:numFmt w:val="decimal"/>
      <w:lvlText w:val="%7."/>
      <w:lvlJc w:val="left"/>
      <w:pPr>
        <w:tabs>
          <w:tab w:val="left" w:pos="2835"/>
        </w:tabs>
        <w:ind w:left="2835" w:hanging="420"/>
      </w:pPr>
    </w:lvl>
    <w:lvl w:ilvl="7" w:tentative="0">
      <w:start w:val="1"/>
      <w:numFmt w:val="lowerLetter"/>
      <w:lvlText w:val="%8)"/>
      <w:lvlJc w:val="left"/>
      <w:pPr>
        <w:tabs>
          <w:tab w:val="left" w:pos="3255"/>
        </w:tabs>
        <w:ind w:left="3255" w:hanging="420"/>
      </w:pPr>
    </w:lvl>
    <w:lvl w:ilvl="8" w:tentative="0">
      <w:start w:val="1"/>
      <w:numFmt w:val="lowerRoman"/>
      <w:lvlText w:val="%9."/>
      <w:lvlJc w:val="right"/>
      <w:pPr>
        <w:tabs>
          <w:tab w:val="left" w:pos="3675"/>
        </w:tabs>
        <w:ind w:left="3675" w:hanging="420"/>
      </w:pPr>
    </w:lvl>
  </w:abstractNum>
  <w:abstractNum w:abstractNumId="9">
    <w:nsid w:val="0DEE1F8B"/>
    <w:multiLevelType w:val="multilevel"/>
    <w:tmpl w:val="0DEE1F8B"/>
    <w:lvl w:ilvl="0" w:tentative="0">
      <w:start w:val="1"/>
      <w:numFmt w:val="none"/>
      <w:suff w:val="nothing"/>
      <w:lvlText w:val="%1"/>
      <w:lvlJc w:val="left"/>
      <w:pPr>
        <w:ind w:left="0" w:firstLine="0"/>
      </w:pPr>
      <w:rPr>
        <w:rFonts w:hint="default" w:ascii="Times New Roman" w:hAnsi="Times New Roman"/>
        <w:b/>
        <w:i w:val="0"/>
        <w:sz w:val="21"/>
      </w:rPr>
    </w:lvl>
    <w:lvl w:ilvl="1" w:tentative="0">
      <w:start w:val="1"/>
      <w:numFmt w:val="decimal"/>
      <w:pStyle w:val="15"/>
      <w:suff w:val="nothing"/>
      <w:lvlText w:val="%1第%2章　"/>
      <w:lvlJc w:val="left"/>
      <w:pPr>
        <w:ind w:left="3100" w:firstLine="680"/>
      </w:pPr>
      <w:rPr>
        <w:rFonts w:hint="eastAsia" w:ascii="黑体" w:hAnsi="Times New Roman" w:eastAsia="黑体"/>
        <w:b w:val="0"/>
        <w:i w:val="0"/>
        <w:sz w:val="32"/>
        <w:szCs w:val="28"/>
      </w:rPr>
    </w:lvl>
    <w:lvl w:ilvl="2" w:tentative="0">
      <w:start w:val="1"/>
      <w:numFmt w:val="decimal"/>
      <w:pStyle w:val="14"/>
      <w:suff w:val="nothing"/>
      <w:lvlText w:val="%1%2.%3　"/>
      <w:lvlJc w:val="left"/>
      <w:pPr>
        <w:ind w:left="0" w:firstLine="0"/>
      </w:pPr>
      <w:rPr>
        <w:rFonts w:hint="eastAsia" w:ascii="黑体" w:hAnsi="Times New Roman" w:eastAsia="黑体"/>
        <w:b w:val="0"/>
        <w:i w:val="0"/>
        <w:sz w:val="28"/>
        <w:szCs w:val="30"/>
      </w:rPr>
    </w:lvl>
    <w:lvl w:ilvl="3" w:tentative="0">
      <w:start w:val="1"/>
      <w:numFmt w:val="decimal"/>
      <w:pStyle w:val="13"/>
      <w:suff w:val="nothing"/>
      <w:lvlText w:val="%1%2.%3.%4　"/>
      <w:lvlJc w:val="left"/>
      <w:pPr>
        <w:ind w:left="0" w:firstLine="0"/>
      </w:pPr>
      <w:rPr>
        <w:rFonts w:hint="eastAsia" w:ascii="黑体" w:hAnsi="Times New Roman" w:eastAsia="黑体"/>
        <w:b w:val="0"/>
        <w:i w:val="0"/>
        <w:sz w:val="28"/>
        <w:szCs w:val="30"/>
      </w:rPr>
    </w:lvl>
    <w:lvl w:ilvl="4" w:tentative="0">
      <w:start w:val="1"/>
      <w:numFmt w:val="decimal"/>
      <w:pStyle w:val="12"/>
      <w:suff w:val="nothing"/>
      <w:lvlText w:val="%1%2.%3.%4.%5　"/>
      <w:lvlJc w:val="left"/>
      <w:pPr>
        <w:ind w:left="0" w:firstLine="0"/>
      </w:pPr>
      <w:rPr>
        <w:rFonts w:hint="eastAsia" w:ascii="黑体" w:hAnsi="Times New Roman" w:eastAsia="黑体"/>
        <w:b w:val="0"/>
        <w:i w:val="0"/>
        <w:sz w:val="30"/>
        <w:szCs w:val="30"/>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0">
    <w:nsid w:val="16D4A11C"/>
    <w:multiLevelType w:val="singleLevel"/>
    <w:tmpl w:val="16D4A11C"/>
    <w:lvl w:ilvl="0" w:tentative="0">
      <w:start w:val="1"/>
      <w:numFmt w:val="decimal"/>
      <w:lvlText w:val="%1."/>
      <w:lvlJc w:val="left"/>
      <w:pPr>
        <w:ind w:left="425" w:hanging="425"/>
      </w:pPr>
      <w:rPr>
        <w:rFonts w:hint="default"/>
      </w:rPr>
    </w:lvl>
  </w:abstractNum>
  <w:abstractNum w:abstractNumId="11">
    <w:nsid w:val="18714BD1"/>
    <w:multiLevelType w:val="singleLevel"/>
    <w:tmpl w:val="18714BD1"/>
    <w:lvl w:ilvl="0" w:tentative="0">
      <w:start w:val="1"/>
      <w:numFmt w:val="decimal"/>
      <w:suff w:val="nothing"/>
      <w:lvlText w:val="%1."/>
      <w:lvlJc w:val="left"/>
    </w:lvl>
  </w:abstractNum>
  <w:abstractNum w:abstractNumId="12">
    <w:nsid w:val="1E901721"/>
    <w:multiLevelType w:val="singleLevel"/>
    <w:tmpl w:val="1E901721"/>
    <w:lvl w:ilvl="0" w:tentative="0">
      <w:start w:val="1"/>
      <w:numFmt w:val="decimal"/>
      <w:suff w:val="nothing"/>
      <w:lvlText w:val="%1．"/>
      <w:lvlJc w:val="left"/>
      <w:pPr>
        <w:ind w:left="0" w:firstLine="400"/>
      </w:pPr>
      <w:rPr>
        <w:rFonts w:hint="default"/>
      </w:rPr>
    </w:lvl>
  </w:abstractNum>
  <w:abstractNum w:abstractNumId="13">
    <w:nsid w:val="22695685"/>
    <w:multiLevelType w:val="multilevel"/>
    <w:tmpl w:val="22695685"/>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4">
    <w:nsid w:val="3FA5709B"/>
    <w:multiLevelType w:val="singleLevel"/>
    <w:tmpl w:val="3FA5709B"/>
    <w:lvl w:ilvl="0" w:tentative="0">
      <w:start w:val="1"/>
      <w:numFmt w:val="decimal"/>
      <w:lvlText w:val="%1."/>
      <w:lvlJc w:val="left"/>
      <w:pPr>
        <w:ind w:left="425" w:hanging="425"/>
      </w:pPr>
      <w:rPr>
        <w:rFonts w:hint="default"/>
      </w:rPr>
    </w:lvl>
  </w:abstractNum>
  <w:abstractNum w:abstractNumId="15">
    <w:nsid w:val="508012A9"/>
    <w:multiLevelType w:val="multilevel"/>
    <w:tmpl w:val="508012A9"/>
    <w:lvl w:ilvl="0" w:tentative="0">
      <w:start w:val="1"/>
      <w:numFmt w:val="decimal"/>
      <w:lvlText w:val="%1"/>
      <w:lvlJc w:val="left"/>
      <w:pPr>
        <w:tabs>
          <w:tab w:val="left" w:pos="533"/>
        </w:tabs>
        <w:ind w:left="533"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6">
    <w:nsid w:val="540918A8"/>
    <w:multiLevelType w:val="singleLevel"/>
    <w:tmpl w:val="540918A8"/>
    <w:lvl w:ilvl="0" w:tentative="0">
      <w:start w:val="1"/>
      <w:numFmt w:val="decimal"/>
      <w:lvlText w:val="%1."/>
      <w:lvlJc w:val="left"/>
      <w:pPr>
        <w:tabs>
          <w:tab w:val="left" w:pos="425"/>
        </w:tabs>
        <w:ind w:left="425" w:hanging="425"/>
      </w:pPr>
      <w:rPr>
        <w:rFonts w:hint="default"/>
      </w:rPr>
    </w:lvl>
  </w:abstractNum>
  <w:abstractNum w:abstractNumId="17">
    <w:nsid w:val="54F51C2D"/>
    <w:multiLevelType w:val="singleLevel"/>
    <w:tmpl w:val="54F51C2D"/>
    <w:lvl w:ilvl="0" w:tentative="0">
      <w:start w:val="1"/>
      <w:numFmt w:val="decimal"/>
      <w:suff w:val="nothing"/>
      <w:lvlText w:val="%1."/>
      <w:lvlJc w:val="left"/>
    </w:lvl>
  </w:abstractNum>
  <w:abstractNum w:abstractNumId="18">
    <w:nsid w:val="54F6A3DC"/>
    <w:multiLevelType w:val="singleLevel"/>
    <w:tmpl w:val="54F6A3DC"/>
    <w:lvl w:ilvl="0" w:tentative="0">
      <w:start w:val="1"/>
      <w:numFmt w:val="decimal"/>
      <w:suff w:val="nothing"/>
      <w:lvlText w:val="%1．"/>
      <w:lvlJc w:val="left"/>
      <w:pPr>
        <w:ind w:left="25" w:firstLine="400"/>
      </w:pPr>
      <w:rPr>
        <w:rFonts w:hint="default"/>
      </w:rPr>
    </w:lvl>
  </w:abstractNum>
  <w:abstractNum w:abstractNumId="19">
    <w:nsid w:val="5507FB54"/>
    <w:multiLevelType w:val="singleLevel"/>
    <w:tmpl w:val="5507FB54"/>
    <w:lvl w:ilvl="0" w:tentative="0">
      <w:start w:val="1"/>
      <w:numFmt w:val="decimal"/>
      <w:suff w:val="nothing"/>
      <w:lvlText w:val="%1."/>
      <w:lvlJc w:val="left"/>
    </w:lvl>
  </w:abstractNum>
  <w:abstractNum w:abstractNumId="20">
    <w:nsid w:val="55082892"/>
    <w:multiLevelType w:val="singleLevel"/>
    <w:tmpl w:val="55082892"/>
    <w:lvl w:ilvl="0" w:tentative="0">
      <w:start w:val="1"/>
      <w:numFmt w:val="decimal"/>
      <w:suff w:val="nothing"/>
      <w:lvlText w:val="%1."/>
      <w:lvlJc w:val="left"/>
    </w:lvl>
  </w:abstractNum>
  <w:abstractNum w:abstractNumId="21">
    <w:nsid w:val="55082B4B"/>
    <w:multiLevelType w:val="singleLevel"/>
    <w:tmpl w:val="55082B4B"/>
    <w:lvl w:ilvl="0" w:tentative="0">
      <w:start w:val="1"/>
      <w:numFmt w:val="decimal"/>
      <w:suff w:val="nothing"/>
      <w:lvlText w:val="%1."/>
      <w:lvlJc w:val="left"/>
    </w:lvl>
  </w:abstractNum>
  <w:abstractNum w:abstractNumId="22">
    <w:nsid w:val="55082E50"/>
    <w:multiLevelType w:val="singleLevel"/>
    <w:tmpl w:val="55082E50"/>
    <w:lvl w:ilvl="0" w:tentative="0">
      <w:start w:val="1"/>
      <w:numFmt w:val="decimal"/>
      <w:suff w:val="nothing"/>
      <w:lvlText w:val="%1."/>
      <w:lvlJc w:val="left"/>
    </w:lvl>
  </w:abstractNum>
  <w:abstractNum w:abstractNumId="23">
    <w:nsid w:val="55083211"/>
    <w:multiLevelType w:val="singleLevel"/>
    <w:tmpl w:val="55083211"/>
    <w:lvl w:ilvl="0" w:tentative="0">
      <w:start w:val="1"/>
      <w:numFmt w:val="decimal"/>
      <w:suff w:val="nothing"/>
      <w:lvlText w:val="%1."/>
      <w:lvlJc w:val="left"/>
    </w:lvl>
  </w:abstractNum>
  <w:abstractNum w:abstractNumId="24">
    <w:nsid w:val="56C2272C"/>
    <w:multiLevelType w:val="singleLevel"/>
    <w:tmpl w:val="56C2272C"/>
    <w:lvl w:ilvl="0" w:tentative="0">
      <w:start w:val="1"/>
      <w:numFmt w:val="decimal"/>
      <w:suff w:val="nothing"/>
      <w:lvlText w:val="%1．"/>
      <w:lvlJc w:val="left"/>
      <w:pPr>
        <w:ind w:left="0" w:firstLine="400"/>
      </w:pPr>
      <w:rPr>
        <w:rFonts w:hint="default"/>
      </w:rPr>
    </w:lvl>
  </w:abstractNum>
  <w:abstractNum w:abstractNumId="25">
    <w:nsid w:val="57D31140"/>
    <w:multiLevelType w:val="multilevel"/>
    <w:tmpl w:val="57D31140"/>
    <w:lvl w:ilvl="0" w:tentative="0">
      <w:start w:val="1"/>
      <w:numFmt w:val="decimal"/>
      <w:lvlText w:val="%1"/>
      <w:lvlJc w:val="left"/>
      <w:pPr>
        <w:tabs>
          <w:tab w:val="left" w:pos="420"/>
        </w:tabs>
        <w:ind w:left="420" w:hanging="420"/>
      </w:pPr>
      <w:rPr>
        <w:rFonts w:hint="eastAsia"/>
        <w:b w:val="0"/>
      </w:rPr>
    </w:lvl>
    <w:lvl w:ilvl="1" w:tentative="0">
      <w:start w:val="1"/>
      <w:numFmt w:val="lowerLetter"/>
      <w:lvlText w:val="%2)"/>
      <w:lvlJc w:val="left"/>
      <w:pPr>
        <w:tabs>
          <w:tab w:val="left" w:pos="735"/>
        </w:tabs>
        <w:ind w:left="735" w:hanging="420"/>
      </w:pPr>
    </w:lvl>
    <w:lvl w:ilvl="2" w:tentative="0">
      <w:start w:val="1"/>
      <w:numFmt w:val="lowerRoman"/>
      <w:lvlText w:val="%3."/>
      <w:lvlJc w:val="right"/>
      <w:pPr>
        <w:tabs>
          <w:tab w:val="left" w:pos="1155"/>
        </w:tabs>
        <w:ind w:left="1155" w:hanging="420"/>
      </w:pPr>
    </w:lvl>
    <w:lvl w:ilvl="3" w:tentative="0">
      <w:start w:val="1"/>
      <w:numFmt w:val="decimal"/>
      <w:lvlText w:val="%4."/>
      <w:lvlJc w:val="left"/>
      <w:pPr>
        <w:tabs>
          <w:tab w:val="left" w:pos="1575"/>
        </w:tabs>
        <w:ind w:left="1575" w:hanging="420"/>
      </w:pPr>
    </w:lvl>
    <w:lvl w:ilvl="4" w:tentative="0">
      <w:start w:val="1"/>
      <w:numFmt w:val="lowerLetter"/>
      <w:lvlText w:val="%5)"/>
      <w:lvlJc w:val="left"/>
      <w:pPr>
        <w:tabs>
          <w:tab w:val="left" w:pos="1995"/>
        </w:tabs>
        <w:ind w:left="1995" w:hanging="420"/>
      </w:pPr>
    </w:lvl>
    <w:lvl w:ilvl="5" w:tentative="0">
      <w:start w:val="1"/>
      <w:numFmt w:val="lowerRoman"/>
      <w:lvlText w:val="%6."/>
      <w:lvlJc w:val="right"/>
      <w:pPr>
        <w:tabs>
          <w:tab w:val="left" w:pos="2415"/>
        </w:tabs>
        <w:ind w:left="2415" w:hanging="420"/>
      </w:pPr>
    </w:lvl>
    <w:lvl w:ilvl="6" w:tentative="0">
      <w:start w:val="1"/>
      <w:numFmt w:val="decimal"/>
      <w:lvlText w:val="%7."/>
      <w:lvlJc w:val="left"/>
      <w:pPr>
        <w:tabs>
          <w:tab w:val="left" w:pos="2835"/>
        </w:tabs>
        <w:ind w:left="2835" w:hanging="420"/>
      </w:pPr>
    </w:lvl>
    <w:lvl w:ilvl="7" w:tentative="0">
      <w:start w:val="1"/>
      <w:numFmt w:val="lowerLetter"/>
      <w:lvlText w:val="%8)"/>
      <w:lvlJc w:val="left"/>
      <w:pPr>
        <w:tabs>
          <w:tab w:val="left" w:pos="3255"/>
        </w:tabs>
        <w:ind w:left="3255" w:hanging="420"/>
      </w:pPr>
    </w:lvl>
    <w:lvl w:ilvl="8" w:tentative="0">
      <w:start w:val="1"/>
      <w:numFmt w:val="lowerRoman"/>
      <w:lvlText w:val="%9."/>
      <w:lvlJc w:val="right"/>
      <w:pPr>
        <w:tabs>
          <w:tab w:val="left" w:pos="3675"/>
        </w:tabs>
        <w:ind w:left="3675" w:hanging="420"/>
      </w:pPr>
    </w:lvl>
  </w:abstractNum>
  <w:abstractNum w:abstractNumId="26">
    <w:nsid w:val="67D51E90"/>
    <w:multiLevelType w:val="multilevel"/>
    <w:tmpl w:val="67D51E90"/>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7">
    <w:nsid w:val="76CB2B29"/>
    <w:multiLevelType w:val="multilevel"/>
    <w:tmpl w:val="76CB2B29"/>
    <w:lvl w:ilvl="0" w:tentative="0">
      <w:start w:val="1"/>
      <w:numFmt w:val="decimal"/>
      <w:lvlText w:val="%1"/>
      <w:lvlJc w:val="left"/>
      <w:pPr>
        <w:tabs>
          <w:tab w:val="left" w:pos="420"/>
        </w:tabs>
        <w:ind w:left="420" w:hanging="420"/>
      </w:pPr>
      <w:rPr>
        <w:rFonts w:hint="eastAsia"/>
        <w:b w:val="0"/>
      </w:rPr>
    </w:lvl>
    <w:lvl w:ilvl="1" w:tentative="0">
      <w:start w:val="1"/>
      <w:numFmt w:val="lowerLetter"/>
      <w:lvlText w:val="%2)"/>
      <w:lvlJc w:val="left"/>
      <w:pPr>
        <w:tabs>
          <w:tab w:val="left" w:pos="735"/>
        </w:tabs>
        <w:ind w:left="735" w:hanging="420"/>
      </w:pPr>
    </w:lvl>
    <w:lvl w:ilvl="2" w:tentative="0">
      <w:start w:val="1"/>
      <w:numFmt w:val="lowerRoman"/>
      <w:lvlText w:val="%3."/>
      <w:lvlJc w:val="right"/>
      <w:pPr>
        <w:tabs>
          <w:tab w:val="left" w:pos="1155"/>
        </w:tabs>
        <w:ind w:left="1155" w:hanging="420"/>
      </w:pPr>
    </w:lvl>
    <w:lvl w:ilvl="3" w:tentative="0">
      <w:start w:val="1"/>
      <w:numFmt w:val="decimal"/>
      <w:lvlText w:val="%4."/>
      <w:lvlJc w:val="left"/>
      <w:pPr>
        <w:tabs>
          <w:tab w:val="left" w:pos="1575"/>
        </w:tabs>
        <w:ind w:left="1575" w:hanging="420"/>
      </w:pPr>
    </w:lvl>
    <w:lvl w:ilvl="4" w:tentative="0">
      <w:start w:val="1"/>
      <w:numFmt w:val="lowerLetter"/>
      <w:lvlText w:val="%5)"/>
      <w:lvlJc w:val="left"/>
      <w:pPr>
        <w:tabs>
          <w:tab w:val="left" w:pos="1995"/>
        </w:tabs>
        <w:ind w:left="1995" w:hanging="420"/>
      </w:pPr>
    </w:lvl>
    <w:lvl w:ilvl="5" w:tentative="0">
      <w:start w:val="1"/>
      <w:numFmt w:val="lowerRoman"/>
      <w:lvlText w:val="%6."/>
      <w:lvlJc w:val="right"/>
      <w:pPr>
        <w:tabs>
          <w:tab w:val="left" w:pos="2415"/>
        </w:tabs>
        <w:ind w:left="2415" w:hanging="420"/>
      </w:pPr>
    </w:lvl>
    <w:lvl w:ilvl="6" w:tentative="0">
      <w:start w:val="1"/>
      <w:numFmt w:val="decimal"/>
      <w:lvlText w:val="%7."/>
      <w:lvlJc w:val="left"/>
      <w:pPr>
        <w:tabs>
          <w:tab w:val="left" w:pos="2835"/>
        </w:tabs>
        <w:ind w:left="2835" w:hanging="420"/>
      </w:pPr>
    </w:lvl>
    <w:lvl w:ilvl="7" w:tentative="0">
      <w:start w:val="1"/>
      <w:numFmt w:val="lowerLetter"/>
      <w:lvlText w:val="%8)"/>
      <w:lvlJc w:val="left"/>
      <w:pPr>
        <w:tabs>
          <w:tab w:val="left" w:pos="3255"/>
        </w:tabs>
        <w:ind w:left="3255" w:hanging="420"/>
      </w:pPr>
    </w:lvl>
    <w:lvl w:ilvl="8" w:tentative="0">
      <w:start w:val="1"/>
      <w:numFmt w:val="lowerRoman"/>
      <w:lvlText w:val="%9."/>
      <w:lvlJc w:val="right"/>
      <w:pPr>
        <w:tabs>
          <w:tab w:val="left" w:pos="3675"/>
        </w:tabs>
        <w:ind w:left="3675" w:hanging="420"/>
      </w:pPr>
    </w:lvl>
  </w:abstractNum>
  <w:num w:numId="1">
    <w:abstractNumId w:val="9"/>
  </w:num>
  <w:num w:numId="2">
    <w:abstractNumId w:val="18"/>
  </w:num>
  <w:num w:numId="3">
    <w:abstractNumId w:val="5"/>
  </w:num>
  <w:num w:numId="4">
    <w:abstractNumId w:val="6"/>
  </w:num>
  <w:num w:numId="5">
    <w:abstractNumId w:val="2"/>
  </w:num>
  <w:num w:numId="6">
    <w:abstractNumId w:val="11"/>
  </w:num>
  <w:num w:numId="7">
    <w:abstractNumId w:val="7"/>
  </w:num>
  <w:num w:numId="8">
    <w:abstractNumId w:val="19"/>
  </w:num>
  <w:num w:numId="9">
    <w:abstractNumId w:val="22"/>
  </w:num>
  <w:num w:numId="10">
    <w:abstractNumId w:val="23"/>
  </w:num>
  <w:num w:numId="11">
    <w:abstractNumId w:val="20"/>
  </w:num>
  <w:num w:numId="12">
    <w:abstractNumId w:val="21"/>
  </w:num>
  <w:num w:numId="13">
    <w:abstractNumId w:val="17"/>
  </w:num>
  <w:num w:numId="14">
    <w:abstractNumId w:val="16"/>
  </w:num>
  <w:num w:numId="15">
    <w:abstractNumId w:val="4"/>
  </w:num>
  <w:num w:numId="16">
    <w:abstractNumId w:val="14"/>
  </w:num>
  <w:num w:numId="17">
    <w:abstractNumId w:val="25"/>
  </w:num>
  <w:num w:numId="18">
    <w:abstractNumId w:val="27"/>
  </w:num>
  <w:num w:numId="19">
    <w:abstractNumId w:val="13"/>
  </w:num>
  <w:num w:numId="20">
    <w:abstractNumId w:val="26"/>
  </w:num>
  <w:num w:numId="21">
    <w:abstractNumId w:val="8"/>
  </w:num>
  <w:num w:numId="22">
    <w:abstractNumId w:val="15"/>
  </w:num>
  <w:num w:numId="23">
    <w:abstractNumId w:val="1"/>
  </w:num>
  <w:num w:numId="24">
    <w:abstractNumId w:val="10"/>
  </w:num>
  <w:num w:numId="25">
    <w:abstractNumId w:val="0"/>
  </w:num>
  <w:num w:numId="26">
    <w:abstractNumId w:val="12"/>
  </w:num>
  <w:num w:numId="27">
    <w:abstractNumId w:val="3"/>
  </w:num>
  <w:num w:numId="2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mirrorMargins w:val="1"/>
  <w:bordersDoNotSurroundHeader w:val="0"/>
  <w:bordersDoNotSurroundFooter w:val="0"/>
  <w:hideSpellingErrors/>
  <w:documentProtection w:enforcement="0"/>
  <w:defaultTabStop w:val="420"/>
  <w:drawingGridHorizontalSpacing w:val="0"/>
  <w:drawingGridVerticalSpacing w:val="158"/>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2A5DAF"/>
    <w:rsid w:val="00004CE6"/>
    <w:rsid w:val="0000660D"/>
    <w:rsid w:val="000068BC"/>
    <w:rsid w:val="00011B88"/>
    <w:rsid w:val="000138B9"/>
    <w:rsid w:val="00017ADD"/>
    <w:rsid w:val="000240AE"/>
    <w:rsid w:val="00024724"/>
    <w:rsid w:val="00025630"/>
    <w:rsid w:val="00034977"/>
    <w:rsid w:val="00036F8B"/>
    <w:rsid w:val="00037846"/>
    <w:rsid w:val="00041772"/>
    <w:rsid w:val="000417C8"/>
    <w:rsid w:val="0004253D"/>
    <w:rsid w:val="0004302E"/>
    <w:rsid w:val="000537E9"/>
    <w:rsid w:val="00060DA8"/>
    <w:rsid w:val="0006205D"/>
    <w:rsid w:val="00062B55"/>
    <w:rsid w:val="00064BD8"/>
    <w:rsid w:val="00067C1D"/>
    <w:rsid w:val="0007016D"/>
    <w:rsid w:val="00071272"/>
    <w:rsid w:val="00071EF4"/>
    <w:rsid w:val="0007269E"/>
    <w:rsid w:val="000777AD"/>
    <w:rsid w:val="0008086A"/>
    <w:rsid w:val="0008133F"/>
    <w:rsid w:val="00083D4E"/>
    <w:rsid w:val="00084C95"/>
    <w:rsid w:val="0008572A"/>
    <w:rsid w:val="000917E9"/>
    <w:rsid w:val="00092764"/>
    <w:rsid w:val="0009304D"/>
    <w:rsid w:val="0009362D"/>
    <w:rsid w:val="00093BA0"/>
    <w:rsid w:val="00095DF8"/>
    <w:rsid w:val="000A276A"/>
    <w:rsid w:val="000A463E"/>
    <w:rsid w:val="000B39C0"/>
    <w:rsid w:val="000B583D"/>
    <w:rsid w:val="000C24D3"/>
    <w:rsid w:val="000C5745"/>
    <w:rsid w:val="000C6012"/>
    <w:rsid w:val="000D6509"/>
    <w:rsid w:val="000E2985"/>
    <w:rsid w:val="000F32FF"/>
    <w:rsid w:val="000F6442"/>
    <w:rsid w:val="001012FA"/>
    <w:rsid w:val="00110962"/>
    <w:rsid w:val="00110EB4"/>
    <w:rsid w:val="00112CD5"/>
    <w:rsid w:val="00112D41"/>
    <w:rsid w:val="001219A8"/>
    <w:rsid w:val="0012456D"/>
    <w:rsid w:val="00126886"/>
    <w:rsid w:val="00127E91"/>
    <w:rsid w:val="001320B1"/>
    <w:rsid w:val="00137848"/>
    <w:rsid w:val="00137CD3"/>
    <w:rsid w:val="00140CD1"/>
    <w:rsid w:val="00140F90"/>
    <w:rsid w:val="0014141E"/>
    <w:rsid w:val="00145973"/>
    <w:rsid w:val="00147811"/>
    <w:rsid w:val="0015211F"/>
    <w:rsid w:val="001578B1"/>
    <w:rsid w:val="00157CCC"/>
    <w:rsid w:val="00161089"/>
    <w:rsid w:val="00162ED7"/>
    <w:rsid w:val="00171F7E"/>
    <w:rsid w:val="00176FBD"/>
    <w:rsid w:val="00177F0E"/>
    <w:rsid w:val="00180CA8"/>
    <w:rsid w:val="00184862"/>
    <w:rsid w:val="00191386"/>
    <w:rsid w:val="001939C0"/>
    <w:rsid w:val="00193B7E"/>
    <w:rsid w:val="001955EF"/>
    <w:rsid w:val="001968AB"/>
    <w:rsid w:val="00197139"/>
    <w:rsid w:val="00197ECF"/>
    <w:rsid w:val="001A0F63"/>
    <w:rsid w:val="001A10E5"/>
    <w:rsid w:val="001A3F22"/>
    <w:rsid w:val="001A5E8B"/>
    <w:rsid w:val="001B1232"/>
    <w:rsid w:val="001B4675"/>
    <w:rsid w:val="001C2A3E"/>
    <w:rsid w:val="001C3858"/>
    <w:rsid w:val="001C5248"/>
    <w:rsid w:val="001D0E12"/>
    <w:rsid w:val="001D7CBA"/>
    <w:rsid w:val="001E0EE4"/>
    <w:rsid w:val="001E36E2"/>
    <w:rsid w:val="001E41B6"/>
    <w:rsid w:val="001E42BF"/>
    <w:rsid w:val="001E5859"/>
    <w:rsid w:val="001F3574"/>
    <w:rsid w:val="0020009C"/>
    <w:rsid w:val="002007CF"/>
    <w:rsid w:val="002015B8"/>
    <w:rsid w:val="002060D6"/>
    <w:rsid w:val="00206A8A"/>
    <w:rsid w:val="00230541"/>
    <w:rsid w:val="0024076D"/>
    <w:rsid w:val="002424D3"/>
    <w:rsid w:val="002444F4"/>
    <w:rsid w:val="002447FD"/>
    <w:rsid w:val="00261449"/>
    <w:rsid w:val="00264602"/>
    <w:rsid w:val="00265A85"/>
    <w:rsid w:val="0027139A"/>
    <w:rsid w:val="00271B57"/>
    <w:rsid w:val="00274059"/>
    <w:rsid w:val="00277A75"/>
    <w:rsid w:val="00280944"/>
    <w:rsid w:val="002814F7"/>
    <w:rsid w:val="00287911"/>
    <w:rsid w:val="0029405E"/>
    <w:rsid w:val="00295829"/>
    <w:rsid w:val="002967D4"/>
    <w:rsid w:val="0029691C"/>
    <w:rsid w:val="00297110"/>
    <w:rsid w:val="002A2ACC"/>
    <w:rsid w:val="002A5DAF"/>
    <w:rsid w:val="002A7CB4"/>
    <w:rsid w:val="002B1929"/>
    <w:rsid w:val="002B5223"/>
    <w:rsid w:val="002B6E8C"/>
    <w:rsid w:val="002C2A70"/>
    <w:rsid w:val="002C4A2A"/>
    <w:rsid w:val="002D3AC3"/>
    <w:rsid w:val="002D69E4"/>
    <w:rsid w:val="002E1AA0"/>
    <w:rsid w:val="002E3AB7"/>
    <w:rsid w:val="002E5F13"/>
    <w:rsid w:val="002E61F2"/>
    <w:rsid w:val="002E780F"/>
    <w:rsid w:val="003024C9"/>
    <w:rsid w:val="00304779"/>
    <w:rsid w:val="00305415"/>
    <w:rsid w:val="003127A8"/>
    <w:rsid w:val="00314E29"/>
    <w:rsid w:val="00316037"/>
    <w:rsid w:val="00316C42"/>
    <w:rsid w:val="00316E2A"/>
    <w:rsid w:val="00316F45"/>
    <w:rsid w:val="00316F6E"/>
    <w:rsid w:val="00317416"/>
    <w:rsid w:val="003207D6"/>
    <w:rsid w:val="0032094A"/>
    <w:rsid w:val="00322793"/>
    <w:rsid w:val="00322D90"/>
    <w:rsid w:val="00335F5D"/>
    <w:rsid w:val="00360580"/>
    <w:rsid w:val="003669A2"/>
    <w:rsid w:val="00373B3D"/>
    <w:rsid w:val="00374150"/>
    <w:rsid w:val="00375F4F"/>
    <w:rsid w:val="0037630E"/>
    <w:rsid w:val="003818A4"/>
    <w:rsid w:val="00386991"/>
    <w:rsid w:val="00386FEC"/>
    <w:rsid w:val="00392ED5"/>
    <w:rsid w:val="003A4D9D"/>
    <w:rsid w:val="003A58E1"/>
    <w:rsid w:val="003A7C8A"/>
    <w:rsid w:val="003A7FE7"/>
    <w:rsid w:val="003B1260"/>
    <w:rsid w:val="003B2A7C"/>
    <w:rsid w:val="003B2F20"/>
    <w:rsid w:val="003B2F60"/>
    <w:rsid w:val="003B4C02"/>
    <w:rsid w:val="003B5263"/>
    <w:rsid w:val="003B56C3"/>
    <w:rsid w:val="003C3091"/>
    <w:rsid w:val="003C5370"/>
    <w:rsid w:val="003C5800"/>
    <w:rsid w:val="003C6E1A"/>
    <w:rsid w:val="003C7C92"/>
    <w:rsid w:val="003C7D1B"/>
    <w:rsid w:val="003D16C3"/>
    <w:rsid w:val="003D5677"/>
    <w:rsid w:val="003D669A"/>
    <w:rsid w:val="003E1B10"/>
    <w:rsid w:val="003E1F2D"/>
    <w:rsid w:val="003E6A53"/>
    <w:rsid w:val="003F4260"/>
    <w:rsid w:val="003F4459"/>
    <w:rsid w:val="003F5A4D"/>
    <w:rsid w:val="00400CDB"/>
    <w:rsid w:val="00414D68"/>
    <w:rsid w:val="004157BB"/>
    <w:rsid w:val="004166F8"/>
    <w:rsid w:val="00420D9B"/>
    <w:rsid w:val="00426C99"/>
    <w:rsid w:val="004355FD"/>
    <w:rsid w:val="00444BB7"/>
    <w:rsid w:val="004517B8"/>
    <w:rsid w:val="00453B46"/>
    <w:rsid w:val="00460E47"/>
    <w:rsid w:val="004630E6"/>
    <w:rsid w:val="0046404A"/>
    <w:rsid w:val="00471E6D"/>
    <w:rsid w:val="004726DE"/>
    <w:rsid w:val="00480B72"/>
    <w:rsid w:val="00492580"/>
    <w:rsid w:val="0049573A"/>
    <w:rsid w:val="004A0860"/>
    <w:rsid w:val="004A13CC"/>
    <w:rsid w:val="004A5B04"/>
    <w:rsid w:val="004B0842"/>
    <w:rsid w:val="004B3CA7"/>
    <w:rsid w:val="004B4CC8"/>
    <w:rsid w:val="004C0494"/>
    <w:rsid w:val="004C51E0"/>
    <w:rsid w:val="004C6BD7"/>
    <w:rsid w:val="004D098A"/>
    <w:rsid w:val="004D77A8"/>
    <w:rsid w:val="004E05C6"/>
    <w:rsid w:val="004E1709"/>
    <w:rsid w:val="004E61C5"/>
    <w:rsid w:val="004E61F6"/>
    <w:rsid w:val="004E65D6"/>
    <w:rsid w:val="004E6633"/>
    <w:rsid w:val="004F11CA"/>
    <w:rsid w:val="004F2D72"/>
    <w:rsid w:val="00500291"/>
    <w:rsid w:val="00501842"/>
    <w:rsid w:val="00503FF6"/>
    <w:rsid w:val="005057BA"/>
    <w:rsid w:val="0050650A"/>
    <w:rsid w:val="00512705"/>
    <w:rsid w:val="005169AB"/>
    <w:rsid w:val="00523AA6"/>
    <w:rsid w:val="00526775"/>
    <w:rsid w:val="00530370"/>
    <w:rsid w:val="005305B3"/>
    <w:rsid w:val="0053387F"/>
    <w:rsid w:val="005341AA"/>
    <w:rsid w:val="0054379F"/>
    <w:rsid w:val="00544C4F"/>
    <w:rsid w:val="005469E1"/>
    <w:rsid w:val="00546EDB"/>
    <w:rsid w:val="00547E9E"/>
    <w:rsid w:val="00551D13"/>
    <w:rsid w:val="00551FFB"/>
    <w:rsid w:val="00553816"/>
    <w:rsid w:val="00561A64"/>
    <w:rsid w:val="00570198"/>
    <w:rsid w:val="0058057B"/>
    <w:rsid w:val="00581F9C"/>
    <w:rsid w:val="00583736"/>
    <w:rsid w:val="005837D4"/>
    <w:rsid w:val="00585FB0"/>
    <w:rsid w:val="00586D27"/>
    <w:rsid w:val="00586DB7"/>
    <w:rsid w:val="00595856"/>
    <w:rsid w:val="005A2AE6"/>
    <w:rsid w:val="005A54A7"/>
    <w:rsid w:val="005A5EB9"/>
    <w:rsid w:val="005A7B92"/>
    <w:rsid w:val="005B12B9"/>
    <w:rsid w:val="005B2780"/>
    <w:rsid w:val="005C72B5"/>
    <w:rsid w:val="005D50BC"/>
    <w:rsid w:val="005E539F"/>
    <w:rsid w:val="005F3071"/>
    <w:rsid w:val="005F3925"/>
    <w:rsid w:val="006006BD"/>
    <w:rsid w:val="00603ECB"/>
    <w:rsid w:val="00604116"/>
    <w:rsid w:val="006044A9"/>
    <w:rsid w:val="00613A83"/>
    <w:rsid w:val="00617005"/>
    <w:rsid w:val="00617753"/>
    <w:rsid w:val="00622520"/>
    <w:rsid w:val="00623D68"/>
    <w:rsid w:val="00624E24"/>
    <w:rsid w:val="0062647F"/>
    <w:rsid w:val="00633341"/>
    <w:rsid w:val="00633483"/>
    <w:rsid w:val="0063349D"/>
    <w:rsid w:val="006338DF"/>
    <w:rsid w:val="00645E0D"/>
    <w:rsid w:val="00647DBF"/>
    <w:rsid w:val="00652345"/>
    <w:rsid w:val="00653C99"/>
    <w:rsid w:val="006548D7"/>
    <w:rsid w:val="006552D3"/>
    <w:rsid w:val="00656F42"/>
    <w:rsid w:val="00662619"/>
    <w:rsid w:val="00662765"/>
    <w:rsid w:val="00663E1C"/>
    <w:rsid w:val="00664C9C"/>
    <w:rsid w:val="006701B3"/>
    <w:rsid w:val="0067324A"/>
    <w:rsid w:val="00682CF4"/>
    <w:rsid w:val="00684776"/>
    <w:rsid w:val="006848CA"/>
    <w:rsid w:val="006A1BDC"/>
    <w:rsid w:val="006A2D00"/>
    <w:rsid w:val="006A383F"/>
    <w:rsid w:val="006A6430"/>
    <w:rsid w:val="006B0060"/>
    <w:rsid w:val="006B0808"/>
    <w:rsid w:val="006B4600"/>
    <w:rsid w:val="006B4748"/>
    <w:rsid w:val="006C113B"/>
    <w:rsid w:val="006C53C8"/>
    <w:rsid w:val="006C5473"/>
    <w:rsid w:val="006C7519"/>
    <w:rsid w:val="006C7830"/>
    <w:rsid w:val="006E0A4D"/>
    <w:rsid w:val="006E1EF9"/>
    <w:rsid w:val="006E7E81"/>
    <w:rsid w:val="006F04B1"/>
    <w:rsid w:val="006F6249"/>
    <w:rsid w:val="007110C7"/>
    <w:rsid w:val="007222F0"/>
    <w:rsid w:val="00724073"/>
    <w:rsid w:val="007278A4"/>
    <w:rsid w:val="007318D0"/>
    <w:rsid w:val="00731CFA"/>
    <w:rsid w:val="00734A48"/>
    <w:rsid w:val="0073519D"/>
    <w:rsid w:val="00741A16"/>
    <w:rsid w:val="00741AC2"/>
    <w:rsid w:val="00741DE3"/>
    <w:rsid w:val="00742F51"/>
    <w:rsid w:val="007557FA"/>
    <w:rsid w:val="00762FAA"/>
    <w:rsid w:val="0076455B"/>
    <w:rsid w:val="00765102"/>
    <w:rsid w:val="007654BF"/>
    <w:rsid w:val="00765546"/>
    <w:rsid w:val="00767CF9"/>
    <w:rsid w:val="00774413"/>
    <w:rsid w:val="007744D4"/>
    <w:rsid w:val="00776B8A"/>
    <w:rsid w:val="00777E6E"/>
    <w:rsid w:val="007803CE"/>
    <w:rsid w:val="00783560"/>
    <w:rsid w:val="00783AD7"/>
    <w:rsid w:val="00785FE1"/>
    <w:rsid w:val="0079063F"/>
    <w:rsid w:val="00793277"/>
    <w:rsid w:val="00796E7F"/>
    <w:rsid w:val="007A3FB0"/>
    <w:rsid w:val="007A6B06"/>
    <w:rsid w:val="007B02D5"/>
    <w:rsid w:val="007B3161"/>
    <w:rsid w:val="007B3E10"/>
    <w:rsid w:val="007C4527"/>
    <w:rsid w:val="007D5A55"/>
    <w:rsid w:val="007D5EE0"/>
    <w:rsid w:val="007D7E3E"/>
    <w:rsid w:val="007E5437"/>
    <w:rsid w:val="007F4807"/>
    <w:rsid w:val="007F5EDE"/>
    <w:rsid w:val="007F652E"/>
    <w:rsid w:val="0080124D"/>
    <w:rsid w:val="008057B9"/>
    <w:rsid w:val="00810462"/>
    <w:rsid w:val="008108E3"/>
    <w:rsid w:val="00811830"/>
    <w:rsid w:val="008127DF"/>
    <w:rsid w:val="00813B67"/>
    <w:rsid w:val="00813E02"/>
    <w:rsid w:val="00813F11"/>
    <w:rsid w:val="00817EA0"/>
    <w:rsid w:val="00820BB4"/>
    <w:rsid w:val="00822028"/>
    <w:rsid w:val="00822F19"/>
    <w:rsid w:val="00824F81"/>
    <w:rsid w:val="00830F9C"/>
    <w:rsid w:val="008346B4"/>
    <w:rsid w:val="00835BF6"/>
    <w:rsid w:val="00840BA6"/>
    <w:rsid w:val="00841131"/>
    <w:rsid w:val="00841232"/>
    <w:rsid w:val="008441E1"/>
    <w:rsid w:val="0085122F"/>
    <w:rsid w:val="00851A47"/>
    <w:rsid w:val="00852D26"/>
    <w:rsid w:val="00861C90"/>
    <w:rsid w:val="00870EF1"/>
    <w:rsid w:val="00871880"/>
    <w:rsid w:val="00885ECB"/>
    <w:rsid w:val="00892497"/>
    <w:rsid w:val="008957D9"/>
    <w:rsid w:val="008A050A"/>
    <w:rsid w:val="008A563C"/>
    <w:rsid w:val="008A7081"/>
    <w:rsid w:val="008C4C81"/>
    <w:rsid w:val="008C5158"/>
    <w:rsid w:val="008D2638"/>
    <w:rsid w:val="008D288F"/>
    <w:rsid w:val="008D50F3"/>
    <w:rsid w:val="008D7179"/>
    <w:rsid w:val="008D770D"/>
    <w:rsid w:val="008E5C73"/>
    <w:rsid w:val="008E6414"/>
    <w:rsid w:val="008F0069"/>
    <w:rsid w:val="008F4B78"/>
    <w:rsid w:val="008F59F4"/>
    <w:rsid w:val="008F6C22"/>
    <w:rsid w:val="00903246"/>
    <w:rsid w:val="00903978"/>
    <w:rsid w:val="00906279"/>
    <w:rsid w:val="00906F20"/>
    <w:rsid w:val="009139B7"/>
    <w:rsid w:val="00916D13"/>
    <w:rsid w:val="00920975"/>
    <w:rsid w:val="00923192"/>
    <w:rsid w:val="00932F92"/>
    <w:rsid w:val="00946F79"/>
    <w:rsid w:val="00947060"/>
    <w:rsid w:val="00950BCA"/>
    <w:rsid w:val="00950E1B"/>
    <w:rsid w:val="00964055"/>
    <w:rsid w:val="00970F84"/>
    <w:rsid w:val="009716AB"/>
    <w:rsid w:val="00972140"/>
    <w:rsid w:val="00974CA4"/>
    <w:rsid w:val="00976D54"/>
    <w:rsid w:val="009872DF"/>
    <w:rsid w:val="009909B0"/>
    <w:rsid w:val="00994FAE"/>
    <w:rsid w:val="00996DCA"/>
    <w:rsid w:val="009A1592"/>
    <w:rsid w:val="009A3248"/>
    <w:rsid w:val="009A69FA"/>
    <w:rsid w:val="009A6C04"/>
    <w:rsid w:val="009B06D9"/>
    <w:rsid w:val="009B0892"/>
    <w:rsid w:val="009B2178"/>
    <w:rsid w:val="009B7356"/>
    <w:rsid w:val="009C1A95"/>
    <w:rsid w:val="009C4AA4"/>
    <w:rsid w:val="009C7B61"/>
    <w:rsid w:val="009D0194"/>
    <w:rsid w:val="009D5887"/>
    <w:rsid w:val="009D7208"/>
    <w:rsid w:val="009E1CB9"/>
    <w:rsid w:val="009E549E"/>
    <w:rsid w:val="00A06B1F"/>
    <w:rsid w:val="00A17E13"/>
    <w:rsid w:val="00A24AA0"/>
    <w:rsid w:val="00A32465"/>
    <w:rsid w:val="00A333B0"/>
    <w:rsid w:val="00A35FBE"/>
    <w:rsid w:val="00A37664"/>
    <w:rsid w:val="00A45EB9"/>
    <w:rsid w:val="00A47102"/>
    <w:rsid w:val="00A47A4B"/>
    <w:rsid w:val="00A5102D"/>
    <w:rsid w:val="00A53E5E"/>
    <w:rsid w:val="00A6133F"/>
    <w:rsid w:val="00A66F1B"/>
    <w:rsid w:val="00A71E62"/>
    <w:rsid w:val="00A7469E"/>
    <w:rsid w:val="00A749E5"/>
    <w:rsid w:val="00A854CA"/>
    <w:rsid w:val="00A85A95"/>
    <w:rsid w:val="00A90986"/>
    <w:rsid w:val="00A91277"/>
    <w:rsid w:val="00A91EC7"/>
    <w:rsid w:val="00A94A0C"/>
    <w:rsid w:val="00A962C0"/>
    <w:rsid w:val="00A96F18"/>
    <w:rsid w:val="00A97425"/>
    <w:rsid w:val="00AA6183"/>
    <w:rsid w:val="00AB104B"/>
    <w:rsid w:val="00AB4964"/>
    <w:rsid w:val="00AB6235"/>
    <w:rsid w:val="00AC055F"/>
    <w:rsid w:val="00AC59A4"/>
    <w:rsid w:val="00AD6873"/>
    <w:rsid w:val="00AD6A09"/>
    <w:rsid w:val="00AD7338"/>
    <w:rsid w:val="00B0554A"/>
    <w:rsid w:val="00B073C0"/>
    <w:rsid w:val="00B13426"/>
    <w:rsid w:val="00B15060"/>
    <w:rsid w:val="00B15242"/>
    <w:rsid w:val="00B20473"/>
    <w:rsid w:val="00B220A4"/>
    <w:rsid w:val="00B222A5"/>
    <w:rsid w:val="00B22B15"/>
    <w:rsid w:val="00B263FC"/>
    <w:rsid w:val="00B268CE"/>
    <w:rsid w:val="00B34077"/>
    <w:rsid w:val="00B34704"/>
    <w:rsid w:val="00B412B7"/>
    <w:rsid w:val="00B52CE3"/>
    <w:rsid w:val="00B53E07"/>
    <w:rsid w:val="00B54863"/>
    <w:rsid w:val="00B56F54"/>
    <w:rsid w:val="00B5734B"/>
    <w:rsid w:val="00B61D5F"/>
    <w:rsid w:val="00B637FB"/>
    <w:rsid w:val="00B639A0"/>
    <w:rsid w:val="00B650A3"/>
    <w:rsid w:val="00B6564E"/>
    <w:rsid w:val="00B66347"/>
    <w:rsid w:val="00B70EB3"/>
    <w:rsid w:val="00B713F1"/>
    <w:rsid w:val="00B7344A"/>
    <w:rsid w:val="00B83E8F"/>
    <w:rsid w:val="00B86138"/>
    <w:rsid w:val="00B91E1D"/>
    <w:rsid w:val="00B93BDF"/>
    <w:rsid w:val="00BA1059"/>
    <w:rsid w:val="00BA16E6"/>
    <w:rsid w:val="00BA174E"/>
    <w:rsid w:val="00BA18E6"/>
    <w:rsid w:val="00BA29BF"/>
    <w:rsid w:val="00BA2C16"/>
    <w:rsid w:val="00BA4247"/>
    <w:rsid w:val="00BA7D43"/>
    <w:rsid w:val="00BB1857"/>
    <w:rsid w:val="00BB3137"/>
    <w:rsid w:val="00BB66C8"/>
    <w:rsid w:val="00BC4EAF"/>
    <w:rsid w:val="00BC53E1"/>
    <w:rsid w:val="00BD0E3D"/>
    <w:rsid w:val="00BD1953"/>
    <w:rsid w:val="00BD2CB6"/>
    <w:rsid w:val="00BE2F56"/>
    <w:rsid w:val="00BE362E"/>
    <w:rsid w:val="00BE3806"/>
    <w:rsid w:val="00BE4919"/>
    <w:rsid w:val="00BE74B2"/>
    <w:rsid w:val="00BF0359"/>
    <w:rsid w:val="00BF1064"/>
    <w:rsid w:val="00C04D8F"/>
    <w:rsid w:val="00C072AC"/>
    <w:rsid w:val="00C14086"/>
    <w:rsid w:val="00C26E37"/>
    <w:rsid w:val="00C27340"/>
    <w:rsid w:val="00C33D75"/>
    <w:rsid w:val="00C34DFC"/>
    <w:rsid w:val="00C35FB2"/>
    <w:rsid w:val="00C36174"/>
    <w:rsid w:val="00C376BD"/>
    <w:rsid w:val="00C40C7D"/>
    <w:rsid w:val="00C45227"/>
    <w:rsid w:val="00C4779D"/>
    <w:rsid w:val="00C47BF4"/>
    <w:rsid w:val="00C50C4E"/>
    <w:rsid w:val="00C520AF"/>
    <w:rsid w:val="00C5748A"/>
    <w:rsid w:val="00C60876"/>
    <w:rsid w:val="00C63194"/>
    <w:rsid w:val="00C66886"/>
    <w:rsid w:val="00C67B8E"/>
    <w:rsid w:val="00C702D6"/>
    <w:rsid w:val="00C741ED"/>
    <w:rsid w:val="00C749C5"/>
    <w:rsid w:val="00C74D60"/>
    <w:rsid w:val="00C82A7F"/>
    <w:rsid w:val="00C8402C"/>
    <w:rsid w:val="00C86A98"/>
    <w:rsid w:val="00C87155"/>
    <w:rsid w:val="00C95E3D"/>
    <w:rsid w:val="00C97177"/>
    <w:rsid w:val="00CA2E61"/>
    <w:rsid w:val="00CA4D80"/>
    <w:rsid w:val="00CA5568"/>
    <w:rsid w:val="00CB1BBC"/>
    <w:rsid w:val="00CB2347"/>
    <w:rsid w:val="00CB40BB"/>
    <w:rsid w:val="00CC6E77"/>
    <w:rsid w:val="00CD224B"/>
    <w:rsid w:val="00CD4AF0"/>
    <w:rsid w:val="00CD5603"/>
    <w:rsid w:val="00CD577A"/>
    <w:rsid w:val="00CD76D2"/>
    <w:rsid w:val="00CE1A04"/>
    <w:rsid w:val="00CE5496"/>
    <w:rsid w:val="00CE57B3"/>
    <w:rsid w:val="00CF20BB"/>
    <w:rsid w:val="00CF434E"/>
    <w:rsid w:val="00D03D73"/>
    <w:rsid w:val="00D0562B"/>
    <w:rsid w:val="00D06BE9"/>
    <w:rsid w:val="00D1765A"/>
    <w:rsid w:val="00D304DD"/>
    <w:rsid w:val="00D324A2"/>
    <w:rsid w:val="00D3322D"/>
    <w:rsid w:val="00D40EE4"/>
    <w:rsid w:val="00D43691"/>
    <w:rsid w:val="00D43D08"/>
    <w:rsid w:val="00D46AFC"/>
    <w:rsid w:val="00D5210D"/>
    <w:rsid w:val="00D5219F"/>
    <w:rsid w:val="00D5772D"/>
    <w:rsid w:val="00D608F0"/>
    <w:rsid w:val="00D61F72"/>
    <w:rsid w:val="00D620AE"/>
    <w:rsid w:val="00D64A9B"/>
    <w:rsid w:val="00D72299"/>
    <w:rsid w:val="00D724A7"/>
    <w:rsid w:val="00D73BCB"/>
    <w:rsid w:val="00D753BB"/>
    <w:rsid w:val="00D831DD"/>
    <w:rsid w:val="00D84AB6"/>
    <w:rsid w:val="00D85541"/>
    <w:rsid w:val="00D90965"/>
    <w:rsid w:val="00D955BE"/>
    <w:rsid w:val="00DA0D71"/>
    <w:rsid w:val="00DA2277"/>
    <w:rsid w:val="00DA47D5"/>
    <w:rsid w:val="00DA5076"/>
    <w:rsid w:val="00DA55A5"/>
    <w:rsid w:val="00DC2A61"/>
    <w:rsid w:val="00DC615F"/>
    <w:rsid w:val="00DD0188"/>
    <w:rsid w:val="00DD0704"/>
    <w:rsid w:val="00DD3470"/>
    <w:rsid w:val="00DD457C"/>
    <w:rsid w:val="00DD4EDB"/>
    <w:rsid w:val="00DE3B72"/>
    <w:rsid w:val="00DE70B2"/>
    <w:rsid w:val="00DF539F"/>
    <w:rsid w:val="00E00E7B"/>
    <w:rsid w:val="00E022F1"/>
    <w:rsid w:val="00E03AD5"/>
    <w:rsid w:val="00E05D3B"/>
    <w:rsid w:val="00E1341B"/>
    <w:rsid w:val="00E13A02"/>
    <w:rsid w:val="00E14E71"/>
    <w:rsid w:val="00E16A04"/>
    <w:rsid w:val="00E21F8B"/>
    <w:rsid w:val="00E222EF"/>
    <w:rsid w:val="00E329AE"/>
    <w:rsid w:val="00E3330B"/>
    <w:rsid w:val="00E43ABF"/>
    <w:rsid w:val="00E52887"/>
    <w:rsid w:val="00E569E3"/>
    <w:rsid w:val="00E5731A"/>
    <w:rsid w:val="00E605BD"/>
    <w:rsid w:val="00E764F9"/>
    <w:rsid w:val="00E82597"/>
    <w:rsid w:val="00E8288F"/>
    <w:rsid w:val="00E86E21"/>
    <w:rsid w:val="00E879A3"/>
    <w:rsid w:val="00E9096E"/>
    <w:rsid w:val="00EB16EF"/>
    <w:rsid w:val="00EB1A6F"/>
    <w:rsid w:val="00EB1FAC"/>
    <w:rsid w:val="00EB3568"/>
    <w:rsid w:val="00EC1275"/>
    <w:rsid w:val="00EC2B41"/>
    <w:rsid w:val="00EC3533"/>
    <w:rsid w:val="00ED0235"/>
    <w:rsid w:val="00ED19A5"/>
    <w:rsid w:val="00ED1AA0"/>
    <w:rsid w:val="00ED2112"/>
    <w:rsid w:val="00ED3193"/>
    <w:rsid w:val="00ED5C4B"/>
    <w:rsid w:val="00ED6481"/>
    <w:rsid w:val="00EE20C0"/>
    <w:rsid w:val="00EE4418"/>
    <w:rsid w:val="00EE5BAC"/>
    <w:rsid w:val="00EE6CFC"/>
    <w:rsid w:val="00EF4E1C"/>
    <w:rsid w:val="00EF7518"/>
    <w:rsid w:val="00F0387C"/>
    <w:rsid w:val="00F04485"/>
    <w:rsid w:val="00F049BB"/>
    <w:rsid w:val="00F0522C"/>
    <w:rsid w:val="00F0620C"/>
    <w:rsid w:val="00F0679D"/>
    <w:rsid w:val="00F07672"/>
    <w:rsid w:val="00F1088F"/>
    <w:rsid w:val="00F234EE"/>
    <w:rsid w:val="00F24612"/>
    <w:rsid w:val="00F25C9C"/>
    <w:rsid w:val="00F30FDE"/>
    <w:rsid w:val="00F32A52"/>
    <w:rsid w:val="00F43613"/>
    <w:rsid w:val="00F44171"/>
    <w:rsid w:val="00F454C4"/>
    <w:rsid w:val="00F45D98"/>
    <w:rsid w:val="00F46D26"/>
    <w:rsid w:val="00F50A4A"/>
    <w:rsid w:val="00F604B6"/>
    <w:rsid w:val="00F63F75"/>
    <w:rsid w:val="00F6532C"/>
    <w:rsid w:val="00F66674"/>
    <w:rsid w:val="00F77407"/>
    <w:rsid w:val="00F81B80"/>
    <w:rsid w:val="00F82C4F"/>
    <w:rsid w:val="00F85935"/>
    <w:rsid w:val="00F86ED8"/>
    <w:rsid w:val="00F92229"/>
    <w:rsid w:val="00F9315F"/>
    <w:rsid w:val="00F935A8"/>
    <w:rsid w:val="00F961BD"/>
    <w:rsid w:val="00F97CFB"/>
    <w:rsid w:val="00FA1C58"/>
    <w:rsid w:val="00FA2A55"/>
    <w:rsid w:val="00FA4C71"/>
    <w:rsid w:val="00FA6272"/>
    <w:rsid w:val="00FB03A3"/>
    <w:rsid w:val="00FB19B5"/>
    <w:rsid w:val="00FB48BD"/>
    <w:rsid w:val="00FB59E8"/>
    <w:rsid w:val="00FB7C29"/>
    <w:rsid w:val="00FC3799"/>
    <w:rsid w:val="00FC7510"/>
    <w:rsid w:val="00FC7BF9"/>
    <w:rsid w:val="00FD282F"/>
    <w:rsid w:val="00FD65E2"/>
    <w:rsid w:val="00FD6B7E"/>
    <w:rsid w:val="00FE285A"/>
    <w:rsid w:val="00FE4013"/>
    <w:rsid w:val="00FE4FC4"/>
    <w:rsid w:val="01507133"/>
    <w:rsid w:val="02383B00"/>
    <w:rsid w:val="02DA30EE"/>
    <w:rsid w:val="03030C07"/>
    <w:rsid w:val="033A40F8"/>
    <w:rsid w:val="041024F7"/>
    <w:rsid w:val="0447332A"/>
    <w:rsid w:val="04A539B4"/>
    <w:rsid w:val="04A853C8"/>
    <w:rsid w:val="05293CB1"/>
    <w:rsid w:val="0557464E"/>
    <w:rsid w:val="0628547E"/>
    <w:rsid w:val="064701D6"/>
    <w:rsid w:val="06BB7613"/>
    <w:rsid w:val="06D62DC5"/>
    <w:rsid w:val="07FA512F"/>
    <w:rsid w:val="088C30B7"/>
    <w:rsid w:val="0897004F"/>
    <w:rsid w:val="097E0D6B"/>
    <w:rsid w:val="0A656D4E"/>
    <w:rsid w:val="0A8B76E4"/>
    <w:rsid w:val="0AE6139B"/>
    <w:rsid w:val="0B053BA6"/>
    <w:rsid w:val="0B0E17C2"/>
    <w:rsid w:val="0B40102A"/>
    <w:rsid w:val="0C75635B"/>
    <w:rsid w:val="0CC235F1"/>
    <w:rsid w:val="0CCD37CE"/>
    <w:rsid w:val="0D5D718D"/>
    <w:rsid w:val="0DAD05C3"/>
    <w:rsid w:val="0E586885"/>
    <w:rsid w:val="0E6A5793"/>
    <w:rsid w:val="0E89082F"/>
    <w:rsid w:val="0F85337F"/>
    <w:rsid w:val="0F8E0EA9"/>
    <w:rsid w:val="107238B4"/>
    <w:rsid w:val="10C278B6"/>
    <w:rsid w:val="11827E30"/>
    <w:rsid w:val="12807245"/>
    <w:rsid w:val="135C56EF"/>
    <w:rsid w:val="137D5FED"/>
    <w:rsid w:val="13955C53"/>
    <w:rsid w:val="13A34B08"/>
    <w:rsid w:val="140E60E9"/>
    <w:rsid w:val="141717B8"/>
    <w:rsid w:val="145F3943"/>
    <w:rsid w:val="154F20BD"/>
    <w:rsid w:val="158375CA"/>
    <w:rsid w:val="158F439D"/>
    <w:rsid w:val="159B207C"/>
    <w:rsid w:val="16581AB8"/>
    <w:rsid w:val="16800828"/>
    <w:rsid w:val="16EA6497"/>
    <w:rsid w:val="1750218A"/>
    <w:rsid w:val="18037326"/>
    <w:rsid w:val="19AB7D87"/>
    <w:rsid w:val="19DE1850"/>
    <w:rsid w:val="1A402623"/>
    <w:rsid w:val="1A457AF3"/>
    <w:rsid w:val="1AE17FE2"/>
    <w:rsid w:val="1B8648CC"/>
    <w:rsid w:val="1C5E5A7C"/>
    <w:rsid w:val="1CA670F7"/>
    <w:rsid w:val="1D077978"/>
    <w:rsid w:val="1ECA1067"/>
    <w:rsid w:val="20015AD1"/>
    <w:rsid w:val="205B62D9"/>
    <w:rsid w:val="21153CCE"/>
    <w:rsid w:val="229E1E7F"/>
    <w:rsid w:val="22D21441"/>
    <w:rsid w:val="2301696F"/>
    <w:rsid w:val="23977813"/>
    <w:rsid w:val="23E2248D"/>
    <w:rsid w:val="247C3522"/>
    <w:rsid w:val="24E46F1D"/>
    <w:rsid w:val="25232791"/>
    <w:rsid w:val="25DE34CD"/>
    <w:rsid w:val="26B552A4"/>
    <w:rsid w:val="26D34B1D"/>
    <w:rsid w:val="26F71D7A"/>
    <w:rsid w:val="270C3E2D"/>
    <w:rsid w:val="28C10D2E"/>
    <w:rsid w:val="28EE10E6"/>
    <w:rsid w:val="290B1B48"/>
    <w:rsid w:val="2A470961"/>
    <w:rsid w:val="2AB17A32"/>
    <w:rsid w:val="2B192A5A"/>
    <w:rsid w:val="2B495B2C"/>
    <w:rsid w:val="2B942982"/>
    <w:rsid w:val="2BA75782"/>
    <w:rsid w:val="2CB85102"/>
    <w:rsid w:val="2D613B29"/>
    <w:rsid w:val="2D9A7F05"/>
    <w:rsid w:val="2DAF3A94"/>
    <w:rsid w:val="2E01291C"/>
    <w:rsid w:val="2E2D1ACD"/>
    <w:rsid w:val="2E5359A3"/>
    <w:rsid w:val="2E703D87"/>
    <w:rsid w:val="2E7456DB"/>
    <w:rsid w:val="2EB11877"/>
    <w:rsid w:val="2F9C3821"/>
    <w:rsid w:val="30592D3C"/>
    <w:rsid w:val="306E49DD"/>
    <w:rsid w:val="30DB5794"/>
    <w:rsid w:val="31103D07"/>
    <w:rsid w:val="32C75EA2"/>
    <w:rsid w:val="33336F75"/>
    <w:rsid w:val="33387DB6"/>
    <w:rsid w:val="3387533F"/>
    <w:rsid w:val="33C30B93"/>
    <w:rsid w:val="34892F31"/>
    <w:rsid w:val="34935D21"/>
    <w:rsid w:val="34B76713"/>
    <w:rsid w:val="353C458F"/>
    <w:rsid w:val="362D28F4"/>
    <w:rsid w:val="368F42A6"/>
    <w:rsid w:val="36A72291"/>
    <w:rsid w:val="376F7218"/>
    <w:rsid w:val="377D5F4D"/>
    <w:rsid w:val="37E7597F"/>
    <w:rsid w:val="38722B31"/>
    <w:rsid w:val="38C91BF8"/>
    <w:rsid w:val="390330D5"/>
    <w:rsid w:val="39221BD5"/>
    <w:rsid w:val="392C3817"/>
    <w:rsid w:val="39B10F1C"/>
    <w:rsid w:val="39DC0C7D"/>
    <w:rsid w:val="39F43354"/>
    <w:rsid w:val="39FA34CB"/>
    <w:rsid w:val="3A880D94"/>
    <w:rsid w:val="3AC455FA"/>
    <w:rsid w:val="3CE0686E"/>
    <w:rsid w:val="3CF73F72"/>
    <w:rsid w:val="3D100CC1"/>
    <w:rsid w:val="3D1C46C2"/>
    <w:rsid w:val="3D7F56C8"/>
    <w:rsid w:val="3DC24241"/>
    <w:rsid w:val="3E832EAB"/>
    <w:rsid w:val="3FDB2968"/>
    <w:rsid w:val="400B0E19"/>
    <w:rsid w:val="405D5C16"/>
    <w:rsid w:val="413620ED"/>
    <w:rsid w:val="42995AE5"/>
    <w:rsid w:val="44B670A0"/>
    <w:rsid w:val="44F84E52"/>
    <w:rsid w:val="456C6D23"/>
    <w:rsid w:val="457A474B"/>
    <w:rsid w:val="46471BD0"/>
    <w:rsid w:val="46D412FA"/>
    <w:rsid w:val="475F7B1A"/>
    <w:rsid w:val="4797523D"/>
    <w:rsid w:val="47DD0700"/>
    <w:rsid w:val="47F17164"/>
    <w:rsid w:val="48302BA1"/>
    <w:rsid w:val="48363156"/>
    <w:rsid w:val="489616BC"/>
    <w:rsid w:val="494A5803"/>
    <w:rsid w:val="4A261003"/>
    <w:rsid w:val="4B691434"/>
    <w:rsid w:val="4B7A64BC"/>
    <w:rsid w:val="4BC830DF"/>
    <w:rsid w:val="4BF316F4"/>
    <w:rsid w:val="4D3A4F03"/>
    <w:rsid w:val="4DF63909"/>
    <w:rsid w:val="4DFE17C9"/>
    <w:rsid w:val="4E4C306A"/>
    <w:rsid w:val="4F5F1D75"/>
    <w:rsid w:val="4FAA01A6"/>
    <w:rsid w:val="4FAE6B17"/>
    <w:rsid w:val="50434913"/>
    <w:rsid w:val="51301176"/>
    <w:rsid w:val="51396AE7"/>
    <w:rsid w:val="51FE1768"/>
    <w:rsid w:val="52107D4A"/>
    <w:rsid w:val="52491CC7"/>
    <w:rsid w:val="52EF0A81"/>
    <w:rsid w:val="53040AA4"/>
    <w:rsid w:val="538717FF"/>
    <w:rsid w:val="53DB49A2"/>
    <w:rsid w:val="54202A05"/>
    <w:rsid w:val="552877C1"/>
    <w:rsid w:val="55291EF5"/>
    <w:rsid w:val="55EA0843"/>
    <w:rsid w:val="56174EB3"/>
    <w:rsid w:val="56824A52"/>
    <w:rsid w:val="56830B47"/>
    <w:rsid w:val="569576C3"/>
    <w:rsid w:val="56B655A2"/>
    <w:rsid w:val="57537987"/>
    <w:rsid w:val="57766065"/>
    <w:rsid w:val="58CB2EF4"/>
    <w:rsid w:val="59532377"/>
    <w:rsid w:val="5A1C3DC4"/>
    <w:rsid w:val="5A281E4C"/>
    <w:rsid w:val="5AFF2D36"/>
    <w:rsid w:val="5B20485E"/>
    <w:rsid w:val="5B2B3FD4"/>
    <w:rsid w:val="5D1E5856"/>
    <w:rsid w:val="5D5925AA"/>
    <w:rsid w:val="5D9560A3"/>
    <w:rsid w:val="5DC72D38"/>
    <w:rsid w:val="5E7B43BC"/>
    <w:rsid w:val="5EE766F6"/>
    <w:rsid w:val="5FA84910"/>
    <w:rsid w:val="60BF0D51"/>
    <w:rsid w:val="61302BC3"/>
    <w:rsid w:val="619B63D8"/>
    <w:rsid w:val="62CD2DFF"/>
    <w:rsid w:val="6311422A"/>
    <w:rsid w:val="638D51FD"/>
    <w:rsid w:val="63972816"/>
    <w:rsid w:val="63AF6097"/>
    <w:rsid w:val="649816B9"/>
    <w:rsid w:val="64E114E4"/>
    <w:rsid w:val="655F5266"/>
    <w:rsid w:val="65E9674F"/>
    <w:rsid w:val="66205681"/>
    <w:rsid w:val="66494869"/>
    <w:rsid w:val="66D15F9C"/>
    <w:rsid w:val="66EB2DF4"/>
    <w:rsid w:val="670614DD"/>
    <w:rsid w:val="67633344"/>
    <w:rsid w:val="67E947B2"/>
    <w:rsid w:val="681A46D5"/>
    <w:rsid w:val="681F0C80"/>
    <w:rsid w:val="682E6567"/>
    <w:rsid w:val="68980BF7"/>
    <w:rsid w:val="69096B44"/>
    <w:rsid w:val="69386E48"/>
    <w:rsid w:val="69704784"/>
    <w:rsid w:val="69AD11F1"/>
    <w:rsid w:val="6A5F7675"/>
    <w:rsid w:val="6B673D5F"/>
    <w:rsid w:val="6BD122DC"/>
    <w:rsid w:val="6D2074D5"/>
    <w:rsid w:val="6DF433DD"/>
    <w:rsid w:val="6E3012E1"/>
    <w:rsid w:val="6E4F6966"/>
    <w:rsid w:val="6F1E7F02"/>
    <w:rsid w:val="6F822F7D"/>
    <w:rsid w:val="70390157"/>
    <w:rsid w:val="70E650EE"/>
    <w:rsid w:val="714B2522"/>
    <w:rsid w:val="7197756E"/>
    <w:rsid w:val="719A5FE9"/>
    <w:rsid w:val="71C32816"/>
    <w:rsid w:val="7246587F"/>
    <w:rsid w:val="727A1406"/>
    <w:rsid w:val="72AF3339"/>
    <w:rsid w:val="72C21AC9"/>
    <w:rsid w:val="72F4323C"/>
    <w:rsid w:val="731A15C7"/>
    <w:rsid w:val="73A5336C"/>
    <w:rsid w:val="73EB4379"/>
    <w:rsid w:val="74475EF3"/>
    <w:rsid w:val="75467674"/>
    <w:rsid w:val="77B45BA8"/>
    <w:rsid w:val="77CC2E9B"/>
    <w:rsid w:val="77EB11F8"/>
    <w:rsid w:val="78823A62"/>
    <w:rsid w:val="793B6B47"/>
    <w:rsid w:val="79552420"/>
    <w:rsid w:val="7A595A8A"/>
    <w:rsid w:val="7AFF7646"/>
    <w:rsid w:val="7B89466F"/>
    <w:rsid w:val="7C3A1AB3"/>
    <w:rsid w:val="7C401F43"/>
    <w:rsid w:val="7C455BD3"/>
    <w:rsid w:val="7CC54422"/>
    <w:rsid w:val="7CE1382B"/>
    <w:rsid w:val="7D7E4DB2"/>
    <w:rsid w:val="7DAC3A36"/>
    <w:rsid w:val="7DCA1161"/>
    <w:rsid w:val="7E576BB9"/>
    <w:rsid w:val="7E6D62A7"/>
    <w:rsid w:val="7EBF007E"/>
    <w:rsid w:val="7EDD7A26"/>
    <w:rsid w:val="7F70268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2"/>
      <o:rules v:ext="edit">
        <o:r id="V:Rule1" type="connector" idref="#_x0000_s2050"/>
        <o:r id="V:Rule2" type="connector" idref="#_x0000_s2051"/>
        <o:r id="V:Rule3" type="connector" idref="#_x0000_s2052"/>
        <o:r id="V:Rule4" type="connector" idref="#_x0000_s2053"/>
      </o:rules>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99"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qFormat="1" w:unhideWhenUsed="0" w:uiPriority="0" w:semiHidden="0"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qFormat="1" w:unhideWhenUsed="0" w:uiPriority="0" w:semiHidden="0"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99" w:name="Body Text First Indent"/>
    <w:lsdException w:qFormat="1" w:uiPriority="99"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18">
    <w:name w:val="heading 1"/>
    <w:basedOn w:val="1"/>
    <w:next w:val="1"/>
    <w:link w:val="62"/>
    <w:qFormat/>
    <w:uiPriority w:val="0"/>
    <w:pPr>
      <w:keepNext/>
      <w:keepLines/>
      <w:spacing w:before="340" w:after="330" w:line="576" w:lineRule="auto"/>
      <w:outlineLvl w:val="0"/>
    </w:pPr>
    <w:rPr>
      <w:b/>
      <w:bCs/>
      <w:kern w:val="44"/>
      <w:sz w:val="44"/>
      <w:szCs w:val="44"/>
    </w:rPr>
  </w:style>
  <w:style w:type="paragraph" w:styleId="19">
    <w:name w:val="heading 2"/>
    <w:basedOn w:val="1"/>
    <w:next w:val="1"/>
    <w:link w:val="72"/>
    <w:qFormat/>
    <w:uiPriority w:val="0"/>
    <w:pPr>
      <w:keepNext/>
      <w:keepLines/>
      <w:spacing w:before="260" w:after="260" w:line="416" w:lineRule="auto"/>
      <w:outlineLvl w:val="1"/>
    </w:pPr>
    <w:rPr>
      <w:rFonts w:ascii="Cambria" w:hAnsi="Cambria"/>
      <w:b/>
      <w:bCs/>
      <w:kern w:val="0"/>
      <w:sz w:val="32"/>
      <w:szCs w:val="32"/>
    </w:rPr>
  </w:style>
  <w:style w:type="paragraph" w:styleId="16">
    <w:name w:val="heading 3"/>
    <w:basedOn w:val="1"/>
    <w:next w:val="1"/>
    <w:link w:val="68"/>
    <w:qFormat/>
    <w:uiPriority w:val="0"/>
    <w:pPr>
      <w:keepNext/>
      <w:keepLines/>
      <w:spacing w:before="260" w:after="260" w:line="416" w:lineRule="auto"/>
      <w:outlineLvl w:val="2"/>
    </w:pPr>
    <w:rPr>
      <w:b/>
      <w:bCs/>
      <w:kern w:val="0"/>
      <w:sz w:val="32"/>
      <w:szCs w:val="32"/>
    </w:rPr>
  </w:style>
  <w:style w:type="paragraph" w:styleId="5">
    <w:name w:val="heading 4"/>
    <w:basedOn w:val="1"/>
    <w:next w:val="1"/>
    <w:link w:val="69"/>
    <w:qFormat/>
    <w:uiPriority w:val="99"/>
    <w:pPr>
      <w:keepNext/>
      <w:keepLines/>
      <w:spacing w:before="280" w:after="290"/>
      <w:outlineLvl w:val="3"/>
    </w:pPr>
    <w:rPr>
      <w:rFonts w:ascii="Arial" w:hAnsi="Arial" w:eastAsia="黑体"/>
      <w:b/>
      <w:bCs/>
      <w:sz w:val="28"/>
      <w:szCs w:val="28"/>
    </w:rPr>
  </w:style>
  <w:style w:type="paragraph" w:styleId="20">
    <w:name w:val="heading 5"/>
    <w:basedOn w:val="1"/>
    <w:next w:val="1"/>
    <w:qFormat/>
    <w:uiPriority w:val="0"/>
    <w:pPr>
      <w:keepNext/>
      <w:adjustRightInd w:val="0"/>
      <w:snapToGrid w:val="0"/>
      <w:spacing w:line="500" w:lineRule="atLeast"/>
      <w:outlineLvl w:val="4"/>
    </w:pPr>
    <w:rPr>
      <w:b/>
      <w:bCs/>
      <w:sz w:val="24"/>
    </w:rPr>
  </w:style>
  <w:style w:type="paragraph" w:styleId="21">
    <w:name w:val="heading 6"/>
    <w:basedOn w:val="1"/>
    <w:next w:val="1"/>
    <w:link w:val="77"/>
    <w:qFormat/>
    <w:uiPriority w:val="0"/>
    <w:pPr>
      <w:keepNext/>
      <w:jc w:val="center"/>
      <w:outlineLvl w:val="5"/>
    </w:pPr>
    <w:rPr>
      <w:rFonts w:ascii="仿宋_GB2312" w:eastAsia="仿宋_GB2312"/>
      <w:sz w:val="28"/>
      <w:szCs w:val="24"/>
    </w:rPr>
  </w:style>
  <w:style w:type="paragraph" w:styleId="22">
    <w:name w:val="heading 7"/>
    <w:basedOn w:val="1"/>
    <w:next w:val="1"/>
    <w:link w:val="78"/>
    <w:qFormat/>
    <w:uiPriority w:val="0"/>
    <w:pPr>
      <w:keepNext/>
      <w:spacing w:line="400" w:lineRule="exact"/>
      <w:ind w:firstLine="980" w:firstLineChars="350"/>
      <w:outlineLvl w:val="6"/>
    </w:pPr>
    <w:rPr>
      <w:rFonts w:ascii="宋体" w:hAnsi="宋体"/>
      <w:bCs/>
      <w:sz w:val="28"/>
      <w:szCs w:val="24"/>
    </w:rPr>
  </w:style>
  <w:style w:type="character" w:default="1" w:styleId="54">
    <w:name w:val="Default Paragraph Font"/>
    <w:semiHidden/>
    <w:unhideWhenUsed/>
    <w:qFormat/>
    <w:uiPriority w:val="1"/>
  </w:style>
  <w:style w:type="table" w:default="1" w:styleId="52">
    <w:name w:val="Normal Table"/>
    <w:semiHidden/>
    <w:unhideWhenUsed/>
    <w:qFormat/>
    <w:uiPriority w:val="99"/>
    <w:tblPr>
      <w:tblCellMar>
        <w:top w:w="0" w:type="dxa"/>
        <w:left w:w="108" w:type="dxa"/>
        <w:bottom w:w="0" w:type="dxa"/>
        <w:right w:w="108" w:type="dxa"/>
      </w:tblCellMar>
    </w:tblPr>
  </w:style>
  <w:style w:type="paragraph" w:customStyle="1" w:styleId="2">
    <w:name w:val="Default"/>
    <w:basedOn w:val="3"/>
    <w:next w:val="4"/>
    <w:qFormat/>
    <w:uiPriority w:val="99"/>
    <w:pPr>
      <w:widowControl w:val="0"/>
      <w:autoSpaceDE w:val="0"/>
      <w:autoSpaceDN w:val="0"/>
      <w:adjustRightInd w:val="0"/>
    </w:pPr>
    <w:rPr>
      <w:rFonts w:hint="eastAsia" w:ascii="宋体" w:hAnsi="宋体" w:eastAsia="宋体" w:cs="Times New Roman"/>
      <w:color w:val="000000"/>
      <w:sz w:val="24"/>
      <w:lang w:val="en-US" w:eastAsia="zh-CN" w:bidi="ar-SA"/>
    </w:rPr>
  </w:style>
  <w:style w:type="paragraph" w:customStyle="1" w:styleId="3">
    <w:name w:val="纯文本1"/>
    <w:basedOn w:val="1"/>
    <w:qFormat/>
    <w:uiPriority w:val="0"/>
    <w:pPr>
      <w:adjustRightInd w:val="0"/>
    </w:pPr>
    <w:rPr>
      <w:rFonts w:hint="eastAsia" w:ascii="宋体" w:hAnsi="Courier New"/>
      <w:kern w:val="0"/>
    </w:rPr>
  </w:style>
  <w:style w:type="paragraph" w:customStyle="1" w:styleId="4">
    <w:name w:val="标题4"/>
    <w:basedOn w:val="5"/>
    <w:next w:val="6"/>
    <w:qFormat/>
    <w:uiPriority w:val="0"/>
    <w:pPr>
      <w:spacing w:line="600" w:lineRule="exact"/>
      <w:ind w:firstLine="18"/>
    </w:pPr>
  </w:style>
  <w:style w:type="paragraph" w:customStyle="1" w:styleId="6">
    <w:name w:val="Char1"/>
    <w:basedOn w:val="1"/>
    <w:next w:val="7"/>
    <w:qFormat/>
    <w:uiPriority w:val="0"/>
    <w:pPr>
      <w:widowControl/>
      <w:spacing w:after="160" w:line="240" w:lineRule="exact"/>
      <w:jc w:val="left"/>
    </w:pPr>
    <w:rPr>
      <w:rFonts w:ascii="Calibri" w:hAnsi="Calibri" w:eastAsia="Arial"/>
      <w:sz w:val="24"/>
      <w:szCs w:val="20"/>
      <w:lang w:eastAsia="en-US"/>
    </w:rPr>
  </w:style>
  <w:style w:type="paragraph" w:customStyle="1" w:styleId="7">
    <w:name w:val="Char"/>
    <w:basedOn w:val="8"/>
    <w:next w:val="9"/>
    <w:qFormat/>
    <w:uiPriority w:val="0"/>
    <w:pPr>
      <w:widowControl/>
      <w:spacing w:line="357" w:lineRule="atLeast"/>
      <w:ind w:left="-48"/>
      <w:textAlignment w:val="baseline"/>
    </w:pPr>
  </w:style>
  <w:style w:type="paragraph" w:styleId="8">
    <w:name w:val="Document Map"/>
    <w:basedOn w:val="1"/>
    <w:link w:val="81"/>
    <w:qFormat/>
    <w:uiPriority w:val="0"/>
    <w:rPr>
      <w:rFonts w:ascii="宋体" w:hAnsi="Calibri"/>
      <w:sz w:val="32"/>
      <w:szCs w:val="18"/>
    </w:rPr>
  </w:style>
  <w:style w:type="paragraph" w:customStyle="1" w:styleId="9">
    <w:name w:val="首行缩进加粗"/>
    <w:basedOn w:val="10"/>
    <w:next w:val="11"/>
    <w:qFormat/>
    <w:uiPriority w:val="0"/>
    <w:rPr>
      <w:rFonts w:eastAsia="黑体"/>
      <w:b/>
      <w:bCs/>
      <w:szCs w:val="28"/>
    </w:rPr>
  </w:style>
  <w:style w:type="paragraph" w:customStyle="1" w:styleId="10">
    <w:name w:val="首行缩进"/>
    <w:basedOn w:val="1"/>
    <w:qFormat/>
    <w:uiPriority w:val="0"/>
    <w:pPr>
      <w:ind w:firstLine="561"/>
    </w:pPr>
    <w:rPr>
      <w:rFonts w:ascii="宋体" w:cs="宋体"/>
      <w:szCs w:val="20"/>
    </w:rPr>
  </w:style>
  <w:style w:type="paragraph" w:customStyle="1" w:styleId="11">
    <w:name w:val="四级条标题"/>
    <w:basedOn w:val="12"/>
    <w:next w:val="16"/>
    <w:qFormat/>
    <w:uiPriority w:val="0"/>
    <w:pPr>
      <w:spacing w:before="50" w:after="50"/>
      <w:ind w:firstLine="14"/>
      <w:outlineLvl w:val="5"/>
    </w:pPr>
  </w:style>
  <w:style w:type="paragraph" w:customStyle="1" w:styleId="12">
    <w:name w:val="三级条标题"/>
    <w:basedOn w:val="13"/>
    <w:next w:val="1"/>
    <w:qFormat/>
    <w:uiPriority w:val="0"/>
    <w:pPr>
      <w:numPr>
        <w:ilvl w:val="4"/>
      </w:numPr>
      <w:ind w:left="1080" w:hanging="1080"/>
      <w:outlineLvl w:val="4"/>
    </w:pPr>
  </w:style>
  <w:style w:type="paragraph" w:customStyle="1" w:styleId="13">
    <w:name w:val="二级条标题"/>
    <w:basedOn w:val="14"/>
    <w:next w:val="1"/>
    <w:qFormat/>
    <w:uiPriority w:val="0"/>
    <w:pPr>
      <w:numPr>
        <w:ilvl w:val="3"/>
      </w:numPr>
      <w:ind w:left="720" w:hanging="720"/>
      <w:outlineLvl w:val="3"/>
    </w:pPr>
  </w:style>
  <w:style w:type="paragraph" w:customStyle="1" w:styleId="14">
    <w:name w:val="一级条标题"/>
    <w:basedOn w:val="15"/>
    <w:next w:val="1"/>
    <w:qFormat/>
    <w:uiPriority w:val="0"/>
    <w:pPr>
      <w:numPr>
        <w:ilvl w:val="2"/>
      </w:numPr>
      <w:outlineLvl w:val="2"/>
    </w:pPr>
  </w:style>
  <w:style w:type="paragraph" w:customStyle="1" w:styleId="15">
    <w:name w:val="章标题"/>
    <w:next w:val="1"/>
    <w:qFormat/>
    <w:uiPriority w:val="0"/>
    <w:pPr>
      <w:numPr>
        <w:ilvl w:val="1"/>
        <w:numId w:val="1"/>
      </w:numPr>
      <w:spacing w:beforeLines="50" w:afterLines="50"/>
      <w:jc w:val="both"/>
      <w:outlineLvl w:val="1"/>
    </w:pPr>
    <w:rPr>
      <w:rFonts w:ascii="黑体" w:hAnsi="Times New Roman" w:eastAsia="黑体" w:cs="Times New Roman"/>
      <w:sz w:val="21"/>
      <w:lang w:val="en-US" w:eastAsia="zh-CN" w:bidi="ar-SA"/>
    </w:rPr>
  </w:style>
  <w:style w:type="paragraph" w:styleId="17">
    <w:name w:val="macro"/>
    <w:link w:val="97"/>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23">
    <w:name w:val="toc 7"/>
    <w:basedOn w:val="1"/>
    <w:next w:val="1"/>
    <w:qFormat/>
    <w:uiPriority w:val="39"/>
    <w:pPr>
      <w:ind w:left="2520" w:leftChars="1200"/>
    </w:pPr>
  </w:style>
  <w:style w:type="paragraph" w:styleId="24">
    <w:name w:val="Normal Indent"/>
    <w:basedOn w:val="1"/>
    <w:link w:val="63"/>
    <w:qFormat/>
    <w:uiPriority w:val="0"/>
    <w:pPr>
      <w:widowControl/>
      <w:ind w:firstLine="420"/>
      <w:jc w:val="left"/>
    </w:pPr>
    <w:rPr>
      <w:kern w:val="0"/>
      <w:sz w:val="20"/>
      <w:szCs w:val="20"/>
    </w:rPr>
  </w:style>
  <w:style w:type="paragraph" w:styleId="25">
    <w:name w:val="annotation text"/>
    <w:basedOn w:val="1"/>
    <w:link w:val="70"/>
    <w:qFormat/>
    <w:uiPriority w:val="0"/>
    <w:pPr>
      <w:jc w:val="left"/>
    </w:pPr>
  </w:style>
  <w:style w:type="paragraph" w:styleId="26">
    <w:name w:val="Body Text 3"/>
    <w:basedOn w:val="1"/>
    <w:link w:val="101"/>
    <w:qFormat/>
    <w:uiPriority w:val="0"/>
    <w:rPr>
      <w:sz w:val="24"/>
      <w:szCs w:val="24"/>
    </w:rPr>
  </w:style>
  <w:style w:type="paragraph" w:styleId="27">
    <w:name w:val="Body Text"/>
    <w:basedOn w:val="1"/>
    <w:link w:val="67"/>
    <w:qFormat/>
    <w:uiPriority w:val="0"/>
    <w:pPr>
      <w:spacing w:line="360" w:lineRule="auto"/>
      <w:ind w:firstLine="200" w:firstLineChars="200"/>
    </w:pPr>
    <w:rPr>
      <w:sz w:val="24"/>
      <w:szCs w:val="20"/>
    </w:rPr>
  </w:style>
  <w:style w:type="paragraph" w:styleId="28">
    <w:name w:val="Body Text Indent"/>
    <w:basedOn w:val="1"/>
    <w:link w:val="71"/>
    <w:qFormat/>
    <w:uiPriority w:val="0"/>
    <w:pPr>
      <w:adjustRightInd w:val="0"/>
      <w:snapToGrid w:val="0"/>
      <w:spacing w:line="500" w:lineRule="exact"/>
      <w:ind w:firstLine="560" w:firstLineChars="200"/>
    </w:pPr>
    <w:rPr>
      <w:rFonts w:ascii="宋体" w:hAnsi="宋体"/>
      <w:snapToGrid w:val="0"/>
      <w:kern w:val="0"/>
      <w:sz w:val="28"/>
      <w:szCs w:val="20"/>
    </w:rPr>
  </w:style>
  <w:style w:type="paragraph" w:styleId="29">
    <w:name w:val="toc 5"/>
    <w:basedOn w:val="1"/>
    <w:next w:val="1"/>
    <w:qFormat/>
    <w:uiPriority w:val="39"/>
    <w:pPr>
      <w:ind w:left="1680" w:leftChars="800"/>
    </w:pPr>
  </w:style>
  <w:style w:type="paragraph" w:styleId="30">
    <w:name w:val="toc 3"/>
    <w:basedOn w:val="1"/>
    <w:next w:val="1"/>
    <w:qFormat/>
    <w:uiPriority w:val="39"/>
    <w:pPr>
      <w:ind w:left="840" w:leftChars="400"/>
    </w:pPr>
  </w:style>
  <w:style w:type="paragraph" w:styleId="31">
    <w:name w:val="Plain Text"/>
    <w:basedOn w:val="1"/>
    <w:link w:val="84"/>
    <w:qFormat/>
    <w:uiPriority w:val="0"/>
    <w:rPr>
      <w:rFonts w:ascii="宋体" w:hAnsi="Courier New"/>
      <w:szCs w:val="21"/>
    </w:rPr>
  </w:style>
  <w:style w:type="paragraph" w:styleId="32">
    <w:name w:val="toc 8"/>
    <w:basedOn w:val="1"/>
    <w:next w:val="1"/>
    <w:qFormat/>
    <w:uiPriority w:val="39"/>
    <w:pPr>
      <w:ind w:left="2940" w:leftChars="1400"/>
    </w:pPr>
  </w:style>
  <w:style w:type="paragraph" w:styleId="33">
    <w:name w:val="Date"/>
    <w:basedOn w:val="1"/>
    <w:next w:val="1"/>
    <w:link w:val="85"/>
    <w:qFormat/>
    <w:uiPriority w:val="0"/>
    <w:rPr>
      <w:rFonts w:ascii="宋体"/>
      <w:sz w:val="24"/>
      <w:szCs w:val="20"/>
    </w:rPr>
  </w:style>
  <w:style w:type="paragraph" w:styleId="34">
    <w:name w:val="Body Text Indent 2"/>
    <w:basedOn w:val="1"/>
    <w:link w:val="80"/>
    <w:qFormat/>
    <w:uiPriority w:val="0"/>
    <w:pPr>
      <w:spacing w:after="120" w:line="480" w:lineRule="auto"/>
      <w:ind w:left="420" w:leftChars="200"/>
    </w:pPr>
  </w:style>
  <w:style w:type="paragraph" w:styleId="35">
    <w:name w:val="Balloon Text"/>
    <w:basedOn w:val="1"/>
    <w:link w:val="83"/>
    <w:qFormat/>
    <w:uiPriority w:val="0"/>
    <w:rPr>
      <w:sz w:val="18"/>
      <w:szCs w:val="18"/>
    </w:rPr>
  </w:style>
  <w:style w:type="paragraph" w:styleId="36">
    <w:name w:val="footer"/>
    <w:basedOn w:val="1"/>
    <w:link w:val="61"/>
    <w:qFormat/>
    <w:uiPriority w:val="99"/>
    <w:pPr>
      <w:tabs>
        <w:tab w:val="center" w:pos="4153"/>
        <w:tab w:val="right" w:pos="8306"/>
      </w:tabs>
      <w:snapToGrid w:val="0"/>
      <w:jc w:val="left"/>
    </w:pPr>
    <w:rPr>
      <w:kern w:val="0"/>
      <w:sz w:val="18"/>
      <w:szCs w:val="18"/>
    </w:rPr>
  </w:style>
  <w:style w:type="paragraph" w:styleId="37">
    <w:name w:val="header"/>
    <w:basedOn w:val="1"/>
    <w:link w:val="60"/>
    <w:qFormat/>
    <w:uiPriority w:val="0"/>
    <w:pPr>
      <w:pBdr>
        <w:bottom w:val="single" w:color="auto" w:sz="6" w:space="1"/>
      </w:pBdr>
      <w:tabs>
        <w:tab w:val="center" w:pos="4153"/>
        <w:tab w:val="right" w:pos="8306"/>
      </w:tabs>
      <w:snapToGrid w:val="0"/>
      <w:jc w:val="center"/>
    </w:pPr>
    <w:rPr>
      <w:kern w:val="0"/>
      <w:sz w:val="18"/>
      <w:szCs w:val="18"/>
    </w:rPr>
  </w:style>
  <w:style w:type="paragraph" w:styleId="38">
    <w:name w:val="toc 1"/>
    <w:basedOn w:val="1"/>
    <w:next w:val="1"/>
    <w:qFormat/>
    <w:uiPriority w:val="39"/>
  </w:style>
  <w:style w:type="paragraph" w:styleId="39">
    <w:name w:val="toc 4"/>
    <w:basedOn w:val="1"/>
    <w:next w:val="1"/>
    <w:qFormat/>
    <w:uiPriority w:val="39"/>
    <w:pPr>
      <w:ind w:left="1260" w:leftChars="600"/>
    </w:pPr>
  </w:style>
  <w:style w:type="paragraph" w:styleId="40">
    <w:name w:val="index heading"/>
    <w:basedOn w:val="1"/>
    <w:next w:val="41"/>
    <w:qFormat/>
    <w:uiPriority w:val="0"/>
    <w:rPr>
      <w:szCs w:val="24"/>
    </w:rPr>
  </w:style>
  <w:style w:type="paragraph" w:styleId="41">
    <w:name w:val="index 1"/>
    <w:basedOn w:val="1"/>
    <w:next w:val="1"/>
    <w:qFormat/>
    <w:uiPriority w:val="0"/>
  </w:style>
  <w:style w:type="paragraph" w:styleId="42">
    <w:name w:val="List"/>
    <w:basedOn w:val="1"/>
    <w:qFormat/>
    <w:uiPriority w:val="0"/>
    <w:pPr>
      <w:spacing w:line="400" w:lineRule="exact"/>
    </w:pPr>
    <w:rPr>
      <w:rFonts w:ascii="宋体"/>
      <w:sz w:val="28"/>
      <w:szCs w:val="20"/>
    </w:rPr>
  </w:style>
  <w:style w:type="paragraph" w:styleId="43">
    <w:name w:val="toc 6"/>
    <w:basedOn w:val="1"/>
    <w:next w:val="1"/>
    <w:qFormat/>
    <w:uiPriority w:val="39"/>
    <w:pPr>
      <w:ind w:left="2100" w:leftChars="1000"/>
    </w:pPr>
  </w:style>
  <w:style w:type="paragraph" w:styleId="44">
    <w:name w:val="Body Text Indent 3"/>
    <w:basedOn w:val="1"/>
    <w:link w:val="82"/>
    <w:qFormat/>
    <w:uiPriority w:val="0"/>
    <w:pPr>
      <w:spacing w:after="120"/>
      <w:ind w:left="420" w:leftChars="200"/>
    </w:pPr>
    <w:rPr>
      <w:sz w:val="16"/>
      <w:szCs w:val="16"/>
    </w:rPr>
  </w:style>
  <w:style w:type="paragraph" w:styleId="45">
    <w:name w:val="toc 2"/>
    <w:basedOn w:val="1"/>
    <w:next w:val="1"/>
    <w:qFormat/>
    <w:uiPriority w:val="39"/>
    <w:pPr>
      <w:ind w:left="420" w:leftChars="200"/>
    </w:pPr>
  </w:style>
  <w:style w:type="paragraph" w:styleId="46">
    <w:name w:val="toc 9"/>
    <w:basedOn w:val="1"/>
    <w:next w:val="1"/>
    <w:qFormat/>
    <w:uiPriority w:val="39"/>
    <w:pPr>
      <w:ind w:left="3360" w:leftChars="1600"/>
    </w:pPr>
  </w:style>
  <w:style w:type="paragraph" w:styleId="47">
    <w:name w:val="Body Text 2"/>
    <w:basedOn w:val="1"/>
    <w:link w:val="99"/>
    <w:qFormat/>
    <w:uiPriority w:val="0"/>
    <w:pPr>
      <w:jc w:val="center"/>
    </w:pPr>
    <w:rPr>
      <w:sz w:val="24"/>
      <w:szCs w:val="24"/>
    </w:rPr>
  </w:style>
  <w:style w:type="paragraph" w:styleId="48">
    <w:name w:val="Normal (Web)"/>
    <w:basedOn w:val="1"/>
    <w:qFormat/>
    <w:uiPriority w:val="0"/>
    <w:rPr>
      <w:rFonts w:eastAsia="仿宋_GB2312"/>
      <w:sz w:val="24"/>
    </w:rPr>
  </w:style>
  <w:style w:type="paragraph" w:styleId="49">
    <w:name w:val="annotation subject"/>
    <w:basedOn w:val="25"/>
    <w:next w:val="25"/>
    <w:qFormat/>
    <w:uiPriority w:val="0"/>
    <w:rPr>
      <w:b/>
      <w:bCs/>
    </w:rPr>
  </w:style>
  <w:style w:type="paragraph" w:styleId="50">
    <w:name w:val="Body Text First Indent"/>
    <w:basedOn w:val="1"/>
    <w:link w:val="110"/>
    <w:semiHidden/>
    <w:unhideWhenUsed/>
    <w:qFormat/>
    <w:uiPriority w:val="99"/>
    <w:pPr>
      <w:spacing w:after="120" w:line="240" w:lineRule="auto"/>
      <w:ind w:firstLine="420" w:firstLineChars="100"/>
    </w:pPr>
    <w:rPr>
      <w:sz w:val="21"/>
      <w:szCs w:val="22"/>
    </w:rPr>
  </w:style>
  <w:style w:type="paragraph" w:styleId="51">
    <w:name w:val="Body Text First Indent 2"/>
    <w:basedOn w:val="28"/>
    <w:semiHidden/>
    <w:unhideWhenUsed/>
    <w:qFormat/>
    <w:uiPriority w:val="99"/>
  </w:style>
  <w:style w:type="table" w:styleId="53">
    <w:name w:val="Table Grid"/>
    <w:basedOn w:val="5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5">
    <w:name w:val="Strong"/>
    <w:qFormat/>
    <w:uiPriority w:val="0"/>
    <w:rPr>
      <w:b/>
      <w:bCs/>
    </w:rPr>
  </w:style>
  <w:style w:type="character" w:styleId="56">
    <w:name w:val="page number"/>
    <w:basedOn w:val="54"/>
    <w:qFormat/>
    <w:uiPriority w:val="0"/>
  </w:style>
  <w:style w:type="character" w:styleId="57">
    <w:name w:val="FollowedHyperlink"/>
    <w:qFormat/>
    <w:uiPriority w:val="0"/>
    <w:rPr>
      <w:color w:val="800080"/>
      <w:u w:val="single"/>
    </w:rPr>
  </w:style>
  <w:style w:type="character" w:styleId="58">
    <w:name w:val="Hyperlink"/>
    <w:qFormat/>
    <w:uiPriority w:val="99"/>
    <w:rPr>
      <w:color w:val="0000FF"/>
      <w:u w:val="single"/>
    </w:rPr>
  </w:style>
  <w:style w:type="character" w:styleId="59">
    <w:name w:val="annotation reference"/>
    <w:qFormat/>
    <w:uiPriority w:val="99"/>
    <w:rPr>
      <w:sz w:val="21"/>
      <w:szCs w:val="21"/>
    </w:rPr>
  </w:style>
  <w:style w:type="character" w:customStyle="1" w:styleId="60">
    <w:name w:val="页眉 Char"/>
    <w:link w:val="37"/>
    <w:qFormat/>
    <w:uiPriority w:val="99"/>
    <w:rPr>
      <w:sz w:val="18"/>
      <w:szCs w:val="18"/>
    </w:rPr>
  </w:style>
  <w:style w:type="character" w:customStyle="1" w:styleId="61">
    <w:name w:val="页脚 Char"/>
    <w:link w:val="36"/>
    <w:qFormat/>
    <w:uiPriority w:val="99"/>
    <w:rPr>
      <w:sz w:val="18"/>
      <w:szCs w:val="18"/>
    </w:rPr>
  </w:style>
  <w:style w:type="character" w:customStyle="1" w:styleId="62">
    <w:name w:val="标题 1 Char"/>
    <w:link w:val="18"/>
    <w:qFormat/>
    <w:uiPriority w:val="0"/>
    <w:rPr>
      <w:rFonts w:ascii="Times New Roman" w:hAnsi="Times New Roman" w:eastAsia="宋体" w:cs="Times New Roman"/>
      <w:b/>
      <w:bCs/>
      <w:kern w:val="44"/>
      <w:sz w:val="44"/>
      <w:szCs w:val="44"/>
    </w:rPr>
  </w:style>
  <w:style w:type="character" w:customStyle="1" w:styleId="63">
    <w:name w:val="正文缩进 Char"/>
    <w:link w:val="24"/>
    <w:qFormat/>
    <w:uiPriority w:val="0"/>
  </w:style>
  <w:style w:type="character" w:customStyle="1" w:styleId="64">
    <w:name w:val="正文6"/>
    <w:qFormat/>
    <w:uiPriority w:val="0"/>
    <w:rPr>
      <w:rFonts w:ascii="Times New Roman" w:hAnsi="Times New Roman" w:eastAsia="宋体"/>
      <w:sz w:val="28"/>
      <w:szCs w:val="28"/>
    </w:rPr>
  </w:style>
  <w:style w:type="paragraph" w:styleId="65">
    <w:name w:val="List Paragraph"/>
    <w:basedOn w:val="1"/>
    <w:qFormat/>
    <w:uiPriority w:val="0"/>
    <w:pPr>
      <w:ind w:firstLine="420" w:firstLineChars="200"/>
    </w:pPr>
    <w:rPr>
      <w:rFonts w:ascii="Calibri" w:hAnsi="Calibri"/>
    </w:rPr>
  </w:style>
  <w:style w:type="paragraph" w:customStyle="1" w:styleId="66">
    <w:name w:val="表头"/>
    <w:basedOn w:val="1"/>
    <w:next w:val="1"/>
    <w:qFormat/>
    <w:uiPriority w:val="0"/>
    <w:pPr>
      <w:autoSpaceDE w:val="0"/>
      <w:adjustRightInd w:val="0"/>
      <w:snapToGrid w:val="0"/>
      <w:spacing w:line="360" w:lineRule="auto"/>
      <w:jc w:val="center"/>
      <w:textAlignment w:val="baseline"/>
    </w:pPr>
    <w:rPr>
      <w:rFonts w:ascii="宋体" w:hAnsi="Calibri"/>
      <w:b/>
      <w:snapToGrid w:val="0"/>
      <w:color w:val="000000"/>
      <w:kern w:val="0"/>
      <w:sz w:val="24"/>
    </w:rPr>
  </w:style>
  <w:style w:type="character" w:customStyle="1" w:styleId="67">
    <w:name w:val="正文文本 Char"/>
    <w:link w:val="27"/>
    <w:qFormat/>
    <w:uiPriority w:val="0"/>
    <w:rPr>
      <w:rFonts w:ascii="Times New Roman" w:hAnsi="Times New Roman"/>
      <w:kern w:val="2"/>
      <w:sz w:val="24"/>
    </w:rPr>
  </w:style>
  <w:style w:type="character" w:customStyle="1" w:styleId="68">
    <w:name w:val="标题 3 Char"/>
    <w:link w:val="16"/>
    <w:qFormat/>
    <w:uiPriority w:val="0"/>
    <w:rPr>
      <w:b/>
      <w:bCs/>
      <w:sz w:val="32"/>
      <w:szCs w:val="32"/>
    </w:rPr>
  </w:style>
  <w:style w:type="character" w:customStyle="1" w:styleId="69">
    <w:name w:val="标题 4 Char"/>
    <w:link w:val="5"/>
    <w:qFormat/>
    <w:uiPriority w:val="9"/>
    <w:rPr>
      <w:rFonts w:ascii="Arial" w:hAnsi="Arial" w:eastAsia="黑体"/>
      <w:b/>
      <w:bCs/>
      <w:kern w:val="2"/>
      <w:sz w:val="28"/>
      <w:szCs w:val="28"/>
    </w:rPr>
  </w:style>
  <w:style w:type="character" w:customStyle="1" w:styleId="70">
    <w:name w:val="批注文字 Char"/>
    <w:link w:val="25"/>
    <w:qFormat/>
    <w:uiPriority w:val="0"/>
    <w:rPr>
      <w:kern w:val="2"/>
      <w:sz w:val="21"/>
      <w:szCs w:val="22"/>
    </w:rPr>
  </w:style>
  <w:style w:type="character" w:customStyle="1" w:styleId="71">
    <w:name w:val="正文文本缩进 Char"/>
    <w:link w:val="28"/>
    <w:qFormat/>
    <w:uiPriority w:val="0"/>
    <w:rPr>
      <w:rFonts w:ascii="宋体" w:hAnsi="宋体" w:eastAsia="宋体" w:cs="Times New Roman"/>
      <w:snapToGrid w:val="0"/>
      <w:kern w:val="0"/>
      <w:sz w:val="28"/>
      <w:szCs w:val="20"/>
    </w:rPr>
  </w:style>
  <w:style w:type="character" w:customStyle="1" w:styleId="72">
    <w:name w:val="标题 2 Char"/>
    <w:link w:val="19"/>
    <w:qFormat/>
    <w:uiPriority w:val="0"/>
    <w:rPr>
      <w:rFonts w:ascii="Cambria" w:hAnsi="Cambria" w:eastAsia="宋体" w:cs="Times New Roman"/>
      <w:b/>
      <w:bCs/>
      <w:sz w:val="32"/>
      <w:szCs w:val="32"/>
    </w:rPr>
  </w:style>
  <w:style w:type="character" w:customStyle="1" w:styleId="73">
    <w:name w:val="ttitle1"/>
    <w:qFormat/>
    <w:uiPriority w:val="0"/>
    <w:rPr>
      <w:spacing w:val="120"/>
      <w:sz w:val="21"/>
      <w:szCs w:val="21"/>
    </w:rPr>
  </w:style>
  <w:style w:type="paragraph" w:customStyle="1" w:styleId="74">
    <w:name w:val="样式 宋体 首行缩进:  1.11 厘米"/>
    <w:basedOn w:val="1"/>
    <w:qFormat/>
    <w:uiPriority w:val="0"/>
    <w:pPr>
      <w:spacing w:line="600" w:lineRule="exact"/>
      <w:ind w:firstLine="629" w:firstLineChars="200"/>
    </w:pPr>
    <w:rPr>
      <w:rFonts w:ascii="宋体" w:hAnsi="宋体"/>
      <w:sz w:val="28"/>
      <w:szCs w:val="20"/>
    </w:rPr>
  </w:style>
  <w:style w:type="character" w:customStyle="1" w:styleId="75">
    <w:name w:val="填表5中 Char Char"/>
    <w:link w:val="76"/>
    <w:qFormat/>
    <w:uiPriority w:val="0"/>
    <w:rPr>
      <w:kern w:val="2"/>
      <w:sz w:val="21"/>
      <w:szCs w:val="21"/>
    </w:rPr>
  </w:style>
  <w:style w:type="paragraph" w:customStyle="1" w:styleId="76">
    <w:name w:val="填表5中"/>
    <w:basedOn w:val="1"/>
    <w:next w:val="1"/>
    <w:link w:val="75"/>
    <w:qFormat/>
    <w:uiPriority w:val="0"/>
    <w:pPr>
      <w:jc w:val="center"/>
    </w:pPr>
    <w:rPr>
      <w:szCs w:val="21"/>
    </w:rPr>
  </w:style>
  <w:style w:type="character" w:customStyle="1" w:styleId="77">
    <w:name w:val="标题 6 Char"/>
    <w:link w:val="21"/>
    <w:qFormat/>
    <w:uiPriority w:val="0"/>
    <w:rPr>
      <w:rFonts w:ascii="仿宋_GB2312" w:eastAsia="仿宋_GB2312"/>
      <w:kern w:val="2"/>
      <w:sz w:val="28"/>
      <w:szCs w:val="24"/>
    </w:rPr>
  </w:style>
  <w:style w:type="character" w:customStyle="1" w:styleId="78">
    <w:name w:val="标题 7 Char"/>
    <w:link w:val="22"/>
    <w:qFormat/>
    <w:uiPriority w:val="0"/>
    <w:rPr>
      <w:rFonts w:ascii="宋体" w:hAnsi="宋体"/>
      <w:bCs/>
      <w:kern w:val="2"/>
      <w:sz w:val="28"/>
      <w:szCs w:val="24"/>
    </w:rPr>
  </w:style>
  <w:style w:type="character" w:customStyle="1" w:styleId="79">
    <w:name w:val="标题1"/>
    <w:qFormat/>
    <w:uiPriority w:val="0"/>
    <w:rPr>
      <w:rFonts w:eastAsia="隶书"/>
      <w:b/>
      <w:sz w:val="44"/>
    </w:rPr>
  </w:style>
  <w:style w:type="character" w:customStyle="1" w:styleId="80">
    <w:name w:val="正文文本缩进 2 Char"/>
    <w:basedOn w:val="54"/>
    <w:link w:val="34"/>
    <w:qFormat/>
    <w:uiPriority w:val="0"/>
  </w:style>
  <w:style w:type="character" w:customStyle="1" w:styleId="81">
    <w:name w:val="文档结构图 Char"/>
    <w:link w:val="8"/>
    <w:qFormat/>
    <w:uiPriority w:val="0"/>
    <w:rPr>
      <w:rFonts w:ascii="宋体" w:hAnsi="Calibri" w:eastAsia="宋体"/>
      <w:kern w:val="2"/>
      <w:sz w:val="32"/>
      <w:szCs w:val="18"/>
      <w:lang w:val="en-US" w:eastAsia="zh-CN" w:bidi="ar-SA"/>
    </w:rPr>
  </w:style>
  <w:style w:type="character" w:customStyle="1" w:styleId="82">
    <w:name w:val="正文文本缩进 3 Char"/>
    <w:link w:val="44"/>
    <w:qFormat/>
    <w:uiPriority w:val="0"/>
    <w:rPr>
      <w:kern w:val="2"/>
      <w:sz w:val="16"/>
      <w:szCs w:val="16"/>
    </w:rPr>
  </w:style>
  <w:style w:type="character" w:customStyle="1" w:styleId="83">
    <w:name w:val="批注框文本 Char"/>
    <w:link w:val="35"/>
    <w:qFormat/>
    <w:uiPriority w:val="0"/>
    <w:rPr>
      <w:kern w:val="2"/>
      <w:sz w:val="18"/>
      <w:szCs w:val="18"/>
    </w:rPr>
  </w:style>
  <w:style w:type="character" w:customStyle="1" w:styleId="84">
    <w:name w:val="纯文本 Char"/>
    <w:link w:val="31"/>
    <w:qFormat/>
    <w:uiPriority w:val="0"/>
    <w:rPr>
      <w:rFonts w:ascii="宋体" w:hAnsi="Courier New"/>
      <w:kern w:val="2"/>
      <w:sz w:val="21"/>
      <w:szCs w:val="21"/>
    </w:rPr>
  </w:style>
  <w:style w:type="character" w:customStyle="1" w:styleId="85">
    <w:name w:val="日期 Char"/>
    <w:link w:val="33"/>
    <w:qFormat/>
    <w:uiPriority w:val="0"/>
    <w:rPr>
      <w:rFonts w:ascii="宋体"/>
      <w:kern w:val="2"/>
      <w:sz w:val="24"/>
    </w:rPr>
  </w:style>
  <w:style w:type="paragraph" w:customStyle="1" w:styleId="86">
    <w:name w:val="1.1.1"/>
    <w:basedOn w:val="1"/>
    <w:qFormat/>
    <w:uiPriority w:val="0"/>
    <w:pPr>
      <w:adjustRightInd w:val="0"/>
      <w:jc w:val="left"/>
      <w:textAlignment w:val="baseline"/>
    </w:pPr>
    <w:rPr>
      <w:rFonts w:ascii="宋体"/>
      <w:spacing w:val="10"/>
      <w:sz w:val="24"/>
    </w:rPr>
  </w:style>
  <w:style w:type="paragraph" w:customStyle="1" w:styleId="87">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88">
    <w:name w:val="TOC 标题1"/>
    <w:basedOn w:val="18"/>
    <w:next w:val="1"/>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89">
    <w:name w:val="正文 + 首行缩进"/>
    <w:basedOn w:val="1"/>
    <w:qFormat/>
    <w:uiPriority w:val="0"/>
    <w:pPr>
      <w:spacing w:line="500" w:lineRule="exact"/>
      <w:ind w:firstLine="560" w:firstLineChars="200"/>
    </w:pPr>
    <w:rPr>
      <w:rFonts w:ascii="宋体" w:hAnsi="宋体" w:cs="宋体"/>
      <w:sz w:val="28"/>
      <w:szCs w:val="28"/>
    </w:rPr>
  </w:style>
  <w:style w:type="paragraph" w:customStyle="1" w:styleId="90">
    <w:name w:val="Char Char1 Char Char Char Char Char Char Char Char"/>
    <w:basedOn w:val="1"/>
    <w:qFormat/>
    <w:uiPriority w:val="0"/>
    <w:rPr>
      <w:szCs w:val="24"/>
    </w:rPr>
  </w:style>
  <w:style w:type="paragraph" w:customStyle="1" w:styleId="91">
    <w:name w:val="BIG BOLD"/>
    <w:basedOn w:val="1"/>
    <w:qFormat/>
    <w:uiPriority w:val="0"/>
    <w:pPr>
      <w:tabs>
        <w:tab w:val="left" w:leader="underscore" w:pos="1134"/>
      </w:tabs>
    </w:pPr>
    <w:rPr>
      <w:szCs w:val="20"/>
    </w:rPr>
  </w:style>
  <w:style w:type="paragraph" w:customStyle="1" w:styleId="92">
    <w:name w:val="_Style 7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93">
    <w:name w:val="正文2"/>
    <w:basedOn w:val="1"/>
    <w:link w:val="94"/>
    <w:qFormat/>
    <w:uiPriority w:val="0"/>
    <w:pPr>
      <w:spacing w:line="500" w:lineRule="exact"/>
      <w:ind w:firstLine="560" w:firstLineChars="200"/>
    </w:pPr>
    <w:rPr>
      <w:rFonts w:cs="宋体"/>
      <w:sz w:val="28"/>
      <w:szCs w:val="28"/>
    </w:rPr>
  </w:style>
  <w:style w:type="character" w:customStyle="1" w:styleId="94">
    <w:name w:val="正文 Char Char"/>
    <w:link w:val="93"/>
    <w:qFormat/>
    <w:uiPriority w:val="0"/>
    <w:rPr>
      <w:rFonts w:cs="宋体"/>
      <w:kern w:val="2"/>
      <w:sz w:val="28"/>
      <w:szCs w:val="28"/>
    </w:rPr>
  </w:style>
  <w:style w:type="character" w:customStyle="1" w:styleId="95">
    <w:name w:val="正文1"/>
    <w:basedOn w:val="54"/>
    <w:qFormat/>
    <w:uiPriority w:val="0"/>
  </w:style>
  <w:style w:type="character" w:customStyle="1" w:styleId="96">
    <w:name w:val="article1"/>
    <w:qFormat/>
    <w:uiPriority w:val="0"/>
    <w:rPr>
      <w:b/>
      <w:bCs/>
      <w:smallCaps/>
      <w:color w:val="FF0000"/>
      <w:sz w:val="43"/>
      <w:szCs w:val="43"/>
    </w:rPr>
  </w:style>
  <w:style w:type="character" w:customStyle="1" w:styleId="97">
    <w:name w:val="宏文本 Char"/>
    <w:link w:val="17"/>
    <w:qFormat/>
    <w:uiPriority w:val="0"/>
    <w:rPr>
      <w:rFonts w:ascii="Courier New" w:hAnsi="Courier New" w:cs="Courier New"/>
      <w:kern w:val="2"/>
      <w:sz w:val="24"/>
      <w:szCs w:val="24"/>
    </w:rPr>
  </w:style>
  <w:style w:type="paragraph" w:customStyle="1" w:styleId="98">
    <w:name w:val="Char Char Char"/>
    <w:basedOn w:val="1"/>
    <w:next w:val="17"/>
    <w:qFormat/>
    <w:uiPriority w:val="0"/>
    <w:rPr>
      <w:sz w:val="28"/>
      <w:szCs w:val="28"/>
    </w:rPr>
  </w:style>
  <w:style w:type="character" w:customStyle="1" w:styleId="99">
    <w:name w:val="正文文本 2 Char"/>
    <w:link w:val="47"/>
    <w:qFormat/>
    <w:uiPriority w:val="0"/>
    <w:rPr>
      <w:kern w:val="2"/>
      <w:sz w:val="24"/>
      <w:szCs w:val="24"/>
    </w:rPr>
  </w:style>
  <w:style w:type="paragraph" w:customStyle="1" w:styleId="100">
    <w:name w:val="xl36"/>
    <w:basedOn w:val="1"/>
    <w:qFormat/>
    <w:uiPriority w:val="0"/>
    <w:pPr>
      <w:widowControl/>
      <w:pBdr>
        <w:left w:val="single" w:color="auto" w:sz="4" w:space="0"/>
        <w:right w:val="single" w:color="auto" w:sz="4" w:space="0"/>
      </w:pBdr>
      <w:spacing w:before="100" w:beforeAutospacing="1" w:after="100" w:afterAutospacing="1"/>
      <w:jc w:val="center"/>
      <w:textAlignment w:val="top"/>
    </w:pPr>
    <w:rPr>
      <w:kern w:val="0"/>
      <w:sz w:val="24"/>
      <w:szCs w:val="24"/>
    </w:rPr>
  </w:style>
  <w:style w:type="character" w:customStyle="1" w:styleId="101">
    <w:name w:val="正文文本 3 Char"/>
    <w:link w:val="26"/>
    <w:qFormat/>
    <w:uiPriority w:val="0"/>
    <w:rPr>
      <w:kern w:val="2"/>
      <w:sz w:val="24"/>
      <w:szCs w:val="24"/>
    </w:rPr>
  </w:style>
  <w:style w:type="paragraph" w:customStyle="1" w:styleId="102">
    <w:name w:val="正文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3">
    <w:name w:val="Char Char Char1"/>
    <w:basedOn w:val="1"/>
    <w:qFormat/>
    <w:uiPriority w:val="0"/>
    <w:pPr>
      <w:widowControl/>
      <w:spacing w:after="160" w:line="240" w:lineRule="exact"/>
      <w:jc w:val="left"/>
    </w:pPr>
    <w:rPr>
      <w:rFonts w:ascii="Verdana" w:hAnsi="Verdana" w:eastAsia="仿宋_GB2312" w:cs="Verdana"/>
      <w:kern w:val="0"/>
      <w:sz w:val="24"/>
      <w:szCs w:val="24"/>
      <w:lang w:eastAsia="en-US"/>
    </w:rPr>
  </w:style>
  <w:style w:type="paragraph" w:customStyle="1" w:styleId="104">
    <w:name w:val="xl24"/>
    <w:basedOn w:val="1"/>
    <w:qFormat/>
    <w:uiPriority w:val="0"/>
    <w:pPr>
      <w:widowControl/>
      <w:spacing w:before="100" w:beforeAutospacing="1" w:after="100" w:afterAutospacing="1"/>
      <w:jc w:val="left"/>
      <w:textAlignment w:val="center"/>
    </w:pPr>
    <w:rPr>
      <w:rFonts w:ascii="Arial Unicode MS" w:hAnsi="Arial Unicode MS" w:eastAsia="Arial Unicode MS"/>
      <w:b/>
      <w:bCs/>
      <w:color w:val="0000FF"/>
      <w:kern w:val="0"/>
      <w:sz w:val="48"/>
      <w:szCs w:val="48"/>
    </w:rPr>
  </w:style>
  <w:style w:type="paragraph" w:customStyle="1" w:styleId="105">
    <w:name w:val="列出段落1"/>
    <w:basedOn w:val="1"/>
    <w:qFormat/>
    <w:uiPriority w:val="0"/>
    <w:pPr>
      <w:ind w:firstLine="420" w:firstLineChars="200"/>
    </w:pPr>
    <w:rPr>
      <w:szCs w:val="24"/>
    </w:rPr>
  </w:style>
  <w:style w:type="paragraph" w:customStyle="1" w:styleId="106">
    <w:name w:val="font7"/>
    <w:basedOn w:val="1"/>
    <w:qFormat/>
    <w:uiPriority w:val="0"/>
    <w:pPr>
      <w:widowControl/>
      <w:spacing w:before="100" w:beforeAutospacing="1" w:after="100" w:afterAutospacing="1"/>
      <w:jc w:val="left"/>
    </w:pPr>
    <w:rPr>
      <w:rFonts w:hint="eastAsia" w:ascii="宋体" w:hAnsi="宋体"/>
      <w:color w:val="0000FF"/>
      <w:kern w:val="0"/>
      <w:sz w:val="24"/>
      <w:szCs w:val="24"/>
    </w:rPr>
  </w:style>
  <w:style w:type="paragraph" w:customStyle="1" w:styleId="107">
    <w:name w:val="1"/>
    <w:basedOn w:val="1"/>
    <w:next w:val="44"/>
    <w:qFormat/>
    <w:uiPriority w:val="0"/>
    <w:pPr>
      <w:ind w:firstLine="560" w:firstLineChars="200"/>
    </w:pPr>
    <w:rPr>
      <w:rFonts w:ascii="宋体" w:hAnsi="宋体"/>
      <w:sz w:val="28"/>
      <w:szCs w:val="24"/>
    </w:rPr>
  </w:style>
  <w:style w:type="paragraph" w:customStyle="1" w:styleId="108">
    <w:name w:val="xl25"/>
    <w:basedOn w:val="1"/>
    <w:qFormat/>
    <w:uiPriority w:val="0"/>
    <w:pPr>
      <w:widowControl/>
      <w:pBdr>
        <w:bottom w:val="single" w:color="auto" w:sz="4" w:space="0"/>
        <w:right w:val="single" w:color="auto" w:sz="4" w:space="0"/>
      </w:pBdr>
      <w:spacing w:before="100" w:beforeAutospacing="1" w:after="100" w:afterAutospacing="1"/>
    </w:pPr>
    <w:rPr>
      <w:kern w:val="0"/>
      <w:szCs w:val="21"/>
    </w:rPr>
  </w:style>
  <w:style w:type="paragraph" w:customStyle="1" w:styleId="109">
    <w:name w:val="修订1"/>
    <w:qFormat/>
    <w:uiPriority w:val="0"/>
    <w:rPr>
      <w:rFonts w:ascii="Times New Roman" w:hAnsi="Times New Roman" w:eastAsia="宋体" w:cs="Times New Roman"/>
      <w:kern w:val="2"/>
      <w:sz w:val="21"/>
      <w:szCs w:val="24"/>
      <w:lang w:val="en-US" w:eastAsia="zh-CN" w:bidi="ar-SA"/>
    </w:rPr>
  </w:style>
  <w:style w:type="character" w:customStyle="1" w:styleId="110">
    <w:name w:val="正文首行缩进 Char"/>
    <w:basedOn w:val="67"/>
    <w:link w:val="50"/>
    <w:semiHidden/>
    <w:qFormat/>
    <w:uiPriority w:val="99"/>
    <w:rPr>
      <w:rFonts w:ascii="Times New Roman" w:hAnsi="Times New Roman"/>
      <w:kern w:val="2"/>
      <w:sz w:val="21"/>
      <w:szCs w:val="22"/>
    </w:rPr>
  </w:style>
  <w:style w:type="character" w:customStyle="1" w:styleId="111">
    <w:name w:val="正文文本 (2) + 粗体12"/>
    <w:unhideWhenUsed/>
    <w:qFormat/>
    <w:uiPriority w:val="99"/>
    <w:rPr>
      <w:rFonts w:hint="eastAsia" w:ascii="宋体" w:hAnsi="Arial" w:eastAsia="宋体" w:cs="Verdana"/>
      <w:b/>
      <w:kern w:val="0"/>
      <w:sz w:val="20"/>
      <w:lang w:val="en-US" w:eastAsia="en-US"/>
    </w:rPr>
  </w:style>
  <w:style w:type="character" w:customStyle="1" w:styleId="112">
    <w:name w:val="不明显强调1"/>
    <w:qFormat/>
    <w:uiPriority w:val="19"/>
    <w:rPr>
      <w:rFonts w:ascii="宋体" w:hAnsi="宋体" w:eastAsia="宋体"/>
      <w:b/>
      <w:sz w:val="21"/>
      <w:szCs w:val="21"/>
    </w:rPr>
  </w:style>
  <w:style w:type="character" w:customStyle="1" w:styleId="113">
    <w:name w:val="bt21"/>
    <w:basedOn w:val="54"/>
    <w:qFormat/>
    <w:uiPriority w:val="0"/>
    <w:rPr>
      <w:rFonts w:hint="eastAsia" w:ascii="黑体" w:eastAsia="黑体"/>
      <w:sz w:val="24"/>
      <w:szCs w:val="24"/>
    </w:rPr>
  </w:style>
  <w:style w:type="character" w:customStyle="1" w:styleId="114">
    <w:name w:val="zw1"/>
    <w:basedOn w:val="54"/>
    <w:qFormat/>
    <w:uiPriority w:val="0"/>
    <w:rPr>
      <w:rFonts w:hint="eastAsia" w:ascii="宋体" w:hAnsi="宋体" w:eastAsia="宋体"/>
      <w:sz w:val="22"/>
      <w:szCs w:val="22"/>
    </w:rPr>
  </w:style>
  <w:style w:type="character" w:customStyle="1" w:styleId="115">
    <w:name w:val="fontstyle01"/>
    <w:basedOn w:val="54"/>
    <w:qFormat/>
    <w:uiPriority w:val="0"/>
    <w:rPr>
      <w:rFonts w:ascii="黑体" w:hAnsi="宋体" w:eastAsia="黑体" w:cs="黑体"/>
      <w:color w:val="000000"/>
      <w:sz w:val="14"/>
      <w:szCs w:val="14"/>
    </w:rPr>
  </w:style>
  <w:style w:type="paragraph" w:customStyle="1" w:styleId="116">
    <w:name w:val="WPSOffice手动目录 1"/>
    <w:qFormat/>
    <w:uiPriority w:val="0"/>
    <w:rPr>
      <w:rFonts w:ascii="Times New Roman" w:hAnsi="Times New Roman" w:eastAsia="宋体" w:cs="Times New Roman"/>
      <w:lang w:val="en-US" w:eastAsia="zh-CN" w:bidi="ar-SA"/>
    </w:rPr>
  </w:style>
  <w:style w:type="paragraph" w:customStyle="1" w:styleId="117">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118">
    <w:name w:val="WPSOffice手动目录 3"/>
    <w:qFormat/>
    <w:uiPriority w:val="0"/>
    <w:pPr>
      <w:ind w:left="400" w:leftChars="400"/>
    </w:pPr>
    <w:rPr>
      <w:rFonts w:ascii="Times New Roman" w:hAnsi="Times New Roman" w:eastAsia="宋体" w:cs="Times New Roman"/>
      <w:lang w:val="en-US" w:eastAsia="zh-CN" w:bidi="ar-SA"/>
    </w:rPr>
  </w:style>
  <w:style w:type="paragraph" w:customStyle="1" w:styleId="119">
    <w:name w:val="报告正文"/>
    <w:basedOn w:val="1"/>
    <w:qFormat/>
    <w:uiPriority w:val="0"/>
    <w:pPr>
      <w:spacing w:line="500" w:lineRule="exact"/>
      <w:ind w:firstLine="200" w:firstLineChars="200"/>
      <w:jc w:val="left"/>
    </w:pPr>
    <w:rPr>
      <w:rFonts w:eastAsia="仿宋_GB2312"/>
      <w:sz w:val="28"/>
    </w:rPr>
  </w:style>
  <w:style w:type="paragraph" w:customStyle="1" w:styleId="120">
    <w:name w:val="表格标题"/>
    <w:basedOn w:val="1"/>
    <w:next w:val="1"/>
    <w:qFormat/>
    <w:uiPriority w:val="0"/>
    <w:pPr>
      <w:keepNext/>
      <w:widowControl/>
      <w:overflowPunct w:val="0"/>
      <w:adjustRightInd w:val="0"/>
      <w:snapToGrid w:val="0"/>
      <w:spacing w:before="360" w:after="120" w:line="480" w:lineRule="exact"/>
      <w:jc w:val="center"/>
      <w:textAlignment w:val="baseline"/>
    </w:pPr>
    <w:rPr>
      <w:rFonts w:ascii="Arial" w:hAnsi="Arial" w:eastAsia="黑体"/>
      <w:kern w:val="0"/>
      <w:sz w:val="24"/>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1.wmf"/><Relationship Id="rId8" Type="http://schemas.openxmlformats.org/officeDocument/2006/relationships/oleObject" Target="embeddings/oleObject1.bin"/><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glossaryDocument" Target="glossary/document.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999a22ba-e97b-4279-8920-dc5cb629b685}"/>
        <w:style w:val=""/>
        <w:category>
          <w:name w:val="常规"/>
          <w:gallery w:val="placeholder"/>
        </w:category>
        <w:types>
          <w:type w:val="bbPlcHdr"/>
        </w:types>
        <w:behaviors>
          <w:behavior w:val="content"/>
        </w:behaviors>
        <w:description w:val=""/>
        <w:guid w:val="{999a22ba-e97b-4279-8920-dc5cb629b685}"/>
      </w:docPartPr>
      <w:docPartBody>
        <w:p>
          <w:r>
            <w:rPr>
              <w:color w:val="808080"/>
            </w:rPr>
            <w:t>单击此处输入文字。</w:t>
          </w:r>
        </w:p>
      </w:docPartBody>
    </w:docPart>
    <w:docPart>
      <w:docPartPr>
        <w:name w:val="{9e1a34fb-4285-47bd-89f9-55874bfdd1e0}"/>
        <w:style w:val=""/>
        <w:category>
          <w:name w:val="常规"/>
          <w:gallery w:val="placeholder"/>
        </w:category>
        <w:types>
          <w:type w:val="bbPlcHdr"/>
        </w:types>
        <w:behaviors>
          <w:behavior w:val="content"/>
        </w:behaviors>
        <w:description w:val=""/>
        <w:guid w:val="{9e1a34fb-4285-47bd-89f9-55874bfdd1e0}"/>
      </w:docPartPr>
      <w:docPartBody>
        <w:p>
          <w:r>
            <w:rPr>
              <w:color w:val="808080"/>
            </w:rPr>
            <w:t>单击此处输入文字。</w:t>
          </w:r>
        </w:p>
      </w:docPartBody>
    </w:docPart>
    <w:docPart>
      <w:docPartPr>
        <w:name w:val="{26c0d151-55eb-4afe-ac07-35d1c6d7ed34}"/>
        <w:style w:val=""/>
        <w:category>
          <w:name w:val="常规"/>
          <w:gallery w:val="placeholder"/>
        </w:category>
        <w:types>
          <w:type w:val="bbPlcHdr"/>
        </w:types>
        <w:behaviors>
          <w:behavior w:val="content"/>
        </w:behaviors>
        <w:description w:val=""/>
        <w:guid w:val="{26c0d151-55eb-4afe-ac07-35d1c6d7ed34}"/>
      </w:docPartPr>
      <w:docPartBody>
        <w:p>
          <w:r>
            <w:rPr>
              <w:color w:val="808080"/>
            </w:rPr>
            <w:t>单击此处输入文字。</w:t>
          </w:r>
        </w:p>
      </w:docPartBody>
    </w:docPart>
    <w:docPart>
      <w:docPartPr>
        <w:name w:val="{7b80562b-5179-4e6a-a5bf-0d217b34b662}"/>
        <w:style w:val=""/>
        <w:category>
          <w:name w:val="常规"/>
          <w:gallery w:val="placeholder"/>
        </w:category>
        <w:types>
          <w:type w:val="bbPlcHdr"/>
        </w:types>
        <w:behaviors>
          <w:behavior w:val="content"/>
        </w:behaviors>
        <w:description w:val=""/>
        <w:guid w:val="{7b80562b-5179-4e6a-a5bf-0d217b34b662}"/>
      </w:docPartPr>
      <w:docPartBody>
        <w:p>
          <w:r>
            <w:rPr>
              <w:color w:val="808080"/>
            </w:rPr>
            <w:t>单击此处输入文字。</w:t>
          </w:r>
        </w:p>
      </w:docPartBody>
    </w:docPart>
    <w:docPart>
      <w:docPartPr>
        <w:name w:val="{c53a6d96-d267-4533-93ea-00332c86fe4a}"/>
        <w:style w:val=""/>
        <w:category>
          <w:name w:val="常规"/>
          <w:gallery w:val="placeholder"/>
        </w:category>
        <w:types>
          <w:type w:val="bbPlcHdr"/>
        </w:types>
        <w:behaviors>
          <w:behavior w:val="content"/>
        </w:behaviors>
        <w:description w:val=""/>
        <w:guid w:val="{c53a6d96-d267-4533-93ea-00332c86fe4a}"/>
      </w:docPartPr>
      <w:docPartBody>
        <w:p>
          <w:r>
            <w:rPr>
              <w:color w:val="808080"/>
            </w:rPr>
            <w:t>单击此处输入文字。</w:t>
          </w:r>
        </w:p>
      </w:docPartBody>
    </w:docPart>
    <w:docPart>
      <w:docPartPr>
        <w:name w:val="{dd78e9ae-41c5-424e-98ee-3fe11592d1ad}"/>
        <w:style w:val=""/>
        <w:category>
          <w:name w:val="常规"/>
          <w:gallery w:val="placeholder"/>
        </w:category>
        <w:types>
          <w:type w:val="bbPlcHdr"/>
        </w:types>
        <w:behaviors>
          <w:behavior w:val="content"/>
        </w:behaviors>
        <w:description w:val=""/>
        <w:guid w:val="{dd78e9ae-41c5-424e-98ee-3fe11592d1ad}"/>
      </w:docPartPr>
      <w:docPartBody>
        <w:p>
          <w:r>
            <w:rPr>
              <w:color w:val="808080"/>
            </w:rPr>
            <w:t>单击此处输入文字。</w:t>
          </w:r>
        </w:p>
      </w:docPartBody>
    </w:docPart>
    <w:docPart>
      <w:docPartPr>
        <w:name w:val="{97693941-3473-4474-9562-553e03051d26}"/>
        <w:style w:val=""/>
        <w:category>
          <w:name w:val="常规"/>
          <w:gallery w:val="placeholder"/>
        </w:category>
        <w:types>
          <w:type w:val="bbPlcHdr"/>
        </w:types>
        <w:behaviors>
          <w:behavior w:val="content"/>
        </w:behaviors>
        <w:description w:val=""/>
        <w:guid w:val="{97693941-3473-4474-9562-553e03051d26}"/>
      </w:docPartPr>
      <w:docPartBody>
        <w:p>
          <w:r>
            <w:rPr>
              <w:color w:val="808080"/>
            </w:rPr>
            <w:t>单击此处输入文字。</w:t>
          </w:r>
        </w:p>
      </w:docPartBody>
    </w:docPart>
    <w:docPart>
      <w:docPartPr>
        <w:name w:val="{164d2be3-73fb-4821-8064-3f7a3d948144}"/>
        <w:style w:val=""/>
        <w:category>
          <w:name w:val="常规"/>
          <w:gallery w:val="placeholder"/>
        </w:category>
        <w:types>
          <w:type w:val="bbPlcHdr"/>
        </w:types>
        <w:behaviors>
          <w:behavior w:val="content"/>
        </w:behaviors>
        <w:description w:val=""/>
        <w:guid w:val="{164d2be3-73fb-4821-8064-3f7a3d948144}"/>
      </w:docPartPr>
      <w:docPartBody>
        <w:p>
          <w:r>
            <w:rPr>
              <w:color w:val="808080"/>
            </w:rPr>
            <w:t>单击此处输入文字。</w:t>
          </w:r>
        </w:p>
      </w:docPartBody>
    </w:docPart>
    <w:docPart>
      <w:docPartPr>
        <w:name w:val="{0d58a21b-b661-4beb-8623-1e7798f57d41}"/>
        <w:style w:val=""/>
        <w:category>
          <w:name w:val="常规"/>
          <w:gallery w:val="placeholder"/>
        </w:category>
        <w:types>
          <w:type w:val="bbPlcHdr"/>
        </w:types>
        <w:behaviors>
          <w:behavior w:val="content"/>
        </w:behaviors>
        <w:description w:val=""/>
        <w:guid w:val="{0d58a21b-b661-4beb-8623-1e7798f57d41}"/>
      </w:docPartPr>
      <w:docPartBody>
        <w:p>
          <w:r>
            <w:rPr>
              <w:color w:val="808080"/>
            </w:rPr>
            <w:t>单击此处输入文字。</w:t>
          </w:r>
        </w:p>
      </w:docPartBody>
    </w:docPart>
    <w:docPart>
      <w:docPartPr>
        <w:name w:val="{df50d24c-af9b-48e6-a2e9-a7a05bb38fc4}"/>
        <w:style w:val=""/>
        <w:category>
          <w:name w:val="常规"/>
          <w:gallery w:val="placeholder"/>
        </w:category>
        <w:types>
          <w:type w:val="bbPlcHdr"/>
        </w:types>
        <w:behaviors>
          <w:behavior w:val="content"/>
        </w:behaviors>
        <w:description w:val=""/>
        <w:guid w:val="{df50d24c-af9b-48e6-a2e9-a7a05bb38fc4}"/>
      </w:docPartPr>
      <w:docPartBody>
        <w:p>
          <w:r>
            <w:rPr>
              <w:color w:val="808080"/>
            </w:rPr>
            <w:t>单击此处输入文字。</w:t>
          </w:r>
        </w:p>
      </w:docPartBody>
    </w:docPart>
    <w:docPart>
      <w:docPartPr>
        <w:name w:val="{d1e65922-d6ed-42f7-8f9f-e60479de7fdd}"/>
        <w:style w:val=""/>
        <w:category>
          <w:name w:val="常规"/>
          <w:gallery w:val="placeholder"/>
        </w:category>
        <w:types>
          <w:type w:val="bbPlcHdr"/>
        </w:types>
        <w:behaviors>
          <w:behavior w:val="content"/>
        </w:behaviors>
        <w:description w:val=""/>
        <w:guid w:val="{d1e65922-d6ed-42f7-8f9f-e60479de7fdd}"/>
      </w:docPartPr>
      <w:docPartBody>
        <w:p>
          <w:r>
            <w:rPr>
              <w:color w:val="808080"/>
            </w:rPr>
            <w:t>单击此处输入文字。</w:t>
          </w:r>
        </w:p>
      </w:docPartBody>
    </w:docPart>
    <w:docPart>
      <w:docPartPr>
        <w:name w:val="{67284868-b475-4f4a-a386-4cf2f73cfd06}"/>
        <w:style w:val=""/>
        <w:category>
          <w:name w:val="常规"/>
          <w:gallery w:val="placeholder"/>
        </w:category>
        <w:types>
          <w:type w:val="bbPlcHdr"/>
        </w:types>
        <w:behaviors>
          <w:behavior w:val="content"/>
        </w:behaviors>
        <w:description w:val=""/>
        <w:guid w:val="{67284868-b475-4f4a-a386-4cf2f73cfd06}"/>
      </w:docPartPr>
      <w:docPartBody>
        <w:p>
          <w:r>
            <w:rPr>
              <w:color w:val="808080"/>
            </w:rPr>
            <w:t>单击此处输入文字。</w:t>
          </w:r>
        </w:p>
      </w:docPartBody>
    </w:docPart>
    <w:docPart>
      <w:docPartPr>
        <w:name w:val="{aabf606f-92d4-4035-bb5a-7b0e77f80ada}"/>
        <w:style w:val=""/>
        <w:category>
          <w:name w:val="常规"/>
          <w:gallery w:val="placeholder"/>
        </w:category>
        <w:types>
          <w:type w:val="bbPlcHdr"/>
        </w:types>
        <w:behaviors>
          <w:behavior w:val="content"/>
        </w:behaviors>
        <w:description w:val=""/>
        <w:guid w:val="{aabf606f-92d4-4035-bb5a-7b0e77f80ada}"/>
      </w:docPartPr>
      <w:docPartBody>
        <w:p>
          <w:r>
            <w:rPr>
              <w:color w:val="808080"/>
            </w:rPr>
            <w:t>单击此处输入文字。</w:t>
          </w:r>
        </w:p>
      </w:docPartBody>
    </w:docPart>
    <w:docPart>
      <w:docPartPr>
        <w:name w:val="{df9a697c-6229-4d4c-9e20-011f01093a61}"/>
        <w:style w:val=""/>
        <w:category>
          <w:name w:val="常规"/>
          <w:gallery w:val="placeholder"/>
        </w:category>
        <w:types>
          <w:type w:val="bbPlcHdr"/>
        </w:types>
        <w:behaviors>
          <w:behavior w:val="content"/>
        </w:behaviors>
        <w:description w:val=""/>
        <w:guid w:val="{df9a697c-6229-4d4c-9e20-011f01093a61}"/>
      </w:docPartPr>
      <w:docPartBody>
        <w:p>
          <w:r>
            <w:rPr>
              <w:color w:val="808080"/>
            </w:rPr>
            <w:t>单击此处输入文字。</w:t>
          </w:r>
        </w:p>
      </w:docPartBody>
    </w:docPart>
    <w:docPart>
      <w:docPartPr>
        <w:name w:val="{fb82c5af-ea28-463c-ac57-c0416cd343ee}"/>
        <w:style w:val=""/>
        <w:category>
          <w:name w:val="常规"/>
          <w:gallery w:val="placeholder"/>
        </w:category>
        <w:types>
          <w:type w:val="bbPlcHdr"/>
        </w:types>
        <w:behaviors>
          <w:behavior w:val="content"/>
        </w:behaviors>
        <w:description w:val=""/>
        <w:guid w:val="{fb82c5af-ea28-463c-ac57-c0416cd343ee}"/>
      </w:docPartPr>
      <w:docPartBody>
        <w:p>
          <w:r>
            <w:rPr>
              <w:color w:val="808080"/>
            </w:rPr>
            <w:t>单击此处输入文字。</w:t>
          </w:r>
        </w:p>
      </w:docPartBody>
    </w:docPart>
    <w:docPart>
      <w:docPartPr>
        <w:name w:val="{b937a903-ed5b-4d20-9e19-a6952c5a2c89}"/>
        <w:style w:val=""/>
        <w:category>
          <w:name w:val="常规"/>
          <w:gallery w:val="placeholder"/>
        </w:category>
        <w:types>
          <w:type w:val="bbPlcHdr"/>
        </w:types>
        <w:behaviors>
          <w:behavior w:val="content"/>
        </w:behaviors>
        <w:description w:val=""/>
        <w:guid w:val="{b937a903-ed5b-4d20-9e19-a6952c5a2c89}"/>
      </w:docPartPr>
      <w:docPartBody>
        <w:p>
          <w:r>
            <w:rPr>
              <w:color w:val="808080"/>
            </w:rPr>
            <w:t>单击此处输入文字。</w:t>
          </w:r>
        </w:p>
      </w:docPartBody>
    </w:docPart>
    <w:docPart>
      <w:docPartPr>
        <w:name w:val="{b698042f-33ee-4bd5-9926-45c62f1fd62f}"/>
        <w:style w:val=""/>
        <w:category>
          <w:name w:val="常规"/>
          <w:gallery w:val="placeholder"/>
        </w:category>
        <w:types>
          <w:type w:val="bbPlcHdr"/>
        </w:types>
        <w:behaviors>
          <w:behavior w:val="content"/>
        </w:behaviors>
        <w:description w:val=""/>
        <w:guid w:val="{b698042f-33ee-4bd5-9926-45c62f1fd62f}"/>
      </w:docPartPr>
      <w:docPartBody>
        <w:p>
          <w:r>
            <w:rPr>
              <w:color w:val="808080"/>
            </w:rPr>
            <w:t>单击此处输入文字。</w:t>
          </w:r>
        </w:p>
      </w:docPartBody>
    </w:docPart>
    <w:docPart>
      <w:docPartPr>
        <w:name w:val="{0acec32c-52e7-4a18-a9d3-3d4f033b6663}"/>
        <w:style w:val=""/>
        <w:category>
          <w:name w:val="常规"/>
          <w:gallery w:val="placeholder"/>
        </w:category>
        <w:types>
          <w:type w:val="bbPlcHdr"/>
        </w:types>
        <w:behaviors>
          <w:behavior w:val="content"/>
        </w:behaviors>
        <w:description w:val=""/>
        <w:guid w:val="{0acec32c-52e7-4a18-a9d3-3d4f033b6663}"/>
      </w:docPartPr>
      <w:docPartBody>
        <w:p>
          <w:r>
            <w:rPr>
              <w:color w:val="808080"/>
            </w:rPr>
            <w:t>单击此处输入文字。</w:t>
          </w:r>
        </w:p>
      </w:docPartBody>
    </w:docPart>
    <w:docPart>
      <w:docPartPr>
        <w:name w:val="{1f16ca7b-290b-4562-b61e-29186be1340b}"/>
        <w:style w:val=""/>
        <w:category>
          <w:name w:val="常规"/>
          <w:gallery w:val="placeholder"/>
        </w:category>
        <w:types>
          <w:type w:val="bbPlcHdr"/>
        </w:types>
        <w:behaviors>
          <w:behavior w:val="content"/>
        </w:behaviors>
        <w:description w:val=""/>
        <w:guid w:val="{1f16ca7b-290b-4562-b61e-29186be1340b}"/>
      </w:docPartPr>
      <w:docPartBody>
        <w:p>
          <w:r>
            <w:rPr>
              <w:color w:val="808080"/>
            </w:rPr>
            <w:t>单击此处输入文字。</w:t>
          </w:r>
        </w:p>
      </w:docPartBody>
    </w:docPart>
    <w:docPart>
      <w:docPartPr>
        <w:name w:val="{1b54094c-430b-4347-87b8-7e8f69b7503b}"/>
        <w:style w:val=""/>
        <w:category>
          <w:name w:val="常规"/>
          <w:gallery w:val="placeholder"/>
        </w:category>
        <w:types>
          <w:type w:val="bbPlcHdr"/>
        </w:types>
        <w:behaviors>
          <w:behavior w:val="content"/>
        </w:behaviors>
        <w:description w:val=""/>
        <w:guid w:val="{1b54094c-430b-4347-87b8-7e8f69b7503b}"/>
      </w:docPartPr>
      <w:docPartBody>
        <w:p>
          <w:r>
            <w:rPr>
              <w:color w:val="808080"/>
            </w:rPr>
            <w:t>单击此处输入文字。</w:t>
          </w:r>
        </w:p>
      </w:docPartBody>
    </w:docPart>
    <w:docPart>
      <w:docPartPr>
        <w:name w:val="{17a1a929-0eb2-4b16-935f-ef218aa0f370}"/>
        <w:style w:val=""/>
        <w:category>
          <w:name w:val="常规"/>
          <w:gallery w:val="placeholder"/>
        </w:category>
        <w:types>
          <w:type w:val="bbPlcHdr"/>
        </w:types>
        <w:behaviors>
          <w:behavior w:val="content"/>
        </w:behaviors>
        <w:description w:val=""/>
        <w:guid w:val="{17a1a929-0eb2-4b16-935f-ef218aa0f370}"/>
      </w:docPartPr>
      <w:docPartBody>
        <w:p>
          <w:r>
            <w:rPr>
              <w:color w:val="808080"/>
            </w:rPr>
            <w:t>单击此处输入文字。</w:t>
          </w:r>
        </w:p>
      </w:docPartBody>
    </w:docPart>
    <w:docPart>
      <w:docPartPr>
        <w:name w:val="{641e9d3e-15e4-44ef-8716-5f585dab84a0}"/>
        <w:style w:val=""/>
        <w:category>
          <w:name w:val="常规"/>
          <w:gallery w:val="placeholder"/>
        </w:category>
        <w:types>
          <w:type w:val="bbPlcHdr"/>
        </w:types>
        <w:behaviors>
          <w:behavior w:val="content"/>
        </w:behaviors>
        <w:description w:val=""/>
        <w:guid w:val="{641e9d3e-15e4-44ef-8716-5f585dab84a0}"/>
      </w:docPartPr>
      <w:docPartBody>
        <w:p>
          <w:r>
            <w:rPr>
              <w:color w:val="808080"/>
            </w:rPr>
            <w:t>单击此处输入文字。</w:t>
          </w:r>
        </w:p>
      </w:docPartBody>
    </w:docPart>
    <w:docPart>
      <w:docPartPr>
        <w:name w:val="{6683fd3a-80ef-4587-bc5c-c31fbb58f1f5}"/>
        <w:style w:val=""/>
        <w:category>
          <w:name w:val="常规"/>
          <w:gallery w:val="placeholder"/>
        </w:category>
        <w:types>
          <w:type w:val="bbPlcHdr"/>
        </w:types>
        <w:behaviors>
          <w:behavior w:val="content"/>
        </w:behaviors>
        <w:description w:val=""/>
        <w:guid w:val="{6683fd3a-80ef-4587-bc5c-c31fbb58f1f5}"/>
      </w:docPartPr>
      <w:docPartBody>
        <w:p>
          <w:r>
            <w:rPr>
              <w:color w:val="808080"/>
            </w:rPr>
            <w:t>单击此处输入文字。</w:t>
          </w:r>
        </w:p>
      </w:docPartBody>
    </w:docPart>
    <w:docPart>
      <w:docPartPr>
        <w:name w:val="{c9ec67fc-9c4c-405c-9085-5ade7713463f}"/>
        <w:style w:val=""/>
        <w:category>
          <w:name w:val="常规"/>
          <w:gallery w:val="placeholder"/>
        </w:category>
        <w:types>
          <w:type w:val="bbPlcHdr"/>
        </w:types>
        <w:behaviors>
          <w:behavior w:val="content"/>
        </w:behaviors>
        <w:description w:val=""/>
        <w:guid w:val="{c9ec67fc-9c4c-405c-9085-5ade7713463f}"/>
      </w:docPartPr>
      <w:docPartBody>
        <w:p>
          <w:r>
            <w:rPr>
              <w:color w:val="808080"/>
            </w:rPr>
            <w:t>单击此处输入文字。</w:t>
          </w:r>
        </w:p>
      </w:docPartBody>
    </w:docPart>
    <w:docPart>
      <w:docPartPr>
        <w:name w:val="{ac10cc88-b409-4eb5-a844-c796ec5ae73a}"/>
        <w:style w:val=""/>
        <w:category>
          <w:name w:val="常规"/>
          <w:gallery w:val="placeholder"/>
        </w:category>
        <w:types>
          <w:type w:val="bbPlcHdr"/>
        </w:types>
        <w:behaviors>
          <w:behavior w:val="content"/>
        </w:behaviors>
        <w:description w:val=""/>
        <w:guid w:val="{ac10cc88-b409-4eb5-a844-c796ec5ae73a}"/>
      </w:docPartPr>
      <w:docPartBody>
        <w:p>
          <w:r>
            <w:rPr>
              <w:color w:val="808080"/>
            </w:rPr>
            <w:t>单击此处输入文字。</w:t>
          </w:r>
        </w:p>
      </w:docPartBody>
    </w:docPart>
    <w:docPart>
      <w:docPartPr>
        <w:name w:val="{082c66a0-be07-42f5-b5b8-bc97a58fdfff}"/>
        <w:style w:val=""/>
        <w:category>
          <w:name w:val="常规"/>
          <w:gallery w:val="placeholder"/>
        </w:category>
        <w:types>
          <w:type w:val="bbPlcHdr"/>
        </w:types>
        <w:behaviors>
          <w:behavior w:val="content"/>
        </w:behaviors>
        <w:description w:val=""/>
        <w:guid w:val="{082c66a0-be07-42f5-b5b8-bc97a58fdfff}"/>
      </w:docPartPr>
      <w:docPartBody>
        <w:p>
          <w:r>
            <w:rPr>
              <w:color w:val="808080"/>
            </w:rPr>
            <w:t>单击此处输入文字。</w:t>
          </w:r>
        </w:p>
      </w:docPartBody>
    </w:docPart>
    <w:docPart>
      <w:docPartPr>
        <w:name w:val="{b9aee985-835c-4563-8ddd-65d60a9f9472}"/>
        <w:style w:val=""/>
        <w:category>
          <w:name w:val="常规"/>
          <w:gallery w:val="placeholder"/>
        </w:category>
        <w:types>
          <w:type w:val="bbPlcHdr"/>
        </w:types>
        <w:behaviors>
          <w:behavior w:val="content"/>
        </w:behaviors>
        <w:description w:val=""/>
        <w:guid w:val="{b9aee985-835c-4563-8ddd-65d60a9f9472}"/>
      </w:docPartPr>
      <w:docPartBody>
        <w:p>
          <w:r>
            <w:rPr>
              <w:color w:val="808080"/>
            </w:rPr>
            <w:t>单击此处输入文字。</w:t>
          </w:r>
        </w:p>
      </w:docPartBody>
    </w:docPart>
    <w:docPart>
      <w:docPartPr>
        <w:name w:val="{9f7ec017-637a-452b-ba39-5c5edd5caa0e}"/>
        <w:style w:val=""/>
        <w:category>
          <w:name w:val="常规"/>
          <w:gallery w:val="placeholder"/>
        </w:category>
        <w:types>
          <w:type w:val="bbPlcHdr"/>
        </w:types>
        <w:behaviors>
          <w:behavior w:val="content"/>
        </w:behaviors>
        <w:description w:val=""/>
        <w:guid w:val="{9f7ec017-637a-452b-ba39-5c5edd5caa0e}"/>
      </w:docPartPr>
      <w:docPartBody>
        <w:p>
          <w:r>
            <w:rPr>
              <w:color w:val="808080"/>
            </w:rPr>
            <w:t>单击此处输入文字。</w:t>
          </w:r>
        </w:p>
      </w:docPartBody>
    </w:docPart>
    <w:docPart>
      <w:docPartPr>
        <w:name w:val="{fb6392b1-3530-499e-810e-01f5f660e174}"/>
        <w:style w:val=""/>
        <w:category>
          <w:name w:val="常规"/>
          <w:gallery w:val="placeholder"/>
        </w:category>
        <w:types>
          <w:type w:val="bbPlcHdr"/>
        </w:types>
        <w:behaviors>
          <w:behavior w:val="content"/>
        </w:behaviors>
        <w:description w:val=""/>
        <w:guid w:val="{fb6392b1-3530-499e-810e-01f5f660e174}"/>
      </w:docPartPr>
      <w:docPartBody>
        <w:p>
          <w:r>
            <w:rPr>
              <w:color w:val="808080"/>
            </w:rPr>
            <w:t>单击此处输入文字。</w:t>
          </w:r>
        </w:p>
      </w:docPartBody>
    </w:docPart>
    <w:docPart>
      <w:docPartPr>
        <w:name w:val="{5f0308c8-94d2-4b41-9685-3a493aac1cc8}"/>
        <w:style w:val=""/>
        <w:category>
          <w:name w:val="常规"/>
          <w:gallery w:val="placeholder"/>
        </w:category>
        <w:types>
          <w:type w:val="bbPlcHdr"/>
        </w:types>
        <w:behaviors>
          <w:behavior w:val="content"/>
        </w:behaviors>
        <w:description w:val=""/>
        <w:guid w:val="{5f0308c8-94d2-4b41-9685-3a493aac1cc8}"/>
      </w:docPartPr>
      <w:docPartBody>
        <w:p>
          <w:r>
            <w:rPr>
              <w:color w:val="808080"/>
            </w:rPr>
            <w:t>单击此处输入文字。</w:t>
          </w:r>
        </w:p>
      </w:docPartBody>
    </w:docPart>
    <w:docPart>
      <w:docPartPr>
        <w:name w:val="{ad5bc4e9-070d-412c-810b-f2e0ba23d6c7}"/>
        <w:style w:val=""/>
        <w:category>
          <w:name w:val="常规"/>
          <w:gallery w:val="placeholder"/>
        </w:category>
        <w:types>
          <w:type w:val="bbPlcHdr"/>
        </w:types>
        <w:behaviors>
          <w:behavior w:val="content"/>
        </w:behaviors>
        <w:description w:val=""/>
        <w:guid w:val="{ad5bc4e9-070d-412c-810b-f2e0ba23d6c7}"/>
      </w:docPartPr>
      <w:docPartBody>
        <w:p>
          <w:r>
            <w:rPr>
              <w:color w:val="808080"/>
            </w:rPr>
            <w:t>单击此处输入文字。</w:t>
          </w:r>
        </w:p>
      </w:docPartBody>
    </w:docPart>
    <w:docPart>
      <w:docPartPr>
        <w:name w:val="{255db29f-0fda-4636-b5a4-6c35088fcac1}"/>
        <w:style w:val=""/>
        <w:category>
          <w:name w:val="常规"/>
          <w:gallery w:val="placeholder"/>
        </w:category>
        <w:types>
          <w:type w:val="bbPlcHdr"/>
        </w:types>
        <w:behaviors>
          <w:behavior w:val="content"/>
        </w:behaviors>
        <w:description w:val=""/>
        <w:guid w:val="{255db29f-0fda-4636-b5a4-6c35088fcac1}"/>
      </w:docPartPr>
      <w:docPartBody>
        <w:p>
          <w:r>
            <w:rPr>
              <w:color w:val="808080"/>
            </w:rPr>
            <w:t>单击此处输入文字。</w:t>
          </w:r>
        </w:p>
      </w:docPartBody>
    </w:docPart>
    <w:docPart>
      <w:docPartPr>
        <w:name w:val="{b4d1dced-0f70-4148-a997-c55d9cb40a11}"/>
        <w:style w:val=""/>
        <w:category>
          <w:name w:val="常规"/>
          <w:gallery w:val="placeholder"/>
        </w:category>
        <w:types>
          <w:type w:val="bbPlcHdr"/>
        </w:types>
        <w:behaviors>
          <w:behavior w:val="content"/>
        </w:behaviors>
        <w:description w:val=""/>
        <w:guid w:val="{b4d1dced-0f70-4148-a997-c55d9cb40a11}"/>
      </w:docPartPr>
      <w:docPartBody>
        <w:p>
          <w:r>
            <w:rPr>
              <w:color w:val="808080"/>
            </w:rPr>
            <w:t>单击此处输入文字。</w:t>
          </w:r>
        </w:p>
      </w:docPartBody>
    </w:docPart>
    <w:docPart>
      <w:docPartPr>
        <w:name w:val="{5b8cac26-60df-470d-86fe-e8f114f66c1b}"/>
        <w:style w:val=""/>
        <w:category>
          <w:name w:val="常规"/>
          <w:gallery w:val="placeholder"/>
        </w:category>
        <w:types>
          <w:type w:val="bbPlcHdr"/>
        </w:types>
        <w:behaviors>
          <w:behavior w:val="content"/>
        </w:behaviors>
        <w:description w:val=""/>
        <w:guid w:val="{5b8cac26-60df-470d-86fe-e8f114f66c1b}"/>
      </w:docPartPr>
      <w:docPartBody>
        <w:p>
          <w:r>
            <w:rPr>
              <w:color w:val="808080"/>
            </w:rPr>
            <w:t>单击此处输入文字。</w:t>
          </w:r>
        </w:p>
      </w:docPartBody>
    </w:docPart>
    <w:docPart>
      <w:docPartPr>
        <w:name w:val="{9262c514-66ec-47f1-b44c-4239c07fc980}"/>
        <w:style w:val=""/>
        <w:category>
          <w:name w:val="常规"/>
          <w:gallery w:val="placeholder"/>
        </w:category>
        <w:types>
          <w:type w:val="bbPlcHdr"/>
        </w:types>
        <w:behaviors>
          <w:behavior w:val="content"/>
        </w:behaviors>
        <w:description w:val=""/>
        <w:guid w:val="{9262c514-66ec-47f1-b44c-4239c07fc980}"/>
      </w:docPartPr>
      <w:docPartBody>
        <w:p>
          <w:r>
            <w:rPr>
              <w:color w:val="808080"/>
            </w:rPr>
            <w:t>单击此处输入文字。</w:t>
          </w:r>
        </w:p>
      </w:docPartBody>
    </w:docPart>
    <w:docPart>
      <w:docPartPr>
        <w:name w:val="{deea4700-5a29-4a8b-8092-24d0c39a7b56}"/>
        <w:style w:val=""/>
        <w:category>
          <w:name w:val="常规"/>
          <w:gallery w:val="placeholder"/>
        </w:category>
        <w:types>
          <w:type w:val="bbPlcHdr"/>
        </w:types>
        <w:behaviors>
          <w:behavior w:val="content"/>
        </w:behaviors>
        <w:description w:val=""/>
        <w:guid w:val="{deea4700-5a29-4a8b-8092-24d0c39a7b56}"/>
      </w:docPartPr>
      <w:docPartBody>
        <w:p>
          <w:r>
            <w:rPr>
              <w:color w:val="808080"/>
            </w:rPr>
            <w:t>单击此处输入文字。</w:t>
          </w:r>
        </w:p>
      </w:docPartBody>
    </w:docPart>
    <w:docPart>
      <w:docPartPr>
        <w:name w:val="{b860e7eb-7a46-4897-b64b-408828c109f0}"/>
        <w:style w:val=""/>
        <w:category>
          <w:name w:val="常规"/>
          <w:gallery w:val="placeholder"/>
        </w:category>
        <w:types>
          <w:type w:val="bbPlcHdr"/>
        </w:types>
        <w:behaviors>
          <w:behavior w:val="content"/>
        </w:behaviors>
        <w:description w:val=""/>
        <w:guid w:val="{b860e7eb-7a46-4897-b64b-408828c109f0}"/>
      </w:docPartPr>
      <w:docPartBody>
        <w:p>
          <w:r>
            <w:rPr>
              <w:color w:val="808080"/>
            </w:rPr>
            <w:t>单击此处输入文字。</w:t>
          </w:r>
        </w:p>
      </w:docPartBody>
    </w:docPart>
    <w:docPart>
      <w:docPartPr>
        <w:name w:val="{41ba9982-1c11-43c1-a040-6ff0c920c622}"/>
        <w:style w:val=""/>
        <w:category>
          <w:name w:val="常规"/>
          <w:gallery w:val="placeholder"/>
        </w:category>
        <w:types>
          <w:type w:val="bbPlcHdr"/>
        </w:types>
        <w:behaviors>
          <w:behavior w:val="content"/>
        </w:behaviors>
        <w:description w:val=""/>
        <w:guid w:val="{41ba9982-1c11-43c1-a040-6ff0c920c622}"/>
      </w:docPartPr>
      <w:docPartBody>
        <w:p>
          <w:r>
            <w:rPr>
              <w:color w:val="808080"/>
            </w:rPr>
            <w:t>单击此处输入文字。</w:t>
          </w:r>
        </w:p>
      </w:docPartBody>
    </w:docPart>
    <w:docPart>
      <w:docPartPr>
        <w:name w:val="{ac8ac763-fdba-49d4-8c32-513e06555e61}"/>
        <w:style w:val=""/>
        <w:category>
          <w:name w:val="常规"/>
          <w:gallery w:val="placeholder"/>
        </w:category>
        <w:types>
          <w:type w:val="bbPlcHdr"/>
        </w:types>
        <w:behaviors>
          <w:behavior w:val="content"/>
        </w:behaviors>
        <w:description w:val=""/>
        <w:guid w:val="{ac8ac763-fdba-49d4-8c32-513e06555e61}"/>
      </w:docPartPr>
      <w:docPartBody>
        <w:p>
          <w:r>
            <w:rPr>
              <w:color w:val="808080"/>
            </w:rPr>
            <w:t>单击此处输入文字。</w:t>
          </w:r>
        </w:p>
      </w:docPartBody>
    </w:docPart>
    <w:docPart>
      <w:docPartPr>
        <w:name w:val="{0245b619-fe18-4dd3-96a8-19ab441e5988}"/>
        <w:style w:val=""/>
        <w:category>
          <w:name w:val="常规"/>
          <w:gallery w:val="placeholder"/>
        </w:category>
        <w:types>
          <w:type w:val="bbPlcHdr"/>
        </w:types>
        <w:behaviors>
          <w:behavior w:val="content"/>
        </w:behaviors>
        <w:description w:val=""/>
        <w:guid w:val="{0245b619-fe18-4dd3-96a8-19ab441e5988}"/>
      </w:docPartPr>
      <w:docPartBody>
        <w:p>
          <w:r>
            <w:rPr>
              <w:color w:val="808080"/>
            </w:rPr>
            <w:t>单击此处输入文字。</w:t>
          </w:r>
        </w:p>
      </w:docPartBody>
    </w:docPart>
    <w:docPart>
      <w:docPartPr>
        <w:name w:val="{9180d87e-f7f8-4cc7-8a57-e7831b16c971}"/>
        <w:style w:val=""/>
        <w:category>
          <w:name w:val="常规"/>
          <w:gallery w:val="placeholder"/>
        </w:category>
        <w:types>
          <w:type w:val="bbPlcHdr"/>
        </w:types>
        <w:behaviors>
          <w:behavior w:val="content"/>
        </w:behaviors>
        <w:description w:val=""/>
        <w:guid w:val="{9180d87e-f7f8-4cc7-8a57-e7831b16c971}"/>
      </w:docPartPr>
      <w:docPartBody>
        <w:p>
          <w:r>
            <w:rPr>
              <w:color w:val="808080"/>
            </w:rPr>
            <w:t>单击此处输入文字。</w:t>
          </w:r>
        </w:p>
      </w:docPartBody>
    </w:docPart>
    <w:docPart>
      <w:docPartPr>
        <w:name w:val="{017d8fc2-5129-4b19-adac-0d6a6962d675}"/>
        <w:style w:val=""/>
        <w:category>
          <w:name w:val="常规"/>
          <w:gallery w:val="placeholder"/>
        </w:category>
        <w:types>
          <w:type w:val="bbPlcHdr"/>
        </w:types>
        <w:behaviors>
          <w:behavior w:val="content"/>
        </w:behaviors>
        <w:description w:val=""/>
        <w:guid w:val="{017d8fc2-5129-4b19-adac-0d6a6962d675}"/>
      </w:docPartPr>
      <w:docPartBody>
        <w:p>
          <w:r>
            <w:rPr>
              <w:color w:val="808080"/>
            </w:rPr>
            <w:t>单击此处输入文字。</w:t>
          </w:r>
        </w:p>
      </w:docPartBody>
    </w:docPart>
    <w:docPart>
      <w:docPartPr>
        <w:name w:val="{4bb58e4f-0fcb-4469-b508-4bb87f35c90e}"/>
        <w:style w:val=""/>
        <w:category>
          <w:name w:val="常规"/>
          <w:gallery w:val="placeholder"/>
        </w:category>
        <w:types>
          <w:type w:val="bbPlcHdr"/>
        </w:types>
        <w:behaviors>
          <w:behavior w:val="content"/>
        </w:behaviors>
        <w:description w:val=""/>
        <w:guid w:val="{4bb58e4f-0fcb-4469-b508-4bb87f35c90e}"/>
      </w:docPartPr>
      <w:docPartBody>
        <w:p>
          <w:r>
            <w:rPr>
              <w:color w:val="808080"/>
            </w:rPr>
            <w:t>单击此处输入文字。</w:t>
          </w:r>
        </w:p>
      </w:docPartBody>
    </w:docPart>
    <w:docPart>
      <w:docPartPr>
        <w:name w:val="{49859e44-1262-4d73-bf41-88d66fd14867}"/>
        <w:style w:val=""/>
        <w:category>
          <w:name w:val="常规"/>
          <w:gallery w:val="placeholder"/>
        </w:category>
        <w:types>
          <w:type w:val="bbPlcHdr"/>
        </w:types>
        <w:behaviors>
          <w:behavior w:val="content"/>
        </w:behaviors>
        <w:description w:val=""/>
        <w:guid w:val="{49859e44-1262-4d73-bf41-88d66fd14867}"/>
      </w:docPartPr>
      <w:docPartBody>
        <w:p>
          <w:r>
            <w:rPr>
              <w:color w:val="808080"/>
            </w:rPr>
            <w:t>单击此处输入文字。</w:t>
          </w:r>
        </w:p>
      </w:docPartBody>
    </w:docPart>
    <w:docPart>
      <w:docPartPr>
        <w:name w:val="{925c9003-e357-4f52-9905-867290824afa}"/>
        <w:style w:val=""/>
        <w:category>
          <w:name w:val="常规"/>
          <w:gallery w:val="placeholder"/>
        </w:category>
        <w:types>
          <w:type w:val="bbPlcHdr"/>
        </w:types>
        <w:behaviors>
          <w:behavior w:val="content"/>
        </w:behaviors>
        <w:description w:val=""/>
        <w:guid w:val="{925c9003-e357-4f52-9905-867290824afa}"/>
      </w:docPartPr>
      <w:docPartBody>
        <w:p>
          <w:r>
            <w:rPr>
              <w:color w:val="808080"/>
            </w:rPr>
            <w:t>单击此处输入文字。</w:t>
          </w:r>
        </w:p>
      </w:docPartBody>
    </w:docPart>
    <w:docPart>
      <w:docPartPr>
        <w:name w:val="{cbcfd82b-9245-41ab-be0e-3b9a48626d0c}"/>
        <w:style w:val=""/>
        <w:category>
          <w:name w:val="常规"/>
          <w:gallery w:val="placeholder"/>
        </w:category>
        <w:types>
          <w:type w:val="bbPlcHdr"/>
        </w:types>
        <w:behaviors>
          <w:behavior w:val="content"/>
        </w:behaviors>
        <w:description w:val=""/>
        <w:guid w:val="{cbcfd82b-9245-41ab-be0e-3b9a48626d0c}"/>
      </w:docPartPr>
      <w:docPartBody>
        <w:p>
          <w:r>
            <w:rPr>
              <w:color w:val="808080"/>
            </w:rPr>
            <w:t>单击此处输入文字。</w:t>
          </w:r>
        </w:p>
      </w:docPartBody>
    </w:docPart>
    <w:docPart>
      <w:docPartPr>
        <w:name w:val="{c9e20936-1026-4839-9ce0-ade7334e05a3}"/>
        <w:style w:val=""/>
        <w:category>
          <w:name w:val="常规"/>
          <w:gallery w:val="placeholder"/>
        </w:category>
        <w:types>
          <w:type w:val="bbPlcHdr"/>
        </w:types>
        <w:behaviors>
          <w:behavior w:val="content"/>
        </w:behaviors>
        <w:description w:val=""/>
        <w:guid w:val="{c9e20936-1026-4839-9ce0-ade7334e05a3}"/>
      </w:docPartPr>
      <w:docPartBody>
        <w:p>
          <w:r>
            <w:rPr>
              <w:color w:val="808080"/>
            </w:rPr>
            <w:t>单击此处输入文字。</w:t>
          </w:r>
        </w:p>
      </w:docPartBody>
    </w:docPart>
    <w:docPart>
      <w:docPartPr>
        <w:name w:val="{d00c686f-66a5-4786-89a1-c61b0ba58e74}"/>
        <w:style w:val=""/>
        <w:category>
          <w:name w:val="常规"/>
          <w:gallery w:val="placeholder"/>
        </w:category>
        <w:types>
          <w:type w:val="bbPlcHdr"/>
        </w:types>
        <w:behaviors>
          <w:behavior w:val="content"/>
        </w:behaviors>
        <w:description w:val=""/>
        <w:guid w:val="{d00c686f-66a5-4786-89a1-c61b0ba58e74}"/>
      </w:docPartPr>
      <w:docPartBody>
        <w:p>
          <w:r>
            <w:rPr>
              <w:color w:val="808080"/>
            </w:rPr>
            <w:t>单击此处输入文字。</w:t>
          </w:r>
        </w:p>
      </w:docPartBody>
    </w:docPart>
    <w:docPart>
      <w:docPartPr>
        <w:name w:val="{affe6660-c66e-46a2-b716-60b9b9b8c9d8}"/>
        <w:style w:val=""/>
        <w:category>
          <w:name w:val="常规"/>
          <w:gallery w:val="placeholder"/>
        </w:category>
        <w:types>
          <w:type w:val="bbPlcHdr"/>
        </w:types>
        <w:behaviors>
          <w:behavior w:val="content"/>
        </w:behaviors>
        <w:description w:val=""/>
        <w:guid w:val="{affe6660-c66e-46a2-b716-60b9b9b8c9d8}"/>
      </w:docPartPr>
      <w:docPartBody>
        <w:p>
          <w:r>
            <w:rPr>
              <w:color w:val="808080"/>
            </w:rPr>
            <w:t>单击此处输入文字。</w:t>
          </w:r>
        </w:p>
      </w:docPartBody>
    </w:docPart>
    <w:docPart>
      <w:docPartPr>
        <w:name w:val="{b6c12a83-2dae-4128-a7be-1bc808efeae4}"/>
        <w:style w:val=""/>
        <w:category>
          <w:name w:val="常规"/>
          <w:gallery w:val="placeholder"/>
        </w:category>
        <w:types>
          <w:type w:val="bbPlcHdr"/>
        </w:types>
        <w:behaviors>
          <w:behavior w:val="content"/>
        </w:behaviors>
        <w:description w:val=""/>
        <w:guid w:val="{b6c12a83-2dae-4128-a7be-1bc808efeae4}"/>
      </w:docPartPr>
      <w:docPartBody>
        <w:p>
          <w:r>
            <w:rPr>
              <w:color w:val="808080"/>
            </w:rPr>
            <w:t>单击此处输入文字。</w:t>
          </w:r>
        </w:p>
      </w:docPartBody>
    </w:docPart>
    <w:docPart>
      <w:docPartPr>
        <w:name w:val="{67bbb086-cf41-49d7-9f25-23ff304f937f}"/>
        <w:style w:val=""/>
        <w:category>
          <w:name w:val="常规"/>
          <w:gallery w:val="placeholder"/>
        </w:category>
        <w:types>
          <w:type w:val="bbPlcHdr"/>
        </w:types>
        <w:behaviors>
          <w:behavior w:val="content"/>
        </w:behaviors>
        <w:description w:val=""/>
        <w:guid w:val="{67bbb086-cf41-49d7-9f25-23ff304f937f}"/>
      </w:docPartPr>
      <w:docPartBody>
        <w:p>
          <w:r>
            <w:rPr>
              <w:color w:val="808080"/>
            </w:rPr>
            <w:t>单击此处输入文字。</w:t>
          </w:r>
        </w:p>
      </w:docPartBody>
    </w:docPart>
    <w:docPart>
      <w:docPartPr>
        <w:name w:val="{318c9d21-5b96-4809-b63c-7d01fcef0499}"/>
        <w:style w:val=""/>
        <w:category>
          <w:name w:val="常规"/>
          <w:gallery w:val="placeholder"/>
        </w:category>
        <w:types>
          <w:type w:val="bbPlcHdr"/>
        </w:types>
        <w:behaviors>
          <w:behavior w:val="content"/>
        </w:behaviors>
        <w:description w:val=""/>
        <w:guid w:val="{318c9d21-5b96-4809-b63c-7d01fcef0499}"/>
      </w:docPartPr>
      <w:docPartBody>
        <w:p>
          <w:r>
            <w:rPr>
              <w:color w:val="808080"/>
            </w:rPr>
            <w:t>单击此处输入文字。</w:t>
          </w:r>
        </w:p>
      </w:docPartBody>
    </w:docPart>
    <w:docPart>
      <w:docPartPr>
        <w:name w:val="{f7e50a42-fdd6-49f4-89d2-77067483fe1c}"/>
        <w:style w:val=""/>
        <w:category>
          <w:name w:val="常规"/>
          <w:gallery w:val="placeholder"/>
        </w:category>
        <w:types>
          <w:type w:val="bbPlcHdr"/>
        </w:types>
        <w:behaviors>
          <w:behavior w:val="content"/>
        </w:behaviors>
        <w:description w:val=""/>
        <w:guid w:val="{f7e50a42-fdd6-49f4-89d2-77067483fe1c}"/>
      </w:docPartPr>
      <w:docPartBody>
        <w:p>
          <w:r>
            <w:rPr>
              <w:color w:val="808080"/>
            </w:rPr>
            <w:t>单击此处输入文字。</w:t>
          </w:r>
        </w:p>
      </w:docPartBody>
    </w:docPart>
    <w:docPart>
      <w:docPartPr>
        <w:name w:val="{f3ea3ebf-dd4f-4a69-b9b1-caa6226037aa}"/>
        <w:style w:val=""/>
        <w:category>
          <w:name w:val="常规"/>
          <w:gallery w:val="placeholder"/>
        </w:category>
        <w:types>
          <w:type w:val="bbPlcHdr"/>
        </w:types>
        <w:behaviors>
          <w:behavior w:val="content"/>
        </w:behaviors>
        <w:description w:val=""/>
        <w:guid w:val="{f3ea3ebf-dd4f-4a69-b9b1-caa6226037aa}"/>
      </w:docPartPr>
      <w:docPartBody>
        <w:p>
          <w:r>
            <w:rPr>
              <w:color w:val="808080"/>
            </w:rPr>
            <w:t>单击此处输入文字。</w:t>
          </w:r>
        </w:p>
      </w:docPartBody>
    </w:docPart>
    <w:docPart>
      <w:docPartPr>
        <w:name w:val="{20545215-c490-443a-a5cb-678407a0126f}"/>
        <w:style w:val=""/>
        <w:category>
          <w:name w:val="常规"/>
          <w:gallery w:val="placeholder"/>
        </w:category>
        <w:types>
          <w:type w:val="bbPlcHdr"/>
        </w:types>
        <w:behaviors>
          <w:behavior w:val="content"/>
        </w:behaviors>
        <w:description w:val=""/>
        <w:guid w:val="{20545215-c490-443a-a5cb-678407a0126f}"/>
      </w:docPartPr>
      <w:docPartBody>
        <w:p>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characterSpacingControl w:val="doNotCompress"/>
  <w:compat>
    <w:useFELayout/>
    <w:splitPgBreakAndParaMark/>
    <w:compatSetting w:name="compatibilityMode" w:uri="http://schemas.microsoft.com/office/word" w:val="12"/>
  </w:compat>
  <w:rsids>
    <w:rsidRoot w:val="00F2545A"/>
    <w:rsid w:val="001A62D3"/>
    <w:rsid w:val="0093003E"/>
    <w:rsid w:val="00D200F9"/>
    <w:rsid w:val="00F2545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atentStyles>
  <w:style w:type="paragraph" w:default="1" w:styleId="1">
    <w:name w:val="Normal"/>
    <w:qFormat/>
    <w:uiPriority w:val="0"/>
    <w:pPr>
      <w:widowControl w:val="0"/>
      <w:jc w:val="both"/>
    </w:pPr>
    <w:rPr>
      <w:rFonts w:asciiTheme="minorHAnsi" w:hAnsiTheme="minorHAnsi" w:eastAsiaTheme="minorEastAsia" w:cstheme="minorBidi"/>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3073"/>
    <customShpInfo spid="_x0000_s2063"/>
    <customShpInfo spid="_x0000_s1026"/>
    <customShpInfo spid="_x0000_s2054"/>
    <customShpInfo spid="_x0000_s2053"/>
    <customShpInfo spid="_x0000_s2052"/>
    <customShpInfo spid="_x0000_s2051"/>
    <customShpInfo spid="_x0000_s2050"/>
    <customShpInfo spid="_x0000_s2058"/>
    <customShpInfo spid="_x0000_s2059"/>
    <customShpInfo spid="_x0000_s2060"/>
    <customShpInfo spid="_x0000_s2061"/>
    <customShpInfo spid="_x0000_s2062"/>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811F26B-3191-49C2-9BF3-BCE2381CF081}">
  <ds:schemaRefs/>
</ds:datastoreItem>
</file>

<file path=docProps/app.xml><?xml version="1.0" encoding="utf-8"?>
<Properties xmlns="http://schemas.openxmlformats.org/officeDocument/2006/extended-properties" xmlns:vt="http://schemas.openxmlformats.org/officeDocument/2006/docPropsVTypes">
  <Template>Normal</Template>
  <Company>1234</Company>
  <Pages>110</Pages>
  <Words>11364</Words>
  <Characters>13120</Characters>
  <Lines>544</Lines>
  <Paragraphs>153</Paragraphs>
  <TotalTime>1302</TotalTime>
  <ScaleCrop>false</ScaleCrop>
  <LinksUpToDate>false</LinksUpToDate>
  <CharactersWithSpaces>13365</CharactersWithSpaces>
  <Application>WPS Office_11.8.2.12265_F1E327BC-269C-435d-A152-05C5408002CA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2021-11-30T09:03:00Z</dcterms:created>
  <dc:creator>sys</dc:creator>
  <cp:lastModifiedBy>木木</cp:lastModifiedBy>
  <cp:lastPrinted>2025-07-22T09:24:57Z</cp:lastPrinted>
  <dcterms:modified xsi:type="dcterms:W3CDTF">2025-07-23T07:06:51Z</dcterms:modified>
  <dc:title>编号：YNJXAP（WHP）-2013-XZ006</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2052-11.8.2.12265</vt:lpwstr>
  </property>
  <property fmtid="{D5CDD505-2E9C-101B-9397-08002B2CF9AE}" pid="3" name="ICV">
    <vt:lpwstr>81458D275A95430E94E37433160E014A</vt:lpwstr>
  </property>
  <property fmtid="{D5CDD505-2E9C-101B-9397-08002B2CF9AE}" pid="4" name="KSOTemplateDocerSaveRecord">
    <vt:lpwstr>eyJoZGlkIjoiYmU1MWI3MzI3NmZiZGNjMDcxN2M3MDNkNmQ1OWQ3YjEifQ==</vt:lpwstr>
  </property>
</Properties>
</file>